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ADMINISTRATIVE RULES</w:t>
      </w:r>
    </w:p>
    <w:p>
      <w:pPr>
        <w:spacing w:before="0" w:after="0"/>
        <w:ind w:left="120"/>
        <w:jc w:val="center"/>
      </w:pPr>
      <w:r>
        <w:rPr>
          <w:rFonts w:ascii="Times New Roman" w:hAnsi="Times New Roman"/>
          <w:b w:val="false"/>
          <w:i w:val="false"/>
          <w:color w:val="000000"/>
          <w:sz w:val="14"/>
        </w:rPr>
        <w:t>[Prior to 6/3/87, Transportation Department[820]—(01,B) Ch1]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761—10.1</w:t>
      </w:r>
      <w:r>
        <w:rPr>
          <w:rFonts w:ascii="Times New Roman" w:hAnsi="Times New Roman"/>
          <w:b/>
          <w:i w:val="false"/>
          <w:color w:val="000000"/>
          <w:sz w:val="22"/>
        </w:rPr>
        <w:t xml:space="preserve">(17A)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definitions in Iowa Code section </w:t>
      </w:r>
      <w:hyperlink r:id="rId5">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the definition of “small business” in Iowa Code section </w:t>
      </w:r>
      <w:hyperlink r:id="rId6">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 xml:space="preserve"> are hereby adopted.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transportation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transportation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w:t>
      </w:r>
      <w:r>
        <w:rPr>
          <w:rFonts w:ascii="Times New Roman" w:hAnsi="Times New Roman"/>
          <w:b w:val="false"/>
          <w:i w:val="false"/>
          <w:color w:val="000000"/>
          <w:sz w:val="22"/>
        </w:rPr>
        <w:t> </w:t>
      </w:r>
      <w:r>
        <w:rPr>
          <w:rFonts w:ascii="Times New Roman" w:hAnsi="Times New Roman"/>
          <w:b w:val="false"/>
          <w:i/>
          <w:color w:val="000000"/>
          <w:sz w:val="22"/>
        </w:rPr>
        <w:t xml:space="preserve">Address. </w:t>
      </w:r>
      <w:r>
        <w:rPr>
          <w:rFonts w:ascii="Times New Roman" w:hAnsi="Times New Roman"/>
          <w:b w:val="false"/>
          <w:i w:val="false"/>
          <w:color w:val="000000"/>
          <w:sz w:val="22"/>
        </w:rPr>
        <w:t xml:space="preserve">The mailing address of the department’s rules administrator is: Rules Administrator, Government and Community Relations, Iowa Department of Transportation, 800 Lincoln Way, Ames, Iowa 50010. The email address of the rules administrator may be found on the department’s website at </w:t>
      </w:r>
      <w:hyperlink r:id="rId7">
        <w:r>
          <w:rPr>
            <w:rStyle w:val="Hyperlink"/>
            <w:rFonts w:ascii="Times New Roman" w:hAnsi="Times New Roman"/>
            <w:b w:val="false"/>
            <w:i w:val="false"/>
            <w:color w:val="000000"/>
            <w:sz w:val="22"/>
            <w:u w:val="single"/>
          </w:rPr>
          <w:t>iowadot.gov/administrativerules</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2231C</w:t>
      </w:r>
      <w:r>
        <w:rPr>
          <w:rFonts w:ascii="Times New Roman" w:hAnsi="Times New Roman"/>
          <w:b w:val="false"/>
          <w:i w:val="false"/>
          <w:color w:val="000000"/>
          <w:sz w:val="16"/>
        </w:rPr>
        <w:t>, IAB 11/11/15, effective 12/16/15</w:t>
      </w:r>
      <w:r>
        <w:rPr>
          <w:rFonts w:ascii="Times New Roman" w:hAnsi="Times New Roman"/>
          <w:b w:val="false"/>
          <w:i w:val="false"/>
          <w:color w:val="000000"/>
          <w:sz w:val="16"/>
        </w:rPr>
        <w:t xml:space="preserve">; </w:t>
      </w:r>
      <w:r>
        <w:rPr>
          <w:rFonts w:ascii="Times New Roman" w:hAnsi="Times New Roman"/>
          <w:b/>
          <w:i w:val="false"/>
          <w:color w:val="000000"/>
          <w:sz w:val="16"/>
        </w:rPr>
        <w:t>ARC 2889C</w:t>
      </w:r>
      <w:r>
        <w:rPr>
          <w:rFonts w:ascii="Times New Roman" w:hAnsi="Times New Roman"/>
          <w:b w:val="false"/>
          <w:i w:val="false"/>
          <w:color w:val="000000"/>
          <w:sz w:val="16"/>
        </w:rPr>
        <w:t>, IAB 1/4/17, effective 2/8/17</w:t>
      </w:r>
      <w:r>
        <w:rPr>
          <w:rFonts w:ascii="Times New Roman" w:hAnsi="Times New Roman"/>
          <w:b w:val="false"/>
          <w:i w:val="false"/>
          <w:color w:val="000000"/>
          <w:sz w:val="16"/>
        </w:rPr>
        <w:t xml:space="preserve">; </w:t>
      </w:r>
      <w:r>
        <w:rPr>
          <w:rFonts w:ascii="Times New Roman" w:hAnsi="Times New Roman"/>
          <w:b/>
          <w:i w:val="false"/>
          <w:color w:val="000000"/>
          <w:sz w:val="16"/>
        </w:rPr>
        <w:t>ARC 4492C</w:t>
      </w:r>
      <w:r>
        <w:rPr>
          <w:rFonts w:ascii="Times New Roman" w:hAnsi="Times New Roman"/>
          <w:b w:val="false"/>
          <w:i w:val="false"/>
          <w:color w:val="000000"/>
          <w:sz w:val="16"/>
        </w:rPr>
        <w:t>, IAB 6/5/19, effective 7/10/19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761—10.2</w:t>
      </w:r>
      <w:r>
        <w:rPr>
          <w:rFonts w:ascii="Times New Roman" w:hAnsi="Times New Roman"/>
          <w:b/>
          <w:i w:val="false"/>
          <w:color w:val="000000"/>
          <w:sz w:val="22"/>
        </w:rPr>
        <w:t xml:space="preserve">(17A) </w:t>
      </w:r>
      <w:r>
        <w:rPr>
          <w:rFonts w:ascii="Times New Roman" w:hAnsi="Times New Roman"/>
          <w:b/>
          <w:i w:val="false"/>
          <w:color w:val="000000"/>
          <w:sz w:val="22"/>
        </w:rPr>
        <w:t xml:space="preserve">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w:t>
      </w:r>
      <w:r>
        <w:rPr>
          <w:rFonts w:ascii="Times New Roman" w:hAnsi="Times New Roman"/>
          <w:b w:val="false"/>
          <w:i w:val="false"/>
          <w:color w:val="000000"/>
          <w:sz w:val="22"/>
        </w:rPr>
        <w:t> </w:t>
      </w:r>
      <w:r>
        <w:rPr>
          <w:rFonts w:ascii="Times New Roman" w:hAnsi="Times New Roman"/>
          <w:b w:val="false"/>
          <w:i/>
          <w:color w:val="000000"/>
          <w:sz w:val="22"/>
        </w:rPr>
        <w:t xml:space="preserve">Notice of Intended Action—approval and content. </w:t>
      </w:r>
      <w:r>
        <w:rPr>
          <w:rFonts w:ascii="Times New Roman" w:hAnsi="Times New Roman"/>
          <w:b w:val="false"/>
          <w:i w:val="false"/>
          <w:color w:val="000000"/>
          <w:sz w:val="22"/>
        </w:rPr>
        <w:t>Written authorization to publish proposed rules under Notice of Intended Action in the Iowa Administrative Bulletin shall be made by the director. Each commissioner shall be sent a copy of the Notice of Intended Action before its publication in the Iowa Administrative Bulletin. The Notice of Intended Action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complete text of the proposed rules and a brief explanation of the purpose of the proposed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legal authority for the proposed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methods that persons and agencies may use to present their views on the proposed rules. In addition to providing for the submission of written comments, the Notice shall afford any interested person or agency the opportunity to make an oral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required by statute or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w:t>
      </w:r>
      <w:r>
        <w:rPr>
          <w:rFonts w:ascii="Times New Roman" w:hAnsi="Times New Roman"/>
          <w:b w:val="false"/>
          <w:i w:val="false"/>
          <w:color w:val="000000"/>
          <w:sz w:val="22"/>
        </w:rPr>
        <w:t> </w:t>
      </w:r>
      <w:r>
        <w:rPr>
          <w:rFonts w:ascii="Times New Roman" w:hAnsi="Times New Roman"/>
          <w:b w:val="false"/>
          <w:i/>
          <w:color w:val="000000"/>
          <w:sz w:val="22"/>
        </w:rPr>
        <w:t xml:space="preserve">Notice of Intended Action—submission of written comments and written requests to make an oral presentation.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 regard to proposed rules published under Notice of Intended Action, the department shall accept and consider, from any person or agency, written comments and written requests to make an oral presentation when prepared and submitted in conformance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Comments and requests shall clearly state the name, address and telephone number of the person or agency authoring the comment or request and the number and title of the proposed rule as given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oral presentation is requested, the requester is encouraged to set forth the general subject of the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Comments and requests shall be submitted to the office specified in the Notice of Intended Action. To be considered, they must be received by the office no later than the date specified in the Notice. The date shall be no less than 20 days after publication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receipt and acceptance for consideration of written comments and written requests shall be promptly acknowledged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Written comments received after the deadline may be accepted by the department although their consideration is not assured.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Written requests to make an oral presentation received after the deadline shall not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addition to the formal procedures contained in this rule, the department may solicit viewpoints or advice concerning proposed rules through informal conferences or consultations as the department may deem desirable.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w:t>
      </w:r>
      <w:r>
        <w:rPr>
          <w:rFonts w:ascii="Times New Roman" w:hAnsi="Times New Roman"/>
          <w:b w:val="false"/>
          <w:i w:val="false"/>
          <w:color w:val="000000"/>
          <w:sz w:val="22"/>
        </w:rPr>
        <w:t> </w:t>
      </w:r>
      <w:r>
        <w:rPr>
          <w:rFonts w:ascii="Times New Roman" w:hAnsi="Times New Roman"/>
          <w:b w:val="false"/>
          <w:i/>
          <w:color w:val="000000"/>
          <w:sz w:val="22"/>
        </w:rPr>
        <w:t xml:space="preserve">Adoption and filing of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shall adopt proposed rules unless statutes specifically provide for commission adoption. The commission shall approve rules prior to their adoption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Upon adoption of proposed rules by the director or the commission, the director shall file them in accordance with Iowa Code section </w:t>
      </w:r>
      <w:hyperlink r:id="rId8">
        <w:r>
          <w:rPr>
            <w:rStyle w:val="Hyperlink"/>
            <w:rFonts w:ascii="Times New Roman" w:hAnsi="Times New Roman"/>
            <w:b w:val="false"/>
            <w:i w:val="false"/>
            <w:color w:val="000000"/>
            <w:sz w:val="22"/>
          </w:rPr>
          <w:t>17A.5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w:t>
      </w:r>
      <w:r>
        <w:rPr>
          <w:rFonts w:ascii="Times New Roman" w:hAnsi="Times New Roman"/>
          <w:b w:val="false"/>
          <w:i w:val="false"/>
          <w:color w:val="000000"/>
          <w:sz w:val="22"/>
        </w:rPr>
        <w:t xml:space="preserve">A request for issuance of a regulatory analysis shall be submitted to the department’s rules administrator at the address in subrule </w:t>
      </w:r>
      <w:hyperlink r:id="rId9">
        <w:r>
          <w:rPr>
            <w:rStyle w:val="Hyperlink"/>
            <w:rFonts w:ascii="Times New Roman" w:hAnsi="Times New Roman"/>
            <w:b w:val="false"/>
            <w:i w:val="false"/>
            <w:color w:val="000000"/>
            <w:sz w:val="22"/>
          </w:rPr>
          <w:t>10.1(2)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w:t>
      </w:r>
      <w:r>
        <w:rPr>
          <w:rFonts w:ascii="Times New Roman" w:hAnsi="Times New Roman"/>
          <w:b w:val="false"/>
          <w:i w:val="false"/>
          <w:color w:val="000000"/>
          <w:sz w:val="22"/>
        </w:rPr>
        <w:t> </w:t>
      </w:r>
      <w:r>
        <w:rPr>
          <w:rFonts w:ascii="Times New Roman" w:hAnsi="Times New Roman"/>
          <w:b w:val="false"/>
          <w:i/>
          <w:color w:val="000000"/>
          <w:sz w:val="22"/>
        </w:rPr>
        <w:t xml:space="preserve">Concise statement. </w:t>
      </w:r>
      <w:r>
        <w:rPr>
          <w:rFonts w:ascii="Times New Roman" w:hAnsi="Times New Roman"/>
          <w:b w:val="false"/>
          <w:i w:val="false"/>
          <w:color w:val="000000"/>
          <w:sz w:val="22"/>
        </w:rPr>
        <w:t>If requested in accordance with this subrule, the department shall issue a concise statement of the principal reasons for and against a rule that has been adopted, incorporating therein the reasons for overruling considerations urged against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Clearly state the name, address and telephone number of the person or agency authoring the request and the number and title of the rule which is the subject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submitted in writing to the department’s rules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delivered to the administrator or postmarked no later than the thirtieth calendar day following adoption of the subject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requested concise statement shall be issued either at the time of rule adoption or within 35 days after the department’s rules administrator receives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Trade or occupational associations. </w:t>
      </w:r>
      <w:r>
        <w:rPr>
          <w:rFonts w:ascii="Times New Roman" w:hAnsi="Times New Roman"/>
          <w:b w:val="false"/>
          <w:i w:val="false"/>
          <w:color w:val="000000"/>
          <w:sz w:val="22"/>
        </w:rPr>
        <w:t>The state office of a trade or occupational association may register its name and address with the department to receive copies of Notices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request must be in writing and indicate the subject matter and the number of copies of Notice of Intended Action it wishes to receive.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trade or occupational association shall reimburse the department for the actual costs incurred in providing copies to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Small businesses. </w:t>
      </w:r>
      <w:r>
        <w:rPr>
          <w:rFonts w:ascii="Times New Roman" w:hAnsi="Times New Roman"/>
          <w:b w:val="false"/>
          <w:i w:val="false"/>
          <w:color w:val="000000"/>
          <w:sz w:val="22"/>
        </w:rPr>
        <w:t>A small business or an organization of small businesses may register its name and address with the department to receive notification of Notices of Intended Action and of rules adopted and filed without a Notice of Intended Action which may have an impact on small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request must be in writing and may indicate the subject matter of rules it is interested in. An organization requesting registration shall indicate how many small businesses it represents.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the discretion of the department, notification shall consist of either a copy of the rules or a summary of the subjects and issues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Submission and acknowledgment of requests. </w:t>
      </w:r>
      <w:r>
        <w:rPr>
          <w:rFonts w:ascii="Times New Roman" w:hAnsi="Times New Roman"/>
          <w:b w:val="false"/>
          <w:i w:val="false"/>
          <w:color w:val="000000"/>
          <w:sz w:val="22"/>
        </w:rPr>
        <w:t>Requests for registration under this subrule shall be submitted to the department’s rules administrator. The receipt of requests for registration shall be promptly acknowledged by the department. The acknowledgment shall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 the requester that it is registered,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that the request is incomplete and indicate the additional information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2231C</w:t>
      </w:r>
      <w:r>
        <w:rPr>
          <w:rFonts w:ascii="Times New Roman" w:hAnsi="Times New Roman"/>
          <w:b w:val="false"/>
          <w:i w:val="false"/>
          <w:color w:val="000000"/>
          <w:sz w:val="16"/>
        </w:rPr>
        <w:t>, IAB 11/11/15, effective 12/16/15</w:t>
      </w:r>
      <w:r>
        <w:rPr>
          <w:rFonts w:ascii="Times New Roman" w:hAnsi="Times New Roman"/>
          <w:b w:val="false"/>
          <w:i w:val="false"/>
          <w:color w:val="000000"/>
          <w:sz w:val="16"/>
        </w:rPr>
        <w:t xml:space="preserve">; </w:t>
      </w:r>
      <w:r>
        <w:rPr>
          <w:rFonts w:ascii="Times New Roman" w:hAnsi="Times New Roman"/>
          <w:b/>
          <w:i w:val="false"/>
          <w:color w:val="000000"/>
          <w:sz w:val="16"/>
        </w:rPr>
        <w:t>ARC 4492C</w:t>
      </w:r>
      <w:r>
        <w:rPr>
          <w:rFonts w:ascii="Times New Roman" w:hAnsi="Times New Roman"/>
          <w:b w:val="false"/>
          <w:i w:val="false"/>
          <w:color w:val="000000"/>
          <w:sz w:val="16"/>
        </w:rPr>
        <w:t>, IAB 6/5/19, effective 7/10/19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761—10.3</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Petitions for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val="false"/>
          <w:color w:val="000000"/>
          <w:sz w:val="22"/>
        </w:rPr>
        <w:t>The department shall accept and consider, from any person or agency, petitions for rule making when submitted to the department’s rules administrator by mail or email and prepared in conformance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Format:</w:t>
      </w:r>
    </w:p>
    <w:p>
      <w:pPr>
        <w:spacing w:before="60" w:after="0"/>
        <w:ind w:left="120"/>
        <w:jc w:val="center"/>
      </w:pPr>
      <w:r>
        <w:rPr>
          <w:rFonts w:ascii="Times New Roman" w:hAnsi="Times New Roman"/>
          <w:b w:val="false"/>
          <w:i w:val="false"/>
          <w:color w:val="000000"/>
          <w:sz w:val="22"/>
        </w:rPr>
        <w:t>IOWA DEPARTMENT OF TRANSPORTATION</w:t>
      </w:r>
    </w:p>
    <w:p>
      <w:pPr>
        <w:spacing w:before="60" w:after="0"/>
        <w:ind w:left="120"/>
        <w:jc w:val="center"/>
      </w:pPr>
      <w:r>
        <w:rPr>
          <w:rFonts w:ascii="Times New Roman" w:hAnsi="Times New Roman"/>
          <w:b w:val="false"/>
          <w:i w:val="false"/>
          <w:color w:val="000000"/>
          <w:sz w:val="22"/>
        </w:rPr>
        <w:t>800 Lincoln Way, Ames, Iowa 50010</w:t>
      </w: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4850"/>
        <w:gridCol w:w="1490"/>
        <w:gridCol w:w="4850"/>
      </w:tblGrid>
      <w:tr>
        <w:trPr>
          <w:trHeight w:val="1365" w:hRule="atLeast"/>
        </w:trPr>
        <w:tc>
          <w:tcPr>
            <w:tcW w:w="48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PETITION BY (insert petitioner’s name)</w:t>
            </w:r>
          </w:p>
          <w:p>
            <w:pPr>
              <w:spacing w:before="0" w:after="0"/>
              <w:ind w:left="160"/>
              <w:jc w:val="left"/>
            </w:pPr>
            <w:r>
              <w:rPr>
                <w:rFonts w:ascii="Times New Roman" w:hAnsi="Times New Roman"/>
                <w:b w:val="false"/>
                <w:i w:val="false"/>
                <w:color w:val="000000"/>
                <w:sz w:val="16"/>
              </w:rPr>
              <w:t>FOR THE (insert one: adoption,</w:t>
            </w:r>
          </w:p>
          <w:p>
            <w:pPr>
              <w:spacing w:before="0" w:after="0"/>
              <w:ind w:left="160"/>
              <w:jc w:val="left"/>
            </w:pPr>
            <w:r>
              <w:rPr>
                <w:rFonts w:ascii="Times New Roman" w:hAnsi="Times New Roman"/>
                <w:b w:val="false"/>
                <w:i w:val="false"/>
                <w:color w:val="000000"/>
                <w:sz w:val="16"/>
              </w:rPr>
              <w:t>amendment or repeal)</w:t>
            </w:r>
          </w:p>
          <w:p>
            <w:pPr>
              <w:spacing w:before="0" w:after="0"/>
              <w:ind w:left="160"/>
              <w:jc w:val="left"/>
            </w:pPr>
            <w:r>
              <w:rPr>
                <w:rFonts w:ascii="Times New Roman" w:hAnsi="Times New Roman"/>
                <w:b w:val="false"/>
                <w:i w:val="false"/>
                <w:color w:val="000000"/>
                <w:sz w:val="16"/>
              </w:rPr>
              <w:t>OF (insert current rule number, if</w:t>
            </w:r>
          </w:p>
          <w:p>
            <w:pPr>
              <w:spacing w:before="0" w:after="0"/>
              <w:ind w:left="160"/>
              <w:jc w:val="left"/>
            </w:pPr>
            <w:r>
              <w:rPr>
                <w:rFonts w:ascii="Times New Roman" w:hAnsi="Times New Roman"/>
                <w:b w:val="false"/>
                <w:i w:val="false"/>
                <w:color w:val="000000"/>
                <w:sz w:val="16"/>
              </w:rPr>
              <w:t>applicable, and brief description</w:t>
            </w:r>
          </w:p>
          <w:p>
            <w:pPr>
              <w:spacing w:before="0" w:after="0"/>
              <w:ind w:left="160"/>
              <w:jc w:val="left"/>
            </w:pPr>
            <w:r>
              <w:rPr>
                <w:rFonts w:ascii="Times New Roman" w:hAnsi="Times New Roman"/>
                <w:b w:val="false"/>
                <w:i w:val="false"/>
                <w:color w:val="000000"/>
                <w:sz w:val="16"/>
              </w:rPr>
              <w:t>of subject matter)</w:t>
            </w:r>
          </w:p>
          <w:p>
            <w:pPr>
              <w:spacing w:before="0" w:after="0"/>
              <w:ind w:left="160"/>
              <w:jc w:val="left"/>
            </w:pPr>
            <w:r>
              <w:rPr>
                <w:rFonts w:ascii="Times New Roman" w:hAnsi="Times New Roman"/>
                <w:b w:val="false"/>
                <w:i w:val="false"/>
                <w:color w:val="000000"/>
                <w:sz w:val="16"/>
              </w:rPr>
              <w:t> </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96"/>
              </w:rPr>
              <w:t>}</w:t>
            </w:r>
          </w:p>
        </w:tc>
        <w:tc>
          <w:tcPr>
            <w:tcW w:w="48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DOCKET NO.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PETITION FOR RULE MAKING</w:t>
            </w:r>
          </w:p>
        </w:tc>
      </w:tr>
    </w:tbl>
    <w:p>
      <w:pPr>
        <w:spacing w:before="0" w:after="0"/>
        <w:ind w:left="120"/>
        <w:jc w:val="both"/>
      </w:pPr>
      <w:r>
        <w:rPr>
          <w:rFonts w:ascii="Times New Roman" w:hAnsi="Times New Roman"/>
          <w:b w:val="false"/>
          <w:i w:val="false"/>
          <w:color w:val="000000"/>
          <w:sz w:val="22"/>
        </w:rPr>
        <w:t>(In separate numbered paragraphs, the petition shall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petitioner’s name, address and telephone number.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nature of the petitioner’s interest in the matter.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text or the essential terms and conditions of a proposed new rule, or the rule number and text of a rule proposed for amendment or a repeal. In addition, proposed amendments shall be illustrated to portray the changes in wording requested: Deletions are to be indicated by strike-throughs, and additions by underscoring.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reasons for seeking the requested action, including any facts, views, data or arguments relevant to the request. Copies of statutes, rules or other supporting documents referenced in the petition shall be submitted as appendices to the petition or made available to the department upon request.</w:t>
      </w:r>
    </w:p>
    <w:p>
      <w:pPr>
        <w:spacing w:before="0" w:after="0"/>
        <w:ind w:left="120"/>
        <w:jc w:val="both"/>
      </w:pPr>
      <w:r>
        <w:rPr>
          <w:rFonts w:ascii="Times New Roman" w:hAnsi="Times New Roman"/>
          <w:b w:val="false"/>
          <w:i w:val="false"/>
          <w:color w:val="000000"/>
          <w:sz w:val="22"/>
        </w:rPr>
        <w:t>*5.</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If desired, a request to meet informally with the department to discuss the petition.</w:t>
      </w:r>
    </w:p>
    <w:p>
      <w:pPr>
        <w:spacing w:before="0" w:after="0"/>
        <w:ind w:left="120"/>
        <w:jc w:val="both"/>
      </w:pPr>
      <w:r>
        <w:rPr>
          <w:rFonts w:ascii="Times New Roman" w:hAnsi="Times New Roman"/>
          <w:b w:val="false"/>
          <w:i w:val="false"/>
          <w:color w:val="000000"/>
          <w:sz w:val="22"/>
        </w:rPr>
        <w:t> </w:t>
      </w:r>
    </w:p>
    <w:p>
      <w:pPr>
        <w:spacing w:before="0" w:after="0"/>
        <w:ind w:left="120"/>
        <w:jc w:val="both"/>
      </w:pPr>
    </w:p>
    <w:p>
      <w:pPr>
        <w:spacing w:before="0" w:after="0"/>
        <w:ind w:left="120"/>
        <w:jc w:val="both"/>
      </w:pPr>
      <w:r>
        <w:rPr>
          <w:rFonts w:ascii="Times New Roman" w:hAnsi="Times New Roman"/>
          <w:b w:val="false"/>
          <w:i w:val="false"/>
          <w:color w:val="000000"/>
          <w:sz w:val="22"/>
        </w:rPr>
        <w:t>(Signature of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petition for amendment or repeal of a rule shall pertain to a rule currently in effect at the time the petition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Petitions should be typewritten, although petitions legibly hand-printed in ink shall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val="false"/>
          <w:color w:val="000000"/>
          <w:sz w:val="22"/>
        </w:rPr>
        <w:t>The date of receipt of a petition is the day it reaches the department’s rules administrator. The administrator shall promptly notify the petitioner of the date of receipt and the assigned docket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w:t>
      </w:r>
      <w:r>
        <w:rPr>
          <w:rFonts w:ascii="Times New Roman" w:hAnsi="Times New Roman"/>
          <w:b w:val="false"/>
          <w:i w:val="false"/>
          <w:color w:val="000000"/>
          <w:sz w:val="22"/>
        </w:rPr>
        <w:t> </w:t>
      </w:r>
      <w:r>
        <w:rPr>
          <w:rFonts w:ascii="Times New Roman" w:hAnsi="Times New Roman"/>
          <w:b w:val="false"/>
          <w:i w:val="false"/>
          <w:color w:val="000000"/>
          <w:sz w:val="22"/>
        </w:rPr>
        <w:t>If requested in the petition, the department shall schedule an informal meeting with the petitioner to discuss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notify the petitioner of the director’s or commission’s determination to grant or deny the petition. If the petition is denied, the notification shall include the reasons for denial.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2231C</w:t>
      </w:r>
      <w:r>
        <w:rPr>
          <w:rFonts w:ascii="Times New Roman" w:hAnsi="Times New Roman"/>
          <w:b w:val="false"/>
          <w:i w:val="false"/>
          <w:color w:val="000000"/>
          <w:sz w:val="16"/>
        </w:rPr>
        <w:t>, IAB 11/11/15, effective 12/16/15</w:t>
      </w:r>
      <w:r>
        <w:rPr>
          <w:rFonts w:ascii="Times New Roman" w:hAnsi="Times New Roman"/>
          <w:b w:val="false"/>
          <w:i w:val="false"/>
          <w:color w:val="000000"/>
          <w:sz w:val="16"/>
        </w:rPr>
        <w:t xml:space="preserve">; </w:t>
      </w:r>
      <w:r>
        <w:rPr>
          <w:rFonts w:ascii="Times New Roman" w:hAnsi="Times New Roman"/>
          <w:b/>
          <w:i w:val="false"/>
          <w:color w:val="000000"/>
          <w:sz w:val="16"/>
        </w:rPr>
        <w:t>ARC 4492C</w:t>
      </w:r>
      <w:r>
        <w:rPr>
          <w:rFonts w:ascii="Times New Roman" w:hAnsi="Times New Roman"/>
          <w:b w:val="false"/>
          <w:i w:val="false"/>
          <w:color w:val="000000"/>
          <w:sz w:val="16"/>
        </w:rPr>
        <w:t>, IAB 6/5/19, effective 7/10/19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0">
        <w:r>
          <w:rPr>
            <w:rStyle w:val="Hyperlink"/>
            <w:rFonts w:ascii="Times New Roman" w:hAnsi="Times New Roman"/>
            <w:b w:val="false"/>
            <w:i w:val="false"/>
            <w:color w:val="000000"/>
            <w:sz w:val="22"/>
          </w:rPr>
          <w:t>17A.1 to 17A.9</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w:t>
      </w:r>
      <w:hyperlink r:id="rId12">
        <w:r>
          <w:rPr>
            <w:rStyle w:val="Hyperlink"/>
            <w:rFonts w:ascii="Times New Roman" w:hAnsi="Times New Roman"/>
            <w:b w:val="false"/>
            <w:i w:val="false"/>
            <w:color w:val="000000"/>
            <w:sz w:val="22"/>
          </w:rPr>
          <w:t>307.12</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307A.2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5/22/75]</w:t>
      </w:r>
    </w:p>
    <w:p>
      <w:pPr>
        <w:spacing w:before="0" w:after="0"/>
        <w:ind w:left="120"/>
        <w:jc w:val="center"/>
      </w:pPr>
      <w:r>
        <w:rPr>
          <w:rFonts w:ascii="Times New Roman" w:hAnsi="Times New Roman"/>
          <w:b w:val="false"/>
          <w:i w:val="false"/>
          <w:color w:val="000000"/>
          <w:sz w:val="21"/>
        </w:rPr>
        <w:t>[Filed 4/7/78, Notice 2/22/78—published 6/7/78, effective 6/7/78]</w:t>
      </w:r>
    </w:p>
    <w:p>
      <w:pPr>
        <w:spacing w:before="0" w:after="0"/>
        <w:ind w:left="120"/>
        <w:jc w:val="center"/>
      </w:pPr>
      <w:r>
        <w:rPr>
          <w:rFonts w:ascii="Times New Roman" w:hAnsi="Times New Roman"/>
          <w:b w:val="false"/>
          <w:i w:val="false"/>
          <w:color w:val="000000"/>
          <w:sz w:val="21"/>
        </w:rPr>
        <w:t>[Filed 10/3/80, Notice 8/20/80—published 10/29/80, effective 12/3/80]</w:t>
      </w:r>
    </w:p>
    <w:p>
      <w:pPr>
        <w:spacing w:before="0" w:after="0"/>
        <w:ind w:left="120"/>
        <w:jc w:val="center"/>
      </w:pPr>
      <w:r>
        <w:rPr>
          <w:rFonts w:ascii="Times New Roman" w:hAnsi="Times New Roman"/>
          <w:b w:val="false"/>
          <w:i w:val="false"/>
          <w:color w:val="000000"/>
          <w:sz w:val="21"/>
        </w:rPr>
        <w:t>[Filed without Notice 12/17/80—published 1/7/81, effective 2/11/81]</w:t>
      </w:r>
    </w:p>
    <w:p>
      <w:pPr>
        <w:spacing w:before="0" w:after="0"/>
        <w:ind w:left="120"/>
        <w:jc w:val="center"/>
      </w:pPr>
      <w:r>
        <w:rPr>
          <w:rFonts w:ascii="Times New Roman" w:hAnsi="Times New Roman"/>
          <w:b w:val="false"/>
          <w:i w:val="false"/>
          <w:color w:val="000000"/>
          <w:sz w:val="21"/>
        </w:rPr>
        <w:t>[Filed 3/8/85, Notice 1/16/85—published 3/27/85, effective 5/1/85]</w:t>
      </w:r>
    </w:p>
    <w:p>
      <w:pPr>
        <w:spacing w:before="0" w:after="0"/>
        <w:ind w:left="120"/>
        <w:jc w:val="center"/>
      </w:pPr>
      <w:r>
        <w:rPr>
          <w:rFonts w:ascii="Times New Roman" w:hAnsi="Times New Roman"/>
          <w:b w:val="false"/>
          <w:i w:val="false"/>
          <w:color w:val="000000"/>
          <w:sz w:val="21"/>
        </w:rPr>
        <w:t>[Filed 11/7/86, Notice 9/24/86—published 12/3/86, effective 1/7/87]</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7/5/90, Notice 4/4/90—published 7/25/90, effective 8/29/90]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8/26/92, Notice 7/22/92—published 9/16/92, effective 10/21/92]</w:t>
      </w:r>
    </w:p>
    <w:p>
      <w:pPr>
        <w:spacing w:before="0" w:after="0"/>
        <w:ind w:left="120"/>
        <w:jc w:val="center"/>
      </w:pPr>
      <w:r>
        <w:rPr>
          <w:rFonts w:ascii="Times New Roman" w:hAnsi="Times New Roman"/>
          <w:b w:val="false"/>
          <w:i w:val="false"/>
          <w:color w:val="000000"/>
          <w:sz w:val="21"/>
        </w:rPr>
        <w:t>[Filed 5/18/94, Notice 4/13/94—published 6/8/94, effective 7/13/94]</w:t>
      </w:r>
    </w:p>
    <w:p>
      <w:pPr>
        <w:spacing w:before="0" w:after="0"/>
        <w:ind w:left="120"/>
        <w:jc w:val="center"/>
      </w:pPr>
      <w:r>
        <w:rPr>
          <w:rFonts w:ascii="Times New Roman" w:hAnsi="Times New Roman"/>
          <w:b w:val="false"/>
          <w:i w:val="false"/>
          <w:color w:val="000000"/>
          <w:sz w:val="21"/>
        </w:rPr>
        <w:t>[Filed 4/8/99, Notice 2/10/99—published 5/5/99, effective 7/1/99]</w:t>
      </w:r>
    </w:p>
    <w:p>
      <w:pPr>
        <w:spacing w:before="0" w:after="0"/>
        <w:ind w:left="120"/>
        <w:jc w:val="center"/>
      </w:pPr>
      <w:r>
        <w:rPr>
          <w:rFonts w:ascii="Times New Roman" w:hAnsi="Times New Roman"/>
          <w:b w:val="false"/>
          <w:i w:val="false"/>
          <w:color w:val="000000"/>
          <w:sz w:val="21"/>
        </w:rPr>
        <w:t>[Filed 3/7/01, Notice 1/10/01—published 4/4/01, effective 5/9/01]</w:t>
      </w:r>
    </w:p>
    <w:p>
      <w:pPr>
        <w:spacing w:before="0" w:after="0"/>
        <w:ind w:left="120"/>
        <w:jc w:val="center"/>
      </w:pPr>
      <w:r>
        <w:rPr>
          <w:rFonts w:ascii="Times New Roman" w:hAnsi="Times New Roman"/>
          <w:b w:val="false"/>
          <w:i w:val="false"/>
          <w:color w:val="000000"/>
          <w:sz w:val="21"/>
        </w:rPr>
        <w:t>[Filed 10/11/06, Notice 8/30/06—published 11/8/06, effective 12/13/06]</w:t>
      </w:r>
    </w:p>
    <w:p>
      <w:pPr>
        <w:spacing w:before="0" w:after="0"/>
        <w:ind w:left="120"/>
        <w:jc w:val="center"/>
      </w:pPr>
      <w:r>
        <w:rPr>
          <w:rFonts w:ascii="Times New Roman" w:hAnsi="Times New Roman"/>
          <w:b w:val="false"/>
          <w:i w:val="false"/>
          <w:color w:val="000000"/>
          <w:sz w:val="21"/>
        </w:rPr>
        <w:t>[Filed ARC 2231C</w:t>
      </w:r>
      <w:r>
        <w:rPr>
          <w:rFonts w:ascii="Times New Roman" w:hAnsi="Times New Roman"/>
          <w:b w:val="false"/>
          <w:i w:val="false"/>
          <w:color w:val="000000"/>
          <w:sz w:val="21"/>
        </w:rPr>
        <w:t xml:space="preserve"> (Notice ARC 2117C, IAB 9/2/15)</w:t>
      </w:r>
      <w:r>
        <w:rPr>
          <w:rFonts w:ascii="Times New Roman" w:hAnsi="Times New Roman"/>
          <w:b w:val="false"/>
          <w:i w:val="false"/>
          <w:color w:val="000000"/>
          <w:sz w:val="21"/>
        </w:rPr>
        <w:t>, IAB 11/11/15, effective 12/16/15]</w:t>
      </w:r>
    </w:p>
    <w:p>
      <w:pPr>
        <w:spacing w:before="0" w:after="0"/>
        <w:ind w:left="120"/>
        <w:jc w:val="center"/>
      </w:pPr>
      <w:r>
        <w:rPr>
          <w:rFonts w:ascii="Times New Roman" w:hAnsi="Times New Roman"/>
          <w:b w:val="false"/>
          <w:i w:val="false"/>
          <w:color w:val="000000"/>
          <w:sz w:val="21"/>
        </w:rPr>
        <w:t>[Filed ARC 2889C</w:t>
      </w:r>
      <w:r>
        <w:rPr>
          <w:rFonts w:ascii="Times New Roman" w:hAnsi="Times New Roman"/>
          <w:b w:val="false"/>
          <w:i w:val="false"/>
          <w:color w:val="000000"/>
          <w:sz w:val="21"/>
        </w:rPr>
        <w:t xml:space="preserve"> (Notice ARC 2779C, IAB 10/26/16)</w:t>
      </w:r>
      <w:r>
        <w:rPr>
          <w:rFonts w:ascii="Times New Roman" w:hAnsi="Times New Roman"/>
          <w:b w:val="false"/>
          <w:i w:val="false"/>
          <w:color w:val="000000"/>
          <w:sz w:val="21"/>
        </w:rPr>
        <w:t>, IAB 1/4/17, effective 2/8/17]</w:t>
      </w:r>
    </w:p>
    <w:p>
      <w:pPr>
        <w:spacing w:before="0" w:after="0"/>
        <w:ind w:left="120"/>
        <w:jc w:val="center"/>
      </w:pPr>
      <w:r>
        <w:rPr>
          <w:rFonts w:ascii="Times New Roman" w:hAnsi="Times New Roman"/>
          <w:b w:val="false"/>
          <w:i w:val="false"/>
          <w:color w:val="000000"/>
          <w:sz w:val="21"/>
        </w:rPr>
        <w:t>[Filed ARC 4492C</w:t>
      </w:r>
      <w:r>
        <w:rPr>
          <w:rFonts w:ascii="Times New Roman" w:hAnsi="Times New Roman"/>
          <w:b w:val="false"/>
          <w:i w:val="false"/>
          <w:color w:val="000000"/>
          <w:sz w:val="21"/>
        </w:rPr>
        <w:t xml:space="preserve"> (Notice ARC 4325C, IAB 3/13/19)</w:t>
      </w:r>
      <w:r>
        <w:rPr>
          <w:rFonts w:ascii="Times New Roman" w:hAnsi="Times New Roman"/>
          <w:b w:val="false"/>
          <w:i w:val="false"/>
          <w:color w:val="000000"/>
          <w:sz w:val="21"/>
        </w:rPr>
        <w:t>, IAB 6/5/19, effective 7/10/19]</w:t>
      </w:r>
    </w:p>
    <w:p>
      <w:pPr>
        <w:spacing w:before="0" w:after="0"/>
        <w:ind w:left="120"/>
        <w:jc w:val="center"/>
      </w:pPr>
      <w:r>
        <w:rPr>
          <w:rFonts w:ascii="Times New Roman" w:hAnsi="Times New Roman"/>
          <w:b w:val="false"/>
          <w:i w:val="false"/>
          <w:color w:val="000000"/>
          <w:sz w:val="21"/>
        </w:rPr>
        <w:t>[Editorial change: IAC Supplement 7/28/21]</w:t>
      </w:r>
    </w:p>
    <w:p>
      <w:pPr>
        <w:pBdr>
          <w:bottom w:space="2"/>
        </w:pBdr>
        <w:spacing w:before="0" w:after="0"/>
        <w:ind w:left="120"/>
        <w:jc w:val="both"/>
      </w:pPr>
      <w:r>
        <w:rPr>
          <w:rFonts w:ascii="Times New Roman" w:hAnsi="Times New Roman"/>
          <w:b w:val="false"/>
          <w:i w:val="false"/>
          <w:color w:val="000000"/>
          <w:sz w:val="22"/>
        </w:rPr>
        <w:t xml:space="preserve">Effective date of amendments to </w:t>
      </w:r>
      <w:hyperlink r:id="rId14">
        <w:r>
          <w:rPr>
            <w:rStyle w:val="Hyperlink"/>
            <w:rFonts w:ascii="Times New Roman" w:hAnsi="Times New Roman"/>
            <w:b w:val="false"/>
            <w:i w:val="false"/>
            <w:color w:val="000000"/>
            <w:sz w:val="22"/>
          </w:rPr>
          <w:t>761—10.2</w:t>
        </w:r>
      </w:hyperlink>
      <w:r>
        <w:rPr>
          <w:rFonts w:ascii="Times New Roman" w:hAnsi="Times New Roman"/>
          <w:b w:val="false"/>
          <w:i w:val="false"/>
          <w:color w:val="000000"/>
          <w:sz w:val="22"/>
        </w:rPr>
        <w:t xml:space="preserve">(17A) and </w:t>
      </w:r>
      <w:hyperlink r:id="rId15">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(17A) delayed until adjournment of the 1991 General Assembly by the Administrative Rules Review Committee at its meeting held August 15, 1990.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co/chapter/17A.4A.pdf" Type="http://schemas.openxmlformats.org/officeDocument/2006/relationships/hyperlink" Id="rId6"/>
    <Relationship TargetMode="External" Target="http://iowadot.gov/administrativerules" Type="http://schemas.openxmlformats.org/officeDocument/2006/relationships/hyperlink" Id="rId7"/>
    <Relationship TargetMode="External" Target="https://www.legis.iowa.gov/docs/ico/chapter/17A.5.pdf" Type="http://schemas.openxmlformats.org/officeDocument/2006/relationships/hyperlink" Id="rId8"/>
    <Relationship TargetMode="External" Target="https://www.legis.iowa.gov/docs/iac/rule/761.10.1.pdf" Type="http://schemas.openxmlformats.org/officeDocument/2006/relationships/hyperlink" Id="rId9"/>
    <Relationship TargetMode="External" Target="https://www.legis.iowa.gov/docs/ico/chapter/17A.1-9.pdf" Type="http://schemas.openxmlformats.org/officeDocument/2006/relationships/hyperlink" Id="rId10"/>
    <Relationship TargetMode="External" Target="https://www.legis.iowa.gov/docs/ico/chapter/17A.19.pdf" Type="http://schemas.openxmlformats.org/officeDocument/2006/relationships/hyperlink" Id="rId11"/>
    <Relationship TargetMode="External" Target="https://www.legis.iowa.gov/docs/ico/chapter/307.12.pdf" Type="http://schemas.openxmlformats.org/officeDocument/2006/relationships/hyperlink" Id="rId12"/>
    <Relationship TargetMode="External" Target="https://www.legis.iowa.gov/docs/ico/chapter/307A.2.pdf" Type="http://schemas.openxmlformats.org/officeDocument/2006/relationships/hyperlink" Id="rId13"/>
    <Relationship TargetMode="External" Target="https://www.legis.iowa.gov/docs/iac/rule/761.10.2.pdf" Type="http://schemas.openxmlformats.org/officeDocument/2006/relationships/hyperlink" Id="rId14"/>
    <Relationship TargetMode="External" Target="https://www.legis.iowa.gov/docs/iac/rule/761.10.3.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