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751—4.1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 xml:space="preserve">This chapter applies to contested case proceedings conducted by the Iowa telecommunications and technology commission. Contested cases generally include, but are not limited to, appeals of administrative orders issued by the executive director and the withdrawal of an authorized user’s right to use the service offered by the commission. </w:t>
      </w:r>
    </w:p>
    <w:p>
      <w:pPr>
        <w:spacing w:before="0" w:after="0"/>
        <w:ind w:left="120"/>
        <w:jc w:val="both"/>
      </w:pPr>
      <w:r>
        <w:rPr>
          <w:rFonts w:ascii="Times New Roman" w:hAnsi="Times New Roman"/>
          <w:b/>
          <w:i w:val="false"/>
          <w:color w:val="000000"/>
          <w:sz w:val="22"/>
        </w:rPr>
        <w:t>751—4.2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Iowa telecommunications and technology commission, as designated in Iowa Code chapter </w:t>
      </w:r>
      <w:hyperlink r:id="rId5">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as having appellate jurisdiction over a particular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6">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7">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director” </w:t>
      </w:r>
      <w:r>
        <w:rPr>
          <w:rFonts w:ascii="Times New Roman" w:hAnsi="Times New Roman"/>
          <w:b w:val="false"/>
          <w:i w:val="false"/>
          <w:color w:val="000000"/>
          <w:sz w:val="22"/>
        </w:rPr>
        <w:t>means the director or an authorized representative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commission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administrative law judge or, under certain circumstances, members of the commission or the entire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entire commission did not preside.</w:t>
      </w:r>
    </w:p>
    <w:p>
      <w:pPr>
        <w:spacing w:before="0" w:after="0"/>
        <w:ind w:left="120"/>
        <w:jc w:val="both"/>
      </w:pPr>
      <w:r>
        <w:rPr>
          <w:rFonts w:ascii="Times New Roman" w:hAnsi="Times New Roman"/>
          <w:b/>
          <w:i w:val="false"/>
          <w:color w:val="000000"/>
          <w:sz w:val="22"/>
        </w:rPr>
        <w:t>751—4.3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section </w:t>
      </w:r>
      <w:hyperlink r:id="rId8">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rule. Except for good cause stated in the record, before extending or shortening the time to take any action, the presiding officer shall afford all parties an opportunity to be heard or to file written arguments.</w:t>
      </w:r>
    </w:p>
    <w:p>
      <w:pPr>
        <w:spacing w:before="0" w:after="0"/>
        <w:ind w:left="120"/>
        <w:jc w:val="both"/>
      </w:pPr>
      <w:r>
        <w:rPr>
          <w:rFonts w:ascii="Times New Roman" w:hAnsi="Times New Roman"/>
          <w:b/>
          <w:i w:val="false"/>
          <w:color w:val="000000"/>
          <w:sz w:val="22"/>
        </w:rPr>
        <w:t>751—4.4</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Any person claiming an entitlement to a contested case proceeding shall file a written request for such a proceeding within the time specified by the particular rules or statutes governing the subject matter or, in the absence of such law, the time specified in the commission action in question.</w:t>
      </w:r>
    </w:p>
    <w:p>
      <w:pPr>
        <w:spacing w:before="0" w:after="0"/>
        <w:ind w:left="120"/>
        <w:jc w:val="both"/>
      </w:pPr>
      <w:r>
        <w:rPr>
          <w:rFonts w:ascii="Times New Roman" w:hAnsi="Times New Roman"/>
          <w:b w:val="false"/>
          <w:i w:val="false"/>
          <w:color w:val="000000"/>
          <w:sz w:val="22"/>
        </w:rPr>
        <w:t>The request for a contested case proceeding should state the name and address of the requester, identify the specific commission action which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ind w:left="120"/>
        <w:jc w:val="both"/>
      </w:pPr>
      <w:r>
        <w:rPr>
          <w:rFonts w:ascii="Times New Roman" w:hAnsi="Times New Roman"/>
          <w:b/>
          <w:i w:val="false"/>
          <w:color w:val="000000"/>
          <w:sz w:val="22"/>
        </w:rPr>
        <w:t>751—4.5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commission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commission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(e.g., the commission, members of the commission, administrative law judge from the department of inspections and appeals);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Iowa Code section </w:t>
      </w:r>
      <w:hyperlink r:id="rId9">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 xml:space="preserve"> and rule </w:t>
      </w:r>
      <w:hyperlink r:id="rId10">
        <w:r>
          <w:rPr>
            <w:rStyle w:val="Hyperlink"/>
            <w:rFonts w:ascii="Times New Roman" w:hAnsi="Times New Roman"/>
            <w:b w:val="false"/>
            <w:i w:val="false"/>
            <w:color w:val="000000"/>
            <w:sz w:val="22"/>
          </w:rPr>
          <w:t>4.6</w:t>
        </w:r>
      </w:hyperlink>
      <w:r>
        <w:rPr>
          <w:rFonts w:ascii="Times New Roman" w:hAnsi="Times New Roman"/>
          <w:b w:val="false"/>
          <w:i w:val="false"/>
          <w:color w:val="000000"/>
          <w:sz w:val="22"/>
        </w:rPr>
        <w:t>(17A), that the presiding officer be an administrative law judge.</w:t>
      </w:r>
    </w:p>
    <w:p>
      <w:pPr>
        <w:spacing w:before="0" w:after="0"/>
        <w:ind w:left="120"/>
        <w:jc w:val="both"/>
      </w:pPr>
      <w:r>
        <w:rPr>
          <w:rFonts w:ascii="Times New Roman" w:hAnsi="Times New Roman"/>
          <w:b/>
          <w:i w:val="false"/>
          <w:color w:val="000000"/>
          <w:sz w:val="22"/>
        </w:rPr>
        <w:t>751—4.6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 xml:space="preserve">In each contested case in which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requires an evidentiary hearing, the chair of the commission will determine whether the hearing shall be held before the commission, one or more members of the commission, or an administrative law judge. Any party who wishes to request that the presiding officer assigned to render a proposed decision be an administrative law judge employed by the department of inspections and appeals must file a written request within 20 days after service of a notice of hearing which identifies or describes the presiding officer as the commission head or members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commission nor any officer of the commission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intercommission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shall issue a written ruling specifying the grounds for its decision within 20 days after a request for an administrative law judge is filed. If the ruling is contingent upon the availability of an administrative law judge with the qualifications identified in subrule </w:t>
      </w:r>
      <w:hyperlink r:id="rId12">
        <w:r>
          <w:rPr>
            <w:rStyle w:val="Hyperlink"/>
            <w:rFonts w:ascii="Times New Roman" w:hAnsi="Times New Roman"/>
            <w:b w:val="false"/>
            <w:i w:val="false"/>
            <w:color w:val="000000"/>
            <w:sz w:val="22"/>
          </w:rPr>
          <w:t>4.6(4)</w:t>
        </w:r>
      </w:hyperlink>
      <w:r>
        <w:rPr>
          <w:rFonts w:ascii="Times New Roman" w:hAnsi="Times New Roman"/>
          <w:b w:val="false"/>
          <w:i w:val="false"/>
          <w:color w:val="000000"/>
          <w:sz w:val="22"/>
        </w:rPr>
        <w:t>, the parties shall be notified at least 10 days prior to the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assigned to act as presiding officer in telecommunications matters shall have the following technical expertise: must befamiliar with telecommunications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commission. A party must seek any available intracommission appeal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commission heads and members of multimembered commission heads, when reviewing a proposed decision upon intracommission appeal, shall have the powers of and shall comply with the provisions of this chapter which apply to presiding officers.</w:t>
      </w:r>
    </w:p>
    <w:p>
      <w:pPr>
        <w:spacing w:before="210" w:after="0"/>
        <w:ind w:left="120"/>
        <w:jc w:val="both"/>
      </w:pPr>
      <w:r>
        <w:rPr>
          <w:rFonts w:ascii="Times New Roman" w:hAnsi="Times New Roman"/>
          <w:b/>
          <w:i w:val="false"/>
          <w:color w:val="000000"/>
          <w:sz w:val="22"/>
        </w:rPr>
        <w:t>751—4.7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commission in its discretion may refuse to give effect to such a waiver when it deems the waiver to be inconsistent with the public interest.</w:t>
      </w:r>
    </w:p>
    <w:p>
      <w:pPr>
        <w:spacing w:before="210" w:after="0"/>
        <w:ind w:left="120"/>
        <w:jc w:val="both"/>
      </w:pPr>
      <w:r>
        <w:rPr>
          <w:rFonts w:ascii="Times New Roman" w:hAnsi="Times New Roman"/>
          <w:b/>
          <w:i w:val="false"/>
          <w:color w:val="000000"/>
          <w:sz w:val="22"/>
        </w:rPr>
        <w:t>751—4.8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or network proceedings. </w:t>
      </w:r>
      <w:r>
        <w:rPr>
          <w:rFonts w:ascii="Times New Roman" w:hAnsi="Times New Roman"/>
          <w:b w:val="false"/>
          <w:i w:val="false"/>
          <w:color w:val="000000"/>
          <w:sz w:val="22"/>
        </w:rPr>
        <w:t>The presiding officer may resolve preliminary procedural motions by telephone conference or on the Iowa Communications Network in which all parties have an opportunity to participate. Other telephone or network proceedings, including the hearing for the contested case proceeding, may be held with the consent of all parties. The presiding officer will determine the location of the parties and witnesses for telephone or network hearings. The convenience of the witnesses or parties, as well as the nature of the case, will be considered when location is chosen. The cost of the telephone hearing or network hearing may be assessed equally to each party.</w:t>
      </w:r>
    </w:p>
    <w:p>
      <w:pPr>
        <w:spacing w:before="0" w:after="0"/>
        <w:ind w:left="120"/>
        <w:jc w:val="both"/>
      </w:pPr>
      <w:r>
        <w:rPr>
          <w:rFonts w:ascii="Times New Roman" w:hAnsi="Times New Roman"/>
          <w:b/>
          <w:i w:val="false"/>
          <w:color w:val="000000"/>
          <w:sz w:val="22"/>
        </w:rPr>
        <w:t>751—4.9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commission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3">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subrules </w:t>
      </w:r>
      <w:hyperlink r:id="rId14">
        <w:r>
          <w:rPr>
            <w:rStyle w:val="Hyperlink"/>
            <w:rFonts w:ascii="Times New Roman" w:hAnsi="Times New Roman"/>
            <w:b w:val="false"/>
            <w:i w:val="false"/>
            <w:color w:val="000000"/>
            <w:sz w:val="22"/>
          </w:rPr>
          <w:t>4.9(3)</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16">
        <w:r>
          <w:rPr>
            <w:rStyle w:val="Hyperlink"/>
            <w:rFonts w:ascii="Times New Roman" w:hAnsi="Times New Roman"/>
            <w:b w:val="false"/>
            <w:i w:val="false"/>
            <w:color w:val="000000"/>
            <w:sz w:val="22"/>
          </w:rPr>
          <w:t>4.9(1)</w:t>
        </w:r>
      </w:hyperlink>
      <w:r>
        <w:rPr>
          <w:rFonts w:ascii="Times New Roman" w:hAnsi="Times New Roman"/>
          <w:b w:val="false"/>
          <w:i w:val="false"/>
          <w:color w:val="000000"/>
          <w:sz w:val="22"/>
        </w:rPr>
        <w:t xml:space="preserve">, the party shall file a motion supported by an affidavit pursuant to Iowa Code section </w:t>
      </w:r>
      <w:hyperlink r:id="rId17">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xml:space="preserve">. The motion must be filed as soon as practicable after the reason alleged in the motion becomes known to the party. If, during the course of the hearing, a party first becomes aware of evidence of bias or other grounds for disqualification, the party may move for disqualification but must establish the grounds by the introduction of evidence into the record. </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rule </w:t>
      </w:r>
      <w:hyperlink r:id="rId18">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xml:space="preserve">(17A) and seek a stay under rule </w:t>
      </w:r>
      <w:hyperlink r:id="rId19">
        <w:r>
          <w:rPr>
            <w:rStyle w:val="Hyperlink"/>
            <w:rFonts w:ascii="Times New Roman" w:hAnsi="Times New Roman"/>
            <w:b w:val="false"/>
            <w:i w:val="false"/>
            <w:color w:val="000000"/>
            <w:sz w:val="22"/>
          </w:rPr>
          <w:t>4.29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751—4.10</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751—4.11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val="false"/>
          <w:color w:val="000000"/>
          <w:sz w:val="22"/>
        </w:rPr>
        <w:t>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petition required in a contested case proceeding shall be filed within 20 days of delivery of the notice of hearing or subsequent order of the presiding officer,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val="false"/>
          <w:color w:val="000000"/>
          <w:sz w:val="22"/>
        </w:rPr>
        <w:t>Answer. An answer shall be filed within 20 days of service of the petition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Any allegation in the petition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w:t>
      </w:r>
      <w:r>
        <w:rPr>
          <w:rFonts w:ascii="Times New Roman" w:hAnsi="Times New Roman"/>
          <w:b w:val="false"/>
          <w:i w:val="false"/>
          <w:color w:val="000000"/>
          <w:sz w:val="22"/>
        </w:rPr>
        <w:t> </w:t>
      </w:r>
      <w:r>
        <w:rPr>
          <w:rFonts w:ascii="Times New Roman" w:hAnsi="Times New Roman"/>
          <w:b w:val="false"/>
          <w:i w:val="false"/>
          <w:color w:val="000000"/>
          <w:sz w:val="22"/>
        </w:rPr>
        <w:t>Amendment. 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i w:val="false"/>
          <w:color w:val="000000"/>
          <w:sz w:val="22"/>
        </w:rPr>
        <w:t>751—4.12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commission, simultaneously with their filing. Except for the original notice of hearing and an application for rehearing as provided in Iowa Code section </w:t>
      </w:r>
      <w:hyperlink r:id="rId20">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 xml:space="preserve">After the notice of hearing, all pleadings, motions, documents or other papers in a contested case proceeding shall be filed with the executive director of the commission at the ICN main office location as listed in </w:t>
      </w:r>
      <w:hyperlink r:id="rId21">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All pleadings, motions, documents or other papers that are required to be served upon a party shall be filed simultaneously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 xml:space="preserve">Except where otherwise provided by law, a document is deemed filed at the time it is delivered to the ICN main office location as listed in </w:t>
      </w:r>
      <w:hyperlink r:id="rId22">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20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 xml:space="preserve">I certify under penalty of perjury and pursuant to the laws of Iowa that, on (date of mailing), I mailed copies of (describe document) addressed to the Iowa Telecommunications and Technology Commission at the ICN main office location as listed in </w:t>
            </w:r>
            <w:hyperlink r:id="rId23">
              <w:r>
                <w:rPr>
                  <w:rStyle w:val="Hyperlink"/>
                  <w:rFonts w:ascii="Times New Roman" w:hAnsi="Times New Roman"/>
                  <w:b w:val="false"/>
                  <w:i w:val="false"/>
                  <w:color w:val="000000"/>
                  <w:sz w:val="21"/>
                </w:rPr>
                <w:t>751—subrule 1.6(1)</w:t>
              </w:r>
            </w:hyperlink>
            <w:r>
              <w:rPr>
                <w:rFonts w:ascii="Times New Roman" w:hAnsi="Times New Roman"/>
                <w:b w:val="false"/>
                <w:i w:val="false"/>
                <w:color w:val="000000"/>
                <w:sz w:val="21"/>
              </w:rPr>
              <w:t xml:space="preserve">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ind w:left="120"/>
        <w:jc w:val="both"/>
      </w:pPr>
      <w:r>
        <w:rPr>
          <w:rFonts w:ascii="Times New Roman" w:hAnsi="Times New Roman"/>
          <w:b/>
          <w:i w:val="false"/>
          <w:color w:val="000000"/>
          <w:sz w:val="22"/>
        </w:rPr>
        <w:t>751—4.13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subrule </w:t>
      </w:r>
      <w:hyperlink r:id="rId24">
        <w:r>
          <w:rPr>
            <w:rStyle w:val="Hyperlink"/>
            <w:rFonts w:ascii="Times New Roman" w:hAnsi="Times New Roman"/>
            <w:b w:val="false"/>
            <w:i w:val="false"/>
            <w:color w:val="000000"/>
            <w:sz w:val="22"/>
          </w:rPr>
          <w:t>4.13(1)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i w:val="false"/>
          <w:color w:val="000000"/>
          <w:sz w:val="22"/>
        </w:rPr>
        <w:t>751—4.14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commission subpoena shall be issued to a party on request. Such a request must be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ind w:left="120"/>
        <w:jc w:val="both"/>
      </w:pPr>
      <w:r>
        <w:rPr>
          <w:rFonts w:ascii="Times New Roman" w:hAnsi="Times New Roman"/>
          <w:b/>
          <w:i w:val="false"/>
          <w:color w:val="000000"/>
          <w:sz w:val="22"/>
        </w:rPr>
        <w:t>751—4.15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commission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commission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Motions for summary judgment shall comply with the requirements of Iowa Rule of Civil Procedure 237 and shall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xml:space="preserve">Motions for summary judgment must be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rule </w:t>
      </w:r>
      <w:hyperlink r:id="rId25">
        <w:r>
          <w:rPr>
            <w:rStyle w:val="Hyperlink"/>
            <w:rFonts w:ascii="Times New Roman" w:hAnsi="Times New Roman"/>
            <w:b w:val="false"/>
            <w:i w:val="false"/>
            <w:color w:val="000000"/>
            <w:sz w:val="22"/>
          </w:rPr>
          <w:t>4.28</w:t>
        </w:r>
      </w:hyperlink>
      <w:r>
        <w:rPr>
          <w:rFonts w:ascii="Times New Roman" w:hAnsi="Times New Roman"/>
          <w:b w:val="false"/>
          <w:i w:val="false"/>
          <w:color w:val="000000"/>
          <w:sz w:val="22"/>
        </w:rPr>
        <w:t xml:space="preserve">(17A) and appeal pursuant to rule </w:t>
      </w:r>
      <w:hyperlink r:id="rId26">
        <w:r>
          <w:rPr>
            <w:rStyle w:val="Hyperlink"/>
            <w:rFonts w:ascii="Times New Roman" w:hAnsi="Times New Roman"/>
            <w:b w:val="false"/>
            <w:i w:val="false"/>
            <w:color w:val="000000"/>
            <w:sz w:val="22"/>
          </w:rPr>
          <w:t>4.27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751—4.16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w:t>
      </w:r>
    </w:p>
    <w:p>
      <w:pPr>
        <w:spacing w:before="0" w:after="0"/>
        <w:ind w:left="120"/>
        <w:jc w:val="both"/>
      </w:pPr>
      <w:r>
        <w:rPr>
          <w:rFonts w:ascii="Times New Roman" w:hAnsi="Times New Roman"/>
          <w:b w:val="false"/>
          <w:i w:val="false"/>
          <w:color w:val="000000"/>
          <w:sz w:val="22"/>
        </w:rPr>
        <w:t>Written notice of the prehearing conference shall be given by the executive director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27">
        <w:r>
          <w:rPr>
            <w:rStyle w:val="Hyperlink"/>
            <w:rFonts w:ascii="Times New Roman" w:hAnsi="Times New Roman"/>
            <w:b w:val="false"/>
            <w:i w:val="false"/>
            <w:color w:val="000000"/>
            <w:sz w:val="22"/>
          </w:rPr>
          <w:t>4.16(2)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p>
      <w:pPr>
        <w:spacing w:before="0" w:after="0"/>
        <w:ind w:left="120"/>
        <w:jc w:val="both"/>
      </w:pPr>
      <w:r>
        <w:rPr>
          <w:rFonts w:ascii="Times New Roman" w:hAnsi="Times New Roman"/>
          <w:b/>
          <w:i w:val="false"/>
          <w:color w:val="000000"/>
          <w:sz w:val="22"/>
        </w:rPr>
        <w:t>751—4.17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commission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210" w:after="0"/>
        <w:ind w:left="120"/>
        <w:jc w:val="both"/>
      </w:pPr>
      <w:r>
        <w:rPr>
          <w:rFonts w:ascii="Times New Roman" w:hAnsi="Times New Roman"/>
          <w:b/>
          <w:i w:val="false"/>
          <w:color w:val="000000"/>
          <w:sz w:val="22"/>
        </w:rPr>
        <w:t>751—4.18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only in accordance with commission rules. Unless otherwise provided, a withdrawal shall be with prejudice.</w:t>
      </w:r>
    </w:p>
    <w:p>
      <w:pPr>
        <w:spacing w:before="0" w:after="0"/>
        <w:ind w:left="120"/>
        <w:jc w:val="both"/>
      </w:pPr>
      <w:r>
        <w:rPr>
          <w:rFonts w:ascii="Times New Roman" w:hAnsi="Times New Roman"/>
          <w:b/>
          <w:i w:val="false"/>
          <w:color w:val="000000"/>
          <w:sz w:val="22"/>
        </w:rPr>
        <w:t>751—4.19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ind w:left="120"/>
        <w:jc w:val="both"/>
      </w:pPr>
      <w:r>
        <w:rPr>
          <w:rFonts w:ascii="Times New Roman" w:hAnsi="Times New Roman"/>
          <w:b/>
          <w:i w:val="false"/>
          <w:color w:val="000000"/>
          <w:sz w:val="22"/>
        </w:rPr>
        <w:t>751—4.20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i w:val="false"/>
          <w:color w:val="000000"/>
          <w:sz w:val="22"/>
        </w:rPr>
        <w:t>751—4.21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751—4.22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commission action unless, within 15 days after the date of notification or mailing of the decision, a motion to vacate is filed and served on all parties or an appeal of a decision on the merits is timely initiated within the time provided by rule </w:t>
      </w:r>
      <w:hyperlink r:id="rId28">
        <w:r>
          <w:rPr>
            <w:rStyle w:val="Hyperlink"/>
            <w:rFonts w:ascii="Times New Roman" w:hAnsi="Times New Roman"/>
            <w:b w:val="false"/>
            <w:i w:val="false"/>
            <w:color w:val="000000"/>
            <w:sz w:val="22"/>
          </w:rPr>
          <w:t>4.27</w:t>
        </w:r>
      </w:hyperlink>
      <w:r>
        <w:rPr>
          <w:rFonts w:ascii="Times New Roman" w:hAnsi="Times New Roman"/>
          <w:b w:val="false"/>
          <w:i w:val="false"/>
          <w:color w:val="000000"/>
          <w:sz w:val="22"/>
        </w:rPr>
        <w:t>(17A).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236.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29">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30">
        <w:r>
          <w:rPr>
            <w:rStyle w:val="Hyperlink"/>
            <w:rFonts w:ascii="Times New Roman" w:hAnsi="Times New Roman"/>
            <w:b w:val="false"/>
            <w:i w:val="false"/>
            <w:color w:val="000000"/>
            <w:sz w:val="22"/>
          </w:rPr>
          <w:t>4.29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751—4.23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commission or seeking the advice or help of persons other than those with a personal interest in, or those engaged in personally investigating as defined in subrule </w:t>
      </w:r>
      <w:hyperlink r:id="rId31">
        <w:r>
          <w:rPr>
            <w:rStyle w:val="Hyperlink"/>
            <w:rFonts w:ascii="Times New Roman" w:hAnsi="Times New Roman"/>
            <w:b w:val="false"/>
            <w:i w:val="false"/>
            <w:color w:val="000000"/>
            <w:sz w:val="22"/>
          </w:rPr>
          <w:t>4.9(2)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32">
        <w:r>
          <w:rPr>
            <w:rStyle w:val="Hyperlink"/>
            <w:rFonts w:ascii="Times New Roman" w:hAnsi="Times New Roman"/>
            <w:b w:val="false"/>
            <w:i w:val="false"/>
            <w:color w:val="000000"/>
            <w:sz w:val="22"/>
          </w:rPr>
          <w:t>4.12</w:t>
        </w:r>
      </w:hyperlink>
      <w:r>
        <w:rPr>
          <w:rFonts w:ascii="Times New Roman" w:hAnsi="Times New Roman"/>
          <w:b w:val="false"/>
          <w:i w:val="false"/>
          <w:color w:val="000000"/>
          <w:sz w:val="22"/>
        </w:rPr>
        <w:t>(17A)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subrule </w:t>
      </w:r>
      <w:hyperlink r:id="rId33">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34">
        <w:r>
          <w:rPr>
            <w:rStyle w:val="Hyperlink"/>
            <w:rFonts w:ascii="Times New Roman" w:hAnsi="Times New Roman"/>
            <w:b w:val="false"/>
            <w:i w:val="false"/>
            <w:color w:val="000000"/>
            <w:sz w:val="22"/>
          </w:rPr>
          <w:t>4.17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35">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commission. Violation of ex parte communication prohibitions by commission personnel shall be reported to the executive director for possible sanctions including censure, suspension, dismissal, or other disciplinary action.</w:t>
      </w:r>
    </w:p>
    <w:p>
      <w:pPr>
        <w:spacing w:before="0" w:after="0"/>
        <w:ind w:left="120"/>
        <w:jc w:val="both"/>
      </w:pPr>
      <w:r>
        <w:rPr>
          <w:rFonts w:ascii="Times New Roman" w:hAnsi="Times New Roman"/>
          <w:b/>
          <w:i w:val="false"/>
          <w:color w:val="000000"/>
          <w:sz w:val="22"/>
        </w:rPr>
        <w:t>751—4.24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commission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rather than by electronic means shall bear the cost of that recordation, unless otherwise provided by law.</w:t>
      </w:r>
    </w:p>
    <w:p>
      <w:pPr>
        <w:spacing w:before="210" w:after="0"/>
        <w:ind w:left="120"/>
        <w:jc w:val="both"/>
      </w:pPr>
      <w:r>
        <w:rPr>
          <w:rFonts w:ascii="Times New Roman" w:hAnsi="Times New Roman"/>
          <w:b/>
          <w:i w:val="false"/>
          <w:color w:val="000000"/>
          <w:sz w:val="22"/>
        </w:rPr>
        <w:t>751—4.25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commission may review an interlocutory order of the presiding officer. In determining whether to do so, the commission shall weigh the extent to which its granting the interlocutory appeal would expedite final resolution of the case and the extent to which review of that interlocutory order by the commission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ind w:left="120"/>
        <w:jc w:val="both"/>
      </w:pPr>
      <w:r>
        <w:rPr>
          <w:rFonts w:ascii="Times New Roman" w:hAnsi="Times New Roman"/>
          <w:b/>
          <w:i w:val="false"/>
          <w:color w:val="000000"/>
          <w:sz w:val="22"/>
        </w:rPr>
        <w:t>751—4.26</w:t>
      </w:r>
      <w:r>
        <w:rPr>
          <w:rFonts w:ascii="Times New Roman" w:hAnsi="Times New Roman"/>
          <w:b/>
          <w:i w:val="false"/>
          <w:color w:val="000000"/>
          <w:sz w:val="22"/>
        </w:rPr>
        <w:t xml:space="preserve">(17A) </w:t>
      </w:r>
      <w:r>
        <w:rPr>
          <w:rFonts w:ascii="Times New Roman" w:hAnsi="Times New Roman"/>
          <w:b/>
          <w:i w:val="false"/>
          <w:color w:val="000000"/>
          <w:sz w:val="22"/>
        </w:rPr>
        <w:t xml:space="preserve">Posthearing procedures and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4.26(1)</w:t>
      </w:r>
      <w:r>
        <w:rPr>
          <w:rFonts w:ascii="Times New Roman" w:hAnsi="Times New Roman"/>
          <w:b w:val="false"/>
          <w:i w:val="false"/>
          <w:color w:val="000000"/>
          <w:sz w:val="22"/>
        </w:rPr>
        <w:t> </w:t>
      </w:r>
      <w:r>
        <w:rPr>
          <w:rFonts w:ascii="Times New Roman" w:hAnsi="Times New Roman"/>
          <w:b w:val="false"/>
          <w:i/>
          <w:color w:val="000000"/>
          <w:sz w:val="22"/>
        </w:rPr>
        <w:t xml:space="preserve"> Filing by parties of briefs and proposed findings. </w:t>
      </w:r>
      <w:r>
        <w:rPr>
          <w:rFonts w:ascii="Times New Roman" w:hAnsi="Times New Roman"/>
          <w:b w:val="false"/>
          <w:i w:val="false"/>
          <w:color w:val="000000"/>
          <w:sz w:val="22"/>
        </w:rPr>
        <w:t>The presiding officer may ask the parties to submit proposed findings and conclusions of law and a proposed order or briefs. Copies of the submission shall be served on all parties. The submission schedule, including waiver or briefs, shall be determined at the close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4.26(2)</w:t>
      </w:r>
      <w:r>
        <w:rPr>
          <w:rFonts w:ascii="Times New Roman" w:hAnsi="Times New Roman"/>
          <w:b w:val="false"/>
          <w:i w:val="false"/>
          <w:color w:val="000000"/>
          <w:sz w:val="22"/>
        </w:rPr>
        <w:t> </w:t>
      </w:r>
      <w:r>
        <w:rPr>
          <w:rFonts w:ascii="Times New Roman" w:hAnsi="Times New Roman"/>
          <w:b w:val="false"/>
          <w:i/>
          <w:color w:val="000000"/>
          <w:sz w:val="22"/>
        </w:rPr>
        <w:t xml:space="preserve">Final decision or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quorum of the entire commission presides over the reception of evidence at the hearing, its decision is a final decision. The decision shall be in writing and shall include findings of fact and conclusions of law in conformance with Iowa Code chapter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contested case in which the hearing is held before an administrative law judge or a panel of commission members constituting less than a quorum of the board, the presiding officer or panel shall render a proposed decision. The proposed decision shall be in writing and shall include findings of fact and conclusions of law in conformance with Iowa Code chapter </w:t>
      </w:r>
      <w:hyperlink r:id="rId3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proposed decision becomes the final decision of the commission without further proceedings unless there is an appeal to, or review on motion of, the commission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w:t>
      </w:r>
      <w:r>
        <w:rPr>
          <w:rFonts w:ascii="Times New Roman" w:hAnsi="Times New Roman"/>
          <w:b w:val="false"/>
          <w:i w:val="false"/>
          <w:color w:val="000000"/>
          <w:sz w:val="22"/>
        </w:rPr>
        <w:t> </w:t>
      </w:r>
      <w:r>
        <w:rPr>
          <w:rFonts w:ascii="Times New Roman" w:hAnsi="Times New Roman"/>
          <w:b w:val="false"/>
          <w:i/>
          <w:color w:val="000000"/>
          <w:sz w:val="22"/>
        </w:rPr>
        <w:t xml:space="preserve">Decisions and 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By whom prepared. </w:t>
      </w:r>
      <w:r>
        <w:rPr>
          <w:rFonts w:ascii="Times New Roman" w:hAnsi="Times New Roman"/>
          <w:b w:val="false"/>
          <w:i w:val="false"/>
          <w:color w:val="000000"/>
          <w:sz w:val="22"/>
        </w:rPr>
        <w:t>The presiding officer who presided at the reception of evidence shall prepare a proposed or final decision or order in each case. Findings of fact shall be prepared by the presiding officer at the reception of the evidence in a case unless the officer becomes unavailable. If the officer is unavailable, the findings of fact may be prepared by another person qualified to be a presiding officer who has read the record, unless demeanor of witnesses is a substantial factor. If demeanor is a substantial factor and the presiding officer is unavailable, the portions of the hearing involving demeanor shall be heard again or the case shall be dismissed.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decision or order. </w:t>
      </w:r>
      <w:r>
        <w:rPr>
          <w:rFonts w:ascii="Times New Roman" w:hAnsi="Times New Roman"/>
          <w:b w:val="false"/>
          <w:i w:val="false"/>
          <w:color w:val="000000"/>
          <w:sz w:val="22"/>
        </w:rPr>
        <w:t>The proposed or final decision or order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 or stated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findings of fact. Findings of fact, if set forth in statutory language, shall be accompanied by a concise and explicit statement of underlying facts supporting the findings. If a party submitted proposed finding of fact in accordance with subrule </w:t>
      </w:r>
      <w:hyperlink r:id="rId38">
        <w:r>
          <w:rPr>
            <w:rStyle w:val="Hyperlink"/>
            <w:rFonts w:ascii="Times New Roman" w:hAnsi="Times New Roman"/>
            <w:b w:val="false"/>
            <w:i w:val="false"/>
            <w:color w:val="000000"/>
            <w:sz w:val="22"/>
          </w:rPr>
          <w:t>4.26(1)</w:t>
        </w:r>
      </w:hyperlink>
      <w:r>
        <w:rPr>
          <w:rFonts w:ascii="Times New Roman" w:hAnsi="Times New Roman"/>
          <w:b w:val="false"/>
          <w:i w:val="false"/>
          <w:color w:val="000000"/>
          <w:sz w:val="22"/>
        </w:rPr>
        <w:t>, the decision or order shall include a ruling upon each proposed finding.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conclusions of law, supported by cited authority or reasoned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A copy of the proposed decision or order shall be delivered to the parties either by personal service or by certified mail, return receipt requested.</w:t>
      </w:r>
    </w:p>
    <w:p>
      <w:pPr>
        <w:spacing w:before="0" w:after="0"/>
        <w:ind w:left="120"/>
        <w:jc w:val="both"/>
      </w:pPr>
      <w:r>
        <w:rPr>
          <w:rFonts w:ascii="Times New Roman" w:hAnsi="Times New Roman"/>
          <w:b/>
          <w:i w:val="false"/>
          <w:color w:val="000000"/>
          <w:sz w:val="22"/>
        </w:rPr>
        <w:t>751—4.27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commission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commission member of the commission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commission. The notice of appeal must be signed by the appealing party or a representative of that party and contain a certificate of service. If a commission member or the commission initiates review of a proposed decision, the executive director shall mail a notice of review to all parties. The notice of appeal or the notice of review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commission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commission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commission may resolve the appeal on the briefs or provide an opportunity for oral argument. The commission may shorten or extend the briefing period as appropriate.</w:t>
      </w:r>
    </w:p>
    <w:p>
      <w:pPr>
        <w:spacing w:before="0" w:after="0"/>
        <w:ind w:left="120"/>
        <w:jc w:val="both"/>
      </w:pPr>
      <w:r>
        <w:rPr>
          <w:rFonts w:ascii="Times New Roman" w:hAnsi="Times New Roman"/>
          <w:b/>
          <w:i w:val="false"/>
          <w:color w:val="000000"/>
          <w:sz w:val="22"/>
        </w:rPr>
        <w:t>751—4.28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commission decision on the existing record and whether, on the basis of the grounds enumerated in subrule </w:t>
      </w:r>
      <w:hyperlink r:id="rId39">
        <w:r>
          <w:rPr>
            <w:rStyle w:val="Hyperlink"/>
            <w:rFonts w:ascii="Times New Roman" w:hAnsi="Times New Roman"/>
            <w:b w:val="false"/>
            <w:i w:val="false"/>
            <w:color w:val="000000"/>
            <w:sz w:val="22"/>
          </w:rPr>
          <w:t>4.27(4)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commission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commission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commission grants the application within 20 days after its filing.</w:t>
      </w:r>
    </w:p>
    <w:p>
      <w:pPr>
        <w:spacing w:before="0" w:after="0"/>
        <w:ind w:left="120"/>
        <w:jc w:val="both"/>
      </w:pPr>
      <w:r>
        <w:rPr>
          <w:rFonts w:ascii="Times New Roman" w:hAnsi="Times New Roman"/>
          <w:b/>
          <w:i w:val="false"/>
          <w:color w:val="000000"/>
          <w:sz w:val="22"/>
        </w:rPr>
        <w:t>751—4.29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commission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commission for a stay of an order issued in that proceeding or for other temporary remedies, pending review by the commission. The petition shall be filed with the notice of appeal and shall state the reasons justifying a stay or other temporary remedy. The commission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commission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commission shall consider the factors listed in Iowa Code section </w:t>
      </w:r>
      <w:hyperlink r:id="rId40">
        <w:r>
          <w:rPr>
            <w:rStyle w:val="Hyperlink"/>
            <w:rFonts w:ascii="Times New Roman" w:hAnsi="Times New Roman"/>
            <w:b w:val="false"/>
            <w:i w:val="false"/>
            <w:color w:val="000000"/>
            <w:sz w:val="22"/>
          </w:rPr>
          <w:t>17A.19(5)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commission or any other party.</w:t>
      </w:r>
    </w:p>
    <w:p>
      <w:pPr>
        <w:spacing w:before="210" w:after="0"/>
        <w:ind w:left="120"/>
        <w:jc w:val="both"/>
      </w:pPr>
      <w:r>
        <w:rPr>
          <w:rFonts w:ascii="Times New Roman" w:hAnsi="Times New Roman"/>
          <w:b/>
          <w:i w:val="false"/>
          <w:color w:val="000000"/>
          <w:sz w:val="22"/>
        </w:rPr>
        <w:t>751—4.30</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751—4.31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commission may issue a written order in compliance with Iowa Code section </w:t>
      </w:r>
      <w:hyperlink r:id="rId41">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commission by emergency adjudicative order. Before issuing an emergency adjudicative order the commission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commission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person required to comply with the emergency adjudicative order may continue to engage in other activities without posing immediate danger to the public health, safety or welfare;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commission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commission’s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commission;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commission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commission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commission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commission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shall include notification of the date on which commission proceedings are scheduled for completion. After issuance of an emergency adjudicative order, continuance of further commission proceedings to a later date will be granted only in compelling circumstances upon application in writing.</w:t>
      </w:r>
    </w:p>
    <w:p>
      <w:pPr>
        <w:spacing w:before="210" w:after="0"/>
        <w:ind w:left="120"/>
        <w:jc w:val="both"/>
      </w:pPr>
      <w:r>
        <w:rPr>
          <w:rFonts w:ascii="Times New Roman" w:hAnsi="Times New Roman"/>
          <w:b/>
          <w:i w:val="false"/>
          <w:color w:val="000000"/>
          <w:sz w:val="22"/>
        </w:rPr>
        <w:t>751—4.32</w:t>
      </w:r>
      <w:r>
        <w:rPr>
          <w:rFonts w:ascii="Times New Roman" w:hAnsi="Times New Roman"/>
          <w:b/>
          <w:i w:val="false"/>
          <w:color w:val="000000"/>
          <w:sz w:val="22"/>
        </w:rPr>
        <w:t xml:space="preserve">(17A,8D) </w:t>
      </w:r>
      <w:r>
        <w:rPr>
          <w:rFonts w:ascii="Times New Roman" w:hAnsi="Times New Roman"/>
          <w:b/>
          <w:i w:val="false"/>
          <w:color w:val="000000"/>
          <w:sz w:val="22"/>
        </w:rPr>
        <w:t xml:space="preserve">Informal procedure prior to hearing. </w:t>
      </w:r>
      <w:r>
        <w:rPr>
          <w:rFonts w:ascii="Times New Roman" w:hAnsi="Times New Roman"/>
          <w:b w:val="false"/>
          <w:i w:val="false"/>
          <w:color w:val="000000"/>
          <w:sz w:val="22"/>
        </w:rPr>
        <w:t xml:space="preserve">Any person who desires to pursue informal settlement of any contested case may request a meeting with appropriate staff. The request should be made in writing to the executive director, setting forth a concise statement of the circumstances giving rise to the controversy, the text or citation to any applicable law, commission rule, or decision, and a statement of the settlement proposed. A request for informal settlement should be received by the executive director not less than 15 days before the board meeting at which it is to be considered. The executive director shall schedule consideration of the request at the next regular board meeting occurring more than 15 days after the request for an informal settlement is made. Not more than 10 days after the commission meeting at which the request is scheduled for consideration, the executive director will notify the petitioner in writing of the commission’s disposition of the request. If the commission determines that a conference is appropriate, the party will be notified when, where, and with whom such a conference is to be held. The terms of any settlement agreed to by the parties shall be embodied in a written stipulation. Upon receipt of the request, all formal contested case procedures are stayed, except in the case of emergency orders as provided in rule </w:t>
      </w:r>
      <w:hyperlink r:id="rId42">
        <w:r>
          <w:rPr>
            <w:rStyle w:val="Hyperlink"/>
            <w:rFonts w:ascii="Times New Roman" w:hAnsi="Times New Roman"/>
            <w:b w:val="false"/>
            <w:i w:val="false"/>
            <w:color w:val="000000"/>
            <w:sz w:val="22"/>
          </w:rPr>
          <w:t>4.31</w:t>
        </w:r>
      </w:hyperlink>
      <w:r>
        <w:rPr>
          <w:rFonts w:ascii="Times New Roman" w:hAnsi="Times New Roman"/>
          <w:b w:val="false"/>
          <w:i w:val="false"/>
          <w:color w:val="000000"/>
          <w:sz w:val="22"/>
        </w:rPr>
        <w:t xml:space="preserve">(17A). If informal settlement is unsuccessful, formal contested case proceedings may be instituted in accordance with rule </w:t>
      </w:r>
      <w:hyperlink r:id="rId43">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(17A).</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4">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9/17/96, Notice 7/31/96—published 10/9/96, effective 11/13/96]</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1/18/02, Notice 11/28/01—published 2/6/02, effective 3/13/02]</w:t>
      </w:r>
    </w:p>
    <w:p>
      <w:pPr>
        <w:spacing w:before="0" w:after="0"/>
        <w:ind w:left="120"/>
        <w:jc w:val="center"/>
      </w:pPr>
      <w:r>
        <w:rPr>
          <w:rFonts w:ascii="Times New Roman" w:hAnsi="Times New Roman"/>
          <w:b w:val="false"/>
          <w:i w:val="false"/>
          <w:color w:val="000000"/>
          <w:sz w:val="21"/>
        </w:rPr>
        <w:t>[Filed 9/21/07, Notice 6/20/07—published 10/10/07, effective 11/14/07]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17A.10A.pdf" Type="http://schemas.openxmlformats.org/officeDocument/2006/relationships/hyperlink" Id="rId7"/>
    <Relationship TargetMode="External" Target="https://www.legis.iowa.gov/docs/ico/chapter/4.1.pdf" Type="http://schemas.openxmlformats.org/officeDocument/2006/relationships/hyperlink" Id="rId8"/>
    <Relationship TargetMode="External" Target="https://www.legis.iowa.gov/docs/ico/chapter/17A.11.pdf" Type="http://schemas.openxmlformats.org/officeDocument/2006/relationships/hyperlink" Id="rId9"/>
    <Relationship TargetMode="External" Target="https://www.legis.iowa.gov/docs/iac/rule/751.4.6.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ac/rule/751.4.6.pdf" Type="http://schemas.openxmlformats.org/officeDocument/2006/relationships/hyperlink" Id="rId12"/>
    <Relationship TargetMode="External" Target="https://www.legis.iowa.gov/docs/ico/chapter/17A.17.pdf" Type="http://schemas.openxmlformats.org/officeDocument/2006/relationships/hyperlink" Id="rId13"/>
    <Relationship TargetMode="External" Target="https://www.legis.iowa.gov/docs/iac/rule/751.4.9.pdf" Type="http://schemas.openxmlformats.org/officeDocument/2006/relationships/hyperlink" Id="rId14"/>
    <Relationship TargetMode="External" Target="https://www.legis.iowa.gov/docs/iac/rule/751.4.23.pdf" Type="http://schemas.openxmlformats.org/officeDocument/2006/relationships/hyperlink" Id="rId15"/>
    <Relationship TargetMode="External" Target="https://www.legis.iowa.gov/docs/iac/rule/751.4.9.pdf" Type="http://schemas.openxmlformats.org/officeDocument/2006/relationships/hyperlink" Id="rId16"/>
    <Relationship TargetMode="External" Target="https://www.legis.iowa.gov/docs/ico/chapter/17A.17.pdf" Type="http://schemas.openxmlformats.org/officeDocument/2006/relationships/hyperlink" Id="rId17"/>
    <Relationship TargetMode="External" Target="https://www.legis.iowa.gov/docs/iac/rule/751.4.25.pdf" Type="http://schemas.openxmlformats.org/officeDocument/2006/relationships/hyperlink" Id="rId18"/>
    <Relationship TargetMode="External" Target="https://www.legis.iowa.gov/docs/iac/rule/751.4.29.pdf" Type="http://schemas.openxmlformats.org/officeDocument/2006/relationships/hyperlink" Id="rId19"/>
    <Relationship TargetMode="External" Target="https://www.legis.iowa.gov/docs/ico/chapter/17A.16.pdf" Type="http://schemas.openxmlformats.org/officeDocument/2006/relationships/hyperlink" Id="rId20"/>
    <Relationship TargetMode="External" Target="https://www.legis.iowa.gov/docs/iac/rule/751.1.6.pdf" Type="http://schemas.openxmlformats.org/officeDocument/2006/relationships/hyperlink" Id="rId21"/>
    <Relationship TargetMode="External" Target="https://www.legis.iowa.gov/docs/iac/rule/751.1.6.pdf" Type="http://schemas.openxmlformats.org/officeDocument/2006/relationships/hyperlink" Id="rId22"/>
    <Relationship TargetMode="External" Target="https://www.legis.iowa.gov/docs/iac/rule/751.1.6.pdf" Type="http://schemas.openxmlformats.org/officeDocument/2006/relationships/hyperlink" Id="rId23"/>
    <Relationship TargetMode="External" Target="https://www.legis.iowa.gov/docs/iac/rule/751.4.13.pdf" Type="http://schemas.openxmlformats.org/officeDocument/2006/relationships/hyperlink" Id="rId24"/>
    <Relationship TargetMode="External" Target="https://www.legis.iowa.gov/docs/iac/rule/751.4.28.pdf" Type="http://schemas.openxmlformats.org/officeDocument/2006/relationships/hyperlink" Id="rId25"/>
    <Relationship TargetMode="External" Target="https://www.legis.iowa.gov/docs/iac/rule/751.4.27.pdf" Type="http://schemas.openxmlformats.org/officeDocument/2006/relationships/hyperlink" Id="rId26"/>
    <Relationship TargetMode="External" Target="https://www.legis.iowa.gov/docs/iac/rule/751.4.16.pdf" Type="http://schemas.openxmlformats.org/officeDocument/2006/relationships/hyperlink" Id="rId27"/>
    <Relationship TargetMode="External" Target="https://www.legis.iowa.gov/docs/iac/rule/751.4.27.pdf" Type="http://schemas.openxmlformats.org/officeDocument/2006/relationships/hyperlink" Id="rId28"/>
    <Relationship TargetMode="External" Target="https://www.legis.iowa.gov/docs/iac/rule/751.4.25.pdf" Type="http://schemas.openxmlformats.org/officeDocument/2006/relationships/hyperlink" Id="rId29"/>
    <Relationship TargetMode="External" Target="https://www.legis.iowa.gov/docs/iac/rule/751.4.29.pdf" Type="http://schemas.openxmlformats.org/officeDocument/2006/relationships/hyperlink" Id="rId30"/>
    <Relationship TargetMode="External" Target="https://www.legis.iowa.gov/docs/iac/rule/751.4.9.pdf" Type="http://schemas.openxmlformats.org/officeDocument/2006/relationships/hyperlink" Id="rId31"/>
    <Relationship TargetMode="External" Target="https://www.legis.iowa.gov/docs/iac/rule/751.4.12.pdf" Type="http://schemas.openxmlformats.org/officeDocument/2006/relationships/hyperlink" Id="rId32"/>
    <Relationship TargetMode="External" Target="https://www.legis.iowa.gov/docs/iac/rule/751.4.23.pdf" Type="http://schemas.openxmlformats.org/officeDocument/2006/relationships/hyperlink" Id="rId33"/>
    <Relationship TargetMode="External" Target="https://www.legis.iowa.gov/docs/iac/rule/751.4.17.pdf" Type="http://schemas.openxmlformats.org/officeDocument/2006/relationships/hyperlink" Id="rId34"/>
    <Relationship TargetMode="External" Target="https://www.legis.iowa.gov/docs/ico/chapter/17A.13.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17A.pdf" Type="http://schemas.openxmlformats.org/officeDocument/2006/relationships/hyperlink" Id="rId37"/>
    <Relationship TargetMode="External" Target="https://www.legis.iowa.gov/docs/iac/rule/751.4.26.pdf" Type="http://schemas.openxmlformats.org/officeDocument/2006/relationships/hyperlink" Id="rId38"/>
    <Relationship TargetMode="External" Target="https://www.legis.iowa.gov/docs/iac/rule/751.4.27.pdf" Type="http://schemas.openxmlformats.org/officeDocument/2006/relationships/hyperlink" Id="rId39"/>
    <Relationship TargetMode="External" Target="https://www.legis.iowa.gov/docs/ico/chapter/17A.19.pdf" Type="http://schemas.openxmlformats.org/officeDocument/2006/relationships/hyperlink" Id="rId40"/>
    <Relationship TargetMode="External" Target="https://www.legis.iowa.gov/docs/ico/chapter/17A.18A.pdf" Type="http://schemas.openxmlformats.org/officeDocument/2006/relationships/hyperlink" Id="rId41"/>
    <Relationship TargetMode="External" Target="https://www.legis.iowa.gov/docs/iac/rule/751.4.31.pdf" Type="http://schemas.openxmlformats.org/officeDocument/2006/relationships/hyperlink" Id="rId42"/>
    <Relationship TargetMode="External" Target="https://www.legis.iowa.gov/docs/iac/rule/751.4.5.pdf" Type="http://schemas.openxmlformats.org/officeDocument/2006/relationships/hyperlink" Id="rId43"/>
    <Relationship TargetMode="External" Target="https://www.legis.iowa.gov/docs/ico/chapter/8D.pdf" Type="http://schemas.openxmlformats.org/officeDocument/2006/relationships/hyperlink" Id="rId44"/>
    <Relationship TargetMode="External" Target="https://www.legis.iowa.gov/docs/ico/chapter/17A.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