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751—2.1</w:t>
      </w:r>
      <w:r>
        <w:rPr>
          <w:rFonts w:ascii="Times New Roman" w:hAnsi="Times New Roman"/>
          <w:b/>
          <w:i w:val="false"/>
          <w:color w:val="000000"/>
          <w:sz w:val="22"/>
        </w:rPr>
        <w:t xml:space="preserve">(17A,22)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implements Iowa Code section </w:t>
      </w:r>
      <w:hyperlink r:id="rId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by establishing commission policies and procedures for the maintenance of records. The purpose of this chapter is to facilitate public access to open records. It also seeks to facilitate sound commission determinations with respect to the handling of records and the implementation of the fair information practices Act. This commission is committed to the policies set forth in Iowa Code chapter </w:t>
      </w:r>
      <w:hyperlink r:id="rId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commission staff shall cooperate with members of the public in implementing the provisions of that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the commission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the possession of the commission which are governed by the rules of another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in reasonable anticipation of court litigation or formal administrative proceedings. The availability of such records to the general public or to any individual or party to such litigation or proceedings shall be governed by applicable legal and constitutional principles, statutes, rules of discovery, evidentiary privileges, and applicable regulations.</w:t>
      </w:r>
    </w:p>
    <w:p>
      <w:pPr>
        <w:spacing w:before="0" w:after="0"/>
        <w:ind w:left="120"/>
        <w:jc w:val="both"/>
      </w:pPr>
      <w:r>
        <w:rPr>
          <w:rFonts w:ascii="Times New Roman" w:hAnsi="Times New Roman"/>
          <w:b/>
          <w:i w:val="false"/>
          <w:color w:val="000000"/>
          <w:sz w:val="22"/>
        </w:rPr>
        <w:t>751—2.2</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telecommunications and technology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which is not available as a matter of right for examination and copying by members of the public under applicable provisions of law. Confidential records include records or information contained in records that the commission is prohibited by law from making available for examination by members of the public, and records or information contained in records that are specified as confidential by Iowa Code section </w:t>
      </w:r>
      <w:hyperlink r:id="rId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commission or a person lawfully delegated authority by its executive director to act for the commission in implementing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which identifies the individual and which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in these rules means the whole or a part of a “public record” as defined in Iowa Code section </w:t>
      </w:r>
      <w:hyperlink r:id="rId10">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commission from which a record may be retrieved by a personal identifier such as the name of an individual, number, symbol or other unique retriever assigned to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“Subject” </w:t>
      </w:r>
      <w:r>
        <w:rPr>
          <w:rFonts w:ascii="Times New Roman" w:hAnsi="Times New Roman"/>
          <w:b w:val="false"/>
          <w:i w:val="false"/>
          <w:color w:val="000000"/>
          <w:sz w:val="22"/>
        </w:rPr>
        <w:t>means that person identified in a record.</w:t>
      </w:r>
    </w:p>
    <w:p>
      <w:pPr>
        <w:spacing w:before="0" w:after="0"/>
        <w:ind w:left="120"/>
        <w:jc w:val="both"/>
      </w:pPr>
      <w:r>
        <w:rPr>
          <w:rFonts w:ascii="Times New Roman" w:hAnsi="Times New Roman"/>
          <w:b/>
          <w:i w:val="false"/>
          <w:color w:val="000000"/>
          <w:sz w:val="22"/>
        </w:rPr>
        <w:t>751—2.3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 xml:space="preserve">A request for access to a record should be directed to the executive director or the particular commission office where the record is kept. If the location of the record is not known by the requester, the request shall be directed to the executive director at the ICN main office location as listed in </w:t>
      </w:r>
      <w:hyperlink r:id="rId11">
        <w:r>
          <w:rPr>
            <w:rStyle w:val="Hyperlink"/>
            <w:rFonts w:ascii="Times New Roman" w:hAnsi="Times New Roman"/>
            <w:b w:val="false"/>
            <w:i w:val="false"/>
            <w:color w:val="000000"/>
            <w:sz w:val="22"/>
          </w:rPr>
          <w:t>751—subrule 1.6(1)</w:t>
        </w:r>
      </w:hyperlink>
      <w:r>
        <w:rPr>
          <w:rFonts w:ascii="Times New Roman" w:hAnsi="Times New Roman"/>
          <w:b w:val="false"/>
          <w:i w:val="false"/>
          <w:color w:val="000000"/>
          <w:sz w:val="22"/>
        </w:rPr>
        <w:t>. If a request for access to a record is misdirected, commission personnel will promptly forward the request to the appropriate person within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Open records shall be made available during all customary office hours which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Request for access. </w:t>
      </w:r>
      <w:r>
        <w:rPr>
          <w:rFonts w:ascii="Times New Roman" w:hAnsi="Times New Roman"/>
          <w:b w:val="false"/>
          <w:i w:val="false"/>
          <w:color w:val="000000"/>
          <w:sz w:val="22"/>
        </w:rPr>
        <w:t>Requests for access to open records may be made in writing or in person. The office may also accommodate telephone requests where appropriate. Requests shall identify the particular records sought by name or description in order to facilitate the location of the record. Mail or telephone requests shall include the name, address and telephone number of the person requesting the information. A person shall not be required to give a reason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Access to an open record shall be provided promptly upon request unless the size or nature of the request makes prompt access unfeasible. If the size or nature of the request for access to an open record requires time for compliance, the custodian shall comply with the request as soon as feasible. Access to an open record may be delayed for one of the purposes authorized by Iowa Code section </w:t>
      </w:r>
      <w:hyperlink r:id="rId12">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3">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The custodian shall promptly give notice to the requester of the reason for any delay in access to an open record and an estimate of the length of that delay and, upon request, shall promptly provide that notice to the requester in writing.</w:t>
      </w:r>
    </w:p>
    <w:p>
      <w:pPr>
        <w:spacing w:before="0" w:after="0"/>
        <w:ind w:left="120"/>
        <w:jc w:val="both"/>
      </w:pPr>
      <w:r>
        <w:rPr>
          <w:rFonts w:ascii="Times New Roman" w:hAnsi="Times New Roman"/>
          <w:b w:val="false"/>
          <w:i w:val="false"/>
          <w:color w:val="000000"/>
          <w:sz w:val="22"/>
        </w:rPr>
        <w:t xml:space="preserve">The custodian of a record may deny access to the record by members of the public only on the grounds that such a denial is warranted under Iowa Code section </w:t>
      </w:r>
      <w:hyperlink r:id="rId14">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or that it is a confidential record, or that its disclosure is prohibited by a court order. Access by members of the public to a confidential record is limited by law and, therefore, may generally be provided only in accordance with the provisions of rule </w:t>
      </w:r>
      <w:hyperlink r:id="rId16">
        <w:r>
          <w:rPr>
            <w:rStyle w:val="Hyperlink"/>
            <w:rFonts w:ascii="Times New Roman" w:hAnsi="Times New Roman"/>
            <w:b w:val="false"/>
            <w:i w:val="false"/>
            <w:color w:val="000000"/>
            <w:sz w:val="22"/>
          </w:rPr>
          <w:t>751—2.4</w:t>
        </w:r>
      </w:hyperlink>
      <w:r>
        <w:rPr>
          <w:rFonts w:ascii="Times New Roman" w:hAnsi="Times New Roman"/>
          <w:b w:val="false"/>
          <w:i w:val="false"/>
          <w:color w:val="000000"/>
          <w:sz w:val="22"/>
        </w:rPr>
        <w:t>(17A,22)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commission files. Examination and copying of commission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w:t>
      </w:r>
      <w:r>
        <w:rPr>
          <w:rFonts w:ascii="Times New Roman" w:hAnsi="Times New Roman"/>
          <w:b w:val="false"/>
          <w:i w:val="false"/>
          <w:color w:val="000000"/>
          <w:sz w:val="22"/>
        </w:rPr>
        <w:t> </w:t>
      </w:r>
      <w:r>
        <w:rPr>
          <w:rFonts w:ascii="Times New Roman" w:hAnsi="Times New Roman"/>
          <w:b w:val="false"/>
          <w:i/>
          <w:color w:val="000000"/>
          <w:sz w:val="22"/>
        </w:rPr>
        <w:t xml:space="preserve">Copying. </w:t>
      </w:r>
      <w:r>
        <w:rPr>
          <w:rFonts w:ascii="Times New Roman" w:hAnsi="Times New Roman"/>
          <w:b w:val="false"/>
          <w:i w:val="false"/>
          <w:color w:val="000000"/>
          <w:sz w:val="22"/>
        </w:rPr>
        <w:t>A reasonable number of copies of an open record may be made in the commission’s office. If photocopy equipment is not available in the commission office where an open record is kept, the custodian shall permit its examination in that office and shall arrange to have copies promptly made elsewhere.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To the extent permitted by applicable provisions of law, the payment of fees may be waived in the case of small requests when the imposition of fees is inequitable or when a waiver is in the public interest. Charges for examination or copies requested in writing by a person in a capacity as representative of another governmental entity or where copies are provided under provisions of a written commission contract may be waived.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costs. </w:t>
      </w:r>
      <w:r>
        <w:rPr>
          <w:rFonts w:ascii="Times New Roman" w:hAnsi="Times New Roman"/>
          <w:b w:val="false"/>
          <w:i w:val="false"/>
          <w:color w:val="000000"/>
          <w:sz w:val="22"/>
        </w:rPr>
        <w:t>Anyone making a request for reproduction of the commission’s records will prepay for services at the following rates, in addition to actual mailing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Photocopies (direct copies on 8½″ x 11″ or 8½″ x 14″ paper)—50 cents per page. For direct photocopies on 11″ x 17″ paper—65 cents per page. The fee for photocopies exceeding 11″ x 17″ will be reviewed and reasonable fees will be provided to the requester upon determination of the commission’s ability to photocopy.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Paper copy from microfilm records—50 cents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Microfiche copy from microfilm records—$1 per fiche.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actual reproduction cost will be charged for any blueprint, picture, oral tape or any other work product not subject to photocopying.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Computer-stored information. Tape files—$100 per file, copied only to 9-track tape with standard IBM labels. Three UP gummed mailing labels and 4 UP Cheshire labels, 30 cents per 1000 records read, and $10 per 1000 labels written. There will be a $15 charge for information copied on computer diskette. A minimum charge of $15 or actual cost will be assessed, whichever is greater. Electronic copies (8½″ x 11″, 8½″ x 14″, or 11″ x 17″) will be provided at no cost. Requests for electronic copies exceeding 11″ x 17″ will be reviewed and reasonable fees will be provided to the requester upon determination of the commission’s ability to transmit and duplicate. Programming time over ten minutes will be charged at the rate of $25 per hour or any portion of an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An hourly fee may be charged for actual commission expenses in supervising the examination and copying of requested records when the supervision time required is in excess of one-half hour. The custodian shall prominently post in commission offices the hourly fee to be charged for supervision of records during examination and copying. That hourly fee shall not be in excess of the hourly wage of a commission clerical employee who ordinarily would be appropriate and suitable to perform this supervisory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Search fees. </w:t>
      </w:r>
      <w:r>
        <w:rPr>
          <w:rFonts w:ascii="Times New Roman" w:hAnsi="Times New Roman"/>
          <w:b w:val="false"/>
          <w:i w:val="false"/>
          <w:color w:val="000000"/>
          <w:sz w:val="22"/>
        </w:rPr>
        <w:t>If the request requires research or if the record or records cannot reasonably be readily retrieved by the office, the requester will be advised of this fact. Reasonable search fees ($15 per hour or any portion of one hour) may be charged where appropriate for either paper or electronic copy requests. In addition, all costs for retrieval and copying of information stored in electronic storage systems may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request from that requester.</w:t>
      </w:r>
    </w:p>
    <w:p>
      <w:pPr>
        <w:spacing w:before="0" w:after="0"/>
        <w:ind w:left="120"/>
        <w:jc w:val="both"/>
      </w:pPr>
      <w:r>
        <w:rPr>
          <w:rFonts w:ascii="Times New Roman" w:hAnsi="Times New Roman"/>
          <w:b/>
          <w:i w:val="false"/>
          <w:color w:val="000000"/>
          <w:sz w:val="22"/>
        </w:rPr>
        <w:t>751—2.4</w:t>
      </w:r>
      <w:r>
        <w:rPr>
          <w:rFonts w:ascii="Times New Roman" w:hAnsi="Times New Roman"/>
          <w:b/>
          <w:i w:val="false"/>
          <w:color w:val="000000"/>
          <w:sz w:val="22"/>
        </w:rPr>
        <w:t xml:space="preserve">(17A,22)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1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In requesting the custodian to permit the examination and copying of such a confidential record, the following procedures apply and are in addition to those specified for requests for access to records in rule </w:t>
      </w:r>
      <w:hyperlink r:id="rId18">
        <w:r>
          <w:rPr>
            <w:rStyle w:val="Hyperlink"/>
            <w:rFonts w:ascii="Times New Roman" w:hAnsi="Times New Roman"/>
            <w:b w:val="false"/>
            <w:i w:val="false"/>
            <w:color w:val="000000"/>
            <w:sz w:val="22"/>
          </w:rPr>
          <w:t>751—2.3</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color w:val="000000"/>
          <w:sz w:val="22"/>
        </w:rPr>
        <w:t xml:space="preserve">Proof of identity. </w:t>
      </w:r>
      <w:r>
        <w:rPr>
          <w:rFonts w:ascii="Times New Roman" w:hAnsi="Times New Roman"/>
          <w:b w:val="false"/>
          <w:i w:val="false"/>
          <w:color w:val="000000"/>
          <w:sz w:val="22"/>
        </w:rPr>
        <w:t>A person requesting access to a confidential record may be required to provide proof of identity or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color w:val="000000"/>
          <w:sz w:val="22"/>
        </w:rPr>
        <w:t xml:space="preserve">Requests. </w:t>
      </w:r>
      <w:r>
        <w:rPr>
          <w:rFonts w:ascii="Times New Roman" w:hAnsi="Times New Roman"/>
          <w:b w:val="false"/>
          <w:i w:val="false"/>
          <w:color w:val="000000"/>
          <w:sz w:val="22"/>
        </w:rPr>
        <w:t>The custodian may require that a request to examine and copy a confidential record be in writing. A person requesting access to such a record may be required to sign a certified statement or affidavit enumerating the specific reasons justifying access to the confidential record and to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injunction.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that record, is identified in that record, and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19">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specified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When the custodian denies a request for access to a confidential record, the custodian shall promptly notify the requester. If the requester indicates to the custodian that a written notification of the denial is desired, the custodian shall promptly provide such a notification that is signed by the custodian and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responsible for the denial;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the provision of law vesting authority in the custodian to deny disclosure of the record and a brief statement of the reasons for the denial to this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custodian grants a request for access to a confidential record to a particular person, the custodian shall notify that person and indicate any lawful restrictions imposed by the custodian on that person’s examination and copying of the record.</w:t>
      </w:r>
    </w:p>
    <w:p>
      <w:pPr>
        <w:spacing w:before="0" w:after="0"/>
        <w:ind w:left="120"/>
        <w:jc w:val="both"/>
      </w:pPr>
      <w:r>
        <w:rPr>
          <w:rFonts w:ascii="Times New Roman" w:hAnsi="Times New Roman"/>
          <w:b/>
          <w:i w:val="false"/>
          <w:color w:val="000000"/>
          <w:sz w:val="22"/>
        </w:rPr>
        <w:t>751—2.5</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custodian may treat a record as a confidential record and withhold it from examination only to the extent that the custodian is authorized by Iowa Code section </w:t>
      </w:r>
      <w:hyperlink r:id="rId20">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to refuse to disclose that record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2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 be in writing and shall be filed with the custodian. The request must set forth the legal and factual basis justifying such confidential record treatment for that record, and the name, address, and telephone number of the person authorized to respond to any inquiry or action of the custodian concerning the request. A person requesting treatment of a record as a confidential record may also be required to sign a certified statement or affidavit enumerating the specific reasons justifying the treatment of that record as a confidential record and to provide any proof necessary to establish relevant facts. Requests for treatment of a record as such a confidential record for a limited time period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A person filing such a request shall, if possible, accompany the request with a copy of the record in question from which those portions for which such confidential record treatment has been requested have been deleted. If the original record is being submitted to the commission by the person requesting such confidential treatment at the time the request is filed, the person shall indicate conspicuously on the original record that all or portions of it are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However, if a person who has submitted business information to the commission does not request that it be withheld from public inspection under Iowa Code section </w:t>
      </w:r>
      <w:hyperlink r:id="rId22">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2.5(6)</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injunction. </w:t>
      </w:r>
      <w:r>
        <w:rPr>
          <w:rFonts w:ascii="Times New Roman" w:hAnsi="Times New Roman"/>
          <w:b w:val="false"/>
          <w:i w:val="false"/>
          <w:color w:val="000000"/>
          <w:sz w:val="22"/>
        </w:rPr>
        <w:t xml:space="preserve">If a request that a record be treated as a confidential record and be withheld from public inspection is denied, the custodian shall notify the requester in writing of that determination and the reasons therefor. On application by the requester, the custodian may engage in a good faith, reasonable delay in allowing examination of the record so that the requester may seek injunctive relief under the provisions of Iowa Code section </w:t>
      </w:r>
      <w:hyperlink r:id="rId24">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or other applicable provision of law. However, such a record need not be withheld from public inspection for any period of time if the custodian determines that the requester had no reasonable grounds to justify the treatment of that record as a confidential record. The custodian shall notify the requester in writing of the time period allowed to seek injunctive relief or the reason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or if a court directs the custodian to treat it as a confidential record, or to the extent permitted by another applicable provision of law, or with the consent of the person requesting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2.5(7)</w:t>
      </w:r>
      <w:r>
        <w:rPr>
          <w:rFonts w:ascii="Times New Roman" w:hAnsi="Times New Roman"/>
          <w:b w:val="false"/>
          <w:i w:val="false"/>
          <w:color w:val="000000"/>
          <w:sz w:val="22"/>
        </w:rPr>
        <w:t> </w:t>
      </w:r>
      <w:r>
        <w:rPr>
          <w:rFonts w:ascii="Times New Roman" w:hAnsi="Times New Roman"/>
          <w:b w:val="false"/>
          <w:i/>
          <w:color w:val="000000"/>
          <w:sz w:val="22"/>
        </w:rPr>
        <w:t xml:space="preserve">Processing of business confidentiality claims.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Applicability/availability. </w:t>
      </w:r>
      <w:r>
        <w:rPr>
          <w:rFonts w:ascii="Times New Roman" w:hAnsi="Times New Roman"/>
          <w:b w:val="false"/>
          <w:i w:val="false"/>
          <w:color w:val="000000"/>
          <w:sz w:val="22"/>
        </w:rPr>
        <w:t xml:space="preserve">Businesses which provide information to the commission in applications, reports or otherwise in recorded form, or from or about which information is obtained and recorded by the commission, may request that information not be disclosed to others for reasons of business confidentiality. Until such time as a request for confidentiality is received by the commission, the information provided to the commission will be available to the public pursuant to subrule </w:t>
      </w:r>
      <w:hyperlink r:id="rId25">
        <w:r>
          <w:rPr>
            <w:rStyle w:val="Hyperlink"/>
            <w:rFonts w:ascii="Times New Roman" w:hAnsi="Times New Roman"/>
            <w:b w:val="false"/>
            <w:i w:val="false"/>
            <w:color w:val="000000"/>
            <w:sz w:val="22"/>
          </w:rPr>
          <w:t>2.3(3)</w:t>
        </w:r>
      </w:hyperlink>
      <w:r>
        <w:rPr>
          <w:rFonts w:ascii="Times New Roman" w:hAnsi="Times New Roman"/>
          <w:b w:val="false"/>
          <w:i w:val="false"/>
          <w:color w:val="000000"/>
          <w:sz w:val="22"/>
        </w:rPr>
        <w:t>. If a claim is received after the information itself is received, the commission will make such efforts as are administratively practicable to associate the claim with all copies of the previously received information. However, the commission cannot ensure that such efforts will be effective, in light of the possibility of prior disclosure or dissemination of the information beyond the commission’s reasonable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 xml:space="preserve">A business which submits information to the commission may assert a business confidentiality claim in the manner prescribed in the application or instruction, if any, otherwise by placing on or attaching to the information, at the time it is submitted, a cover sheet, stamped or typed legend, or other suitable form of notice employing language such as “trade secret,” “proprietary,” or “company confidential.” When only a portion of the information is claimed to be confidential, only that portion shall be deleted from the application, report or other recorded submission, with appropriate reference to a separate claim for business confidentiality, which separate claim shall be submitted as specified above. If a request not to disclose information is filed with the commission, the party shall file together with the document a second copy of the document from which has been deleted the information for which such party wishes to claim confidential treatment. The business shall conspicuously indicate on the face of the original document that it is confidential information and shall file a claim for confidential status in accordance with the provisions of </w:t>
      </w:r>
      <w:hyperlink r:id="rId26">
        <w:r>
          <w:rPr>
            <w:rStyle w:val="Hyperlink"/>
            <w:rFonts w:ascii="Times New Roman" w:hAnsi="Times New Roman"/>
            <w:b w:val="false"/>
            <w:i w:val="false"/>
            <w:color w:val="000000"/>
            <w:sz w:val="22"/>
          </w:rPr>
          <w:t>2.5(7)</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A business which has reason to believe that the commission has received information which the business asserts to be confidential may request that such information, described with reasonable specificity, be maintained as confidential, in the same manner as specified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Contents of claim. </w:t>
      </w:r>
      <w:r>
        <w:rPr>
          <w:rFonts w:ascii="Times New Roman" w:hAnsi="Times New Roman"/>
          <w:b w:val="false"/>
          <w:i w:val="false"/>
          <w:color w:val="000000"/>
          <w:sz w:val="22"/>
        </w:rPr>
        <w:t>All claims for confidentiality must be substantiated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all measures the business has taken to protect the confidentiality of the information, and a statement of intent to continue to take such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Practices and policies of other businesses, if known, regarding confidentiality of similar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that the information is not, and has not been, reasonably attainable without the consent of the business by other persons other than government bodies by use of legitimate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demonstrating that disclosure of the information is likely to cause substantial harm to the business’s competitive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reference to any other determinations of confidential status of the information or similar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Initial action by commission. </w:t>
      </w:r>
      <w:r>
        <w:rPr>
          <w:rFonts w:ascii="Times New Roman" w:hAnsi="Times New Roman"/>
          <w:b w:val="false"/>
          <w:i w:val="false"/>
          <w:color w:val="000000"/>
          <w:sz w:val="22"/>
        </w:rPr>
        <w:t xml:space="preserve">All claims will be reviewed within ten days of receipt for completeness. If the claim does not include the substantiation required by </w:t>
      </w:r>
      <w:hyperlink r:id="rId27">
        <w:r>
          <w:rPr>
            <w:rStyle w:val="Hyperlink"/>
            <w:rFonts w:ascii="Times New Roman" w:hAnsi="Times New Roman"/>
            <w:b w:val="false"/>
            <w:i w:val="false"/>
            <w:color w:val="000000"/>
            <w:sz w:val="22"/>
          </w:rPr>
          <w:t>2.5(7)</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business making the claim will be so notified by certified mail. If the substantiation or comment regarding the inapplicability of </w:t>
      </w:r>
      <w:hyperlink r:id="rId28">
        <w:r>
          <w:rPr>
            <w:rStyle w:val="Hyperlink"/>
            <w:rFonts w:ascii="Times New Roman" w:hAnsi="Times New Roman"/>
            <w:b w:val="false"/>
            <w:i w:val="false"/>
            <w:color w:val="000000"/>
            <w:sz w:val="22"/>
          </w:rPr>
          <w:t>2.5(7)</w:t>
        </w:r>
        <w:r>
          <w:rPr>
            <w:rFonts w:ascii="Times New Roman" w:hAnsi="Times New Roman"/>
            <w:b w:val="false"/>
            <w:i/>
            <w:color w:val="000000"/>
            <w:sz w:val="22"/>
          </w:rPr>
          <w:t>“c”</w:t>
        </w:r>
      </w:hyperlink>
      <w:r>
        <w:rPr>
          <w:rFonts w:ascii="Times New Roman" w:hAnsi="Times New Roman"/>
          <w:b w:val="false"/>
          <w:i w:val="false"/>
          <w:color w:val="000000"/>
          <w:sz w:val="22"/>
        </w:rPr>
        <w:t xml:space="preserve"> is not received by the commission within ten days of the date on the return receipt, the commission will place the information in the public file. Otherwise, all information claimed to be confidential will be treated as such by the commission until further notice. A timely response from the notice under this paragraph will be ruled on by the commission within ten days, based on the compliance with </w:t>
      </w:r>
      <w:hyperlink r:id="rId29">
        <w:r>
          <w:rPr>
            <w:rStyle w:val="Hyperlink"/>
            <w:rFonts w:ascii="Times New Roman" w:hAnsi="Times New Roman"/>
            <w:b w:val="false"/>
            <w:i w:val="false"/>
            <w:color w:val="000000"/>
            <w:sz w:val="22"/>
          </w:rPr>
          <w:t>2.5(7)</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Initiation of official determination. </w:t>
      </w:r>
      <w:r>
        <w:rPr>
          <w:rFonts w:ascii="Times New Roman" w:hAnsi="Times New Roman"/>
          <w:b w:val="false"/>
          <w:i w:val="false"/>
          <w:color w:val="000000"/>
          <w:sz w:val="22"/>
        </w:rPr>
        <w:t xml:space="preserve">All claims not rejected under </w:t>
      </w:r>
      <w:hyperlink r:id="rId30">
        <w:r>
          <w:rPr>
            <w:rStyle w:val="Hyperlink"/>
            <w:rFonts w:ascii="Times New Roman" w:hAnsi="Times New Roman"/>
            <w:b w:val="false"/>
            <w:i w:val="false"/>
            <w:color w:val="000000"/>
            <w:sz w:val="22"/>
          </w:rPr>
          <w:t>2.5(7)</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receive an official determination when a request for disclosure covering such information is received by the commission or when the commission deems it advisable to make a determination because a request for disclosure is likely to be received or because of administrative burdens in maintaining the information confidential. The procedures and criteria below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Substantive criteria for use in confidentiality determinations. </w:t>
      </w:r>
      <w:r>
        <w:rPr>
          <w:rFonts w:ascii="Times New Roman" w:hAnsi="Times New Roman"/>
          <w:b w:val="false"/>
          <w:i w:val="false"/>
          <w:color w:val="000000"/>
          <w:sz w:val="22"/>
        </w:rPr>
        <w:t>Determinations shall hold that business information is entitled to confidential treatment for the benefit of a particular person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business has taken and intends to continue to take reasonable measures to protect the confidentiality of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information is not readily obtainable by others by legitimate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claim is not unreasonable in view of the nature of the information, the interests, and normal practices of the business, and the practices of other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statute or rule specifically requires disclosure of the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There is a substantial likelihood that disclosure of the information would cause substantial harm to the competitive position of the business.</w:t>
      </w:r>
    </w:p>
    <w:p>
      <w:pPr>
        <w:spacing w:before="0" w:after="0"/>
        <w:ind w:left="120"/>
        <w:jc w:val="both"/>
      </w:pPr>
      <w:r>
        <w:rPr>
          <w:rFonts w:ascii="Times New Roman" w:hAnsi="Times New Roman"/>
          <w:b w:val="false"/>
          <w:i w:val="false"/>
          <w:color w:val="000000"/>
          <w:sz w:val="22"/>
        </w:rPr>
        <w:t>Prior determinations by the courts, the commission or other agencies on the information or similar information shall be given due consideration and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Preliminary determination—opportunity for comment. </w:t>
      </w:r>
      <w:r>
        <w:rPr>
          <w:rFonts w:ascii="Times New Roman" w:hAnsi="Times New Roman"/>
          <w:b w:val="false"/>
          <w:i w:val="false"/>
          <w:color w:val="000000"/>
          <w:sz w:val="22"/>
        </w:rPr>
        <w:t>The commission shall transmit its preliminary determination regarding a claim for business confidentiality to the claimant by certified mail, notifying the claimant of the opportunity to provide comments within ten days, subject to reasonable extension upon written request, and that failure to comment will be construed to indicate agreement with the preliminary determination. If the determination is in response to a request for disclosure, the person requesting the disclosure shall be sent a similar notice in the same manner within ten days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Final determination. </w:t>
      </w:r>
      <w:r>
        <w:rPr>
          <w:rFonts w:ascii="Times New Roman" w:hAnsi="Times New Roman"/>
          <w:b w:val="false"/>
          <w:i w:val="false"/>
          <w:color w:val="000000"/>
          <w:sz w:val="22"/>
        </w:rPr>
        <w:t>A final decision shall be issued within ten days after the close of the comment period to the preliminary determination. If any substantial comments are received, the final decision shall be made by the executive director or the commission’s designee. If no substantial comments are received, the claimant and the person requesting disclosure, if any, shall be notified that the preliminary determination is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Contested case status. </w:t>
      </w:r>
      <w:r>
        <w:rPr>
          <w:rFonts w:ascii="Times New Roman" w:hAnsi="Times New Roman"/>
          <w:b w:val="false"/>
          <w:i w:val="false"/>
          <w:color w:val="000000"/>
          <w:sz w:val="22"/>
        </w:rPr>
        <w:t xml:space="preserve">All procedures within this rule shall not be considered contested case proceedings as provided in Iowa Code chapter </w:t>
      </w:r>
      <w:hyperlink r:id="rId3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751—2.6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However, this does not authorize a person who is a subject of such a record to alter the original copy of that record or to expand the official record of any commission proceeding. Requester shall send the request to review such a record or the written statement of additions, dissents or objections to the custodian or to the attorney general. The request to review a written statement must be dated and signed by requester and shall include the current address and telephone number of the requester or the requester’s representative.</w:t>
      </w:r>
    </w:p>
    <w:p>
      <w:pPr>
        <w:spacing w:before="210" w:after="0"/>
        <w:ind w:left="120"/>
        <w:jc w:val="both"/>
      </w:pPr>
      <w:r>
        <w:rPr>
          <w:rFonts w:ascii="Times New Roman" w:hAnsi="Times New Roman"/>
          <w:b/>
          <w:i w:val="false"/>
          <w:color w:val="000000"/>
          <w:sz w:val="22"/>
        </w:rPr>
        <w:t>751—2.7</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To the extent permitted by any applicable provision of law, a person who is the subject of a confidential record may have a copy of the portion of that record concerning the subject disclosed to a third party. A request for such a disclosure must be in writing and must identify the particular record or records that may be disclosed, and the particular person or class of persons to whom the record may be disclosed (and, where applicable, the time period during which the record may be disclosed). The person who is the subject of the record and, where applicable, the person to whom the record is to be disclosed, may be required to provide proof of identity. (Additional requirements may be necessary for special classes of records.) Appearance of counsel on behalf of a person who is the subject of a confidential record is deemed to constitute consent for the commission to disclose records about that person to the person’s attorney.</w:t>
      </w:r>
    </w:p>
    <w:p>
      <w:pPr>
        <w:spacing w:before="210" w:after="0"/>
        <w:ind w:left="120"/>
        <w:jc w:val="both"/>
      </w:pPr>
      <w:r>
        <w:rPr>
          <w:rFonts w:ascii="Times New Roman" w:hAnsi="Times New Roman"/>
          <w:b/>
          <w:i w:val="false"/>
          <w:color w:val="000000"/>
          <w:sz w:val="22"/>
        </w:rPr>
        <w:t>751—2.8</w:t>
      </w:r>
      <w:r>
        <w:rPr>
          <w:rFonts w:ascii="Times New Roman" w:hAnsi="Times New Roman"/>
          <w:b/>
          <w:i w:val="false"/>
          <w:color w:val="000000"/>
          <w:sz w:val="22"/>
        </w:rPr>
        <w:t xml:space="preserve">(17A,22)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a commission form requests a person to supply information about that person, the commission shall notify the person of the use that will be made of the information, which persons outside the commission might routinely be provided this information, which parts of the requested information are required and which are optional, and the consequences of a failure to provide the information requested. This notice may be given in these rules, on the written form used to collect the information, on a separate fact sheet or letter, in brochures, in formal agreements, in contracts, in handbooks, in manuals, verbally or by other appropriate means. Notice need not be given in connection with discovery requests in litigation or administrative proceedings, subpoenas, investigations of possible violations of law or similar demands for information.</w:t>
      </w:r>
    </w:p>
    <w:p>
      <w:pPr>
        <w:spacing w:before="0" w:after="0"/>
        <w:ind w:left="120"/>
        <w:jc w:val="both"/>
      </w:pPr>
      <w:r>
        <w:rPr>
          <w:rFonts w:ascii="Times New Roman" w:hAnsi="Times New Roman"/>
          <w:b/>
          <w:i w:val="false"/>
          <w:color w:val="000000"/>
          <w:sz w:val="22"/>
        </w:rPr>
        <w:t>751—2.9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32">
        <w:r>
          <w:rPr>
            <w:rStyle w:val="Hyperlink"/>
            <w:rFonts w:ascii="Times New Roman" w:hAnsi="Times New Roman"/>
            <w:b w:val="false"/>
            <w:i w:val="false"/>
            <w:color w:val="000000"/>
            <w:sz w:val="22"/>
          </w:rPr>
          <w:t>751—2.10</w:t>
        </w:r>
      </w:hyperlink>
      <w:r>
        <w:rPr>
          <w:rFonts w:ascii="Times New Roman" w:hAnsi="Times New Roman"/>
          <w:b w:val="false"/>
          <w:i w:val="false"/>
          <w:color w:val="000000"/>
          <w:sz w:val="22"/>
        </w:rPr>
        <w:t>(17A,22)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commission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commission or to an instrumentality of any governmental jurisdiction within or under the control of the United States for a civil or criminal law enforcement activity if the activity is authorized by law, and if an authorized representative of such government commission or instrumentality has submitted a written request to the commission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751—2.10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3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commission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commission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commission or officer which this office is advising or representing in the matter in question or to the department of inspections and appeals for matters in which it is performing services or functions on behalf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 of information within the commission,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commission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751—2.11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commission disclosure of confidential records as provided in rule </w:t>
      </w:r>
      <w:hyperlink r:id="rId34">
        <w:r>
          <w:rPr>
            <w:rStyle w:val="Hyperlink"/>
            <w:rFonts w:ascii="Times New Roman" w:hAnsi="Times New Roman"/>
            <w:b w:val="false"/>
            <w:i w:val="false"/>
            <w:color w:val="000000"/>
            <w:sz w:val="22"/>
          </w:rPr>
          <w:t>751—2.7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which seeks the official’s intervention on behalf of the subject in a matter that involves the commission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751—2.12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rule </w:t>
      </w:r>
      <w:hyperlink r:id="rId35">
        <w:r>
          <w:rPr>
            <w:rStyle w:val="Hyperlink"/>
            <w:rFonts w:ascii="Times New Roman" w:hAnsi="Times New Roman"/>
            <w:b w:val="false"/>
            <w:i w:val="false"/>
            <w:color w:val="000000"/>
            <w:sz w:val="22"/>
          </w:rPr>
          <w:t>751—2.6</w:t>
        </w:r>
      </w:hyperlink>
      <w:r>
        <w:rPr>
          <w:rFonts w:ascii="Times New Roman" w:hAnsi="Times New Roman"/>
          <w:b w:val="false"/>
          <w:i w:val="false"/>
          <w:color w:val="000000"/>
          <w:sz w:val="22"/>
        </w:rPr>
        <w:t>(17A,22). However, the commission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commission need not be disclosed directly or indirectly to the subject of the information when the information is authorized to be held confidential pursuant to Iowa Code section </w:t>
      </w:r>
      <w:hyperlink r:id="rId36">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37">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commission may take reasonable steps to protect confidential information relating to another subject.</w:t>
      </w:r>
    </w:p>
    <w:p>
      <w:pPr>
        <w:spacing w:before="0" w:after="0"/>
        <w:ind w:left="120"/>
        <w:jc w:val="both"/>
      </w:pPr>
      <w:r>
        <w:rPr>
          <w:rFonts w:ascii="Times New Roman" w:hAnsi="Times New Roman"/>
          <w:b/>
          <w:i w:val="false"/>
          <w:color w:val="000000"/>
          <w:sz w:val="22"/>
        </w:rPr>
        <w:t>751—2.13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Commission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Sealed bids received prior to the time set for public opening of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Bids that are opened and only the vendor’s name is announced. The proposals will remain confidential until the proposals have been evaluated and the notice of intent to award a contract is made. See Iowa Code section </w:t>
      </w:r>
      <w:hyperlink r:id="rId38">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Tax records made available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3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Minutes of closed meetings of a government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40">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Those portions of commission staff manuals, instructions or other statements issued which set forth criteria or guidelines to be used by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Give a clearly improper advantage to persons who are in an adverse position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41">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Iowa R.C.P. 122(c), Fed. R. Civ. P. 26(b)(3), and case law. Attorney-client communications are confidential under Iowa Code sections </w:t>
      </w:r>
      <w:hyperlink r:id="rId44">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Trade secrets which are recognized and protected as such by law including but not limited to network plans from authorized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Reports to the commission and the agency which, if released, would give advantage to competitors and serve no public purpose including network redesign and engineering or other research and development working papers for improvement or enhancement of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Any data processing software developed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concerning security procedures or emergency preparedness developed and maintained by the commission or other federal or state agency for the protection of governmental employees, visitors to the agency, persons in the care, custody, or under the control of the agency, or property under the jurisdiction of the agency, if disclosure could reasonably be expected to jeopardize such employees, visitors, or property. Pursuant to Iowa Code section </w:t>
      </w:r>
      <w:hyperlink r:id="rId46">
        <w:r>
          <w:rPr>
            <w:rStyle w:val="Hyperlink"/>
            <w:rFonts w:ascii="Times New Roman" w:hAnsi="Times New Roman"/>
            <w:b w:val="false"/>
            <w:i w:val="false"/>
            <w:color w:val="000000"/>
            <w:sz w:val="22"/>
          </w:rPr>
          <w:t>22.7(50)</w:t>
        </w:r>
      </w:hyperlink>
      <w:r>
        <w:rPr>
          <w:rFonts w:ascii="Times New Roman" w:hAnsi="Times New Roman"/>
          <w:b w:val="false"/>
          <w:i w:val="false"/>
          <w:color w:val="000000"/>
          <w:sz w:val="22"/>
        </w:rPr>
        <w:t>, specific records or classes of records to which this protection also applies may include specific information related to the physical network, contract- and vendor-related records and information associated with security and emergency preparedness, and similar or related records and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commission may have discretion to disclose some confidential records which are exempt from disclosure under Iowa Code section </w:t>
      </w:r>
      <w:hyperlink r:id="rId4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w:t>
      </w:r>
      <w:hyperlink r:id="rId48">
        <w:r>
          <w:rPr>
            <w:rStyle w:val="Hyperlink"/>
            <w:rFonts w:ascii="Times New Roman" w:hAnsi="Times New Roman"/>
            <w:b w:val="false"/>
            <w:i w:val="false"/>
            <w:color w:val="000000"/>
            <w:sz w:val="22"/>
          </w:rPr>
          <w:t>751—2.4</w:t>
        </w:r>
      </w:hyperlink>
      <w:r>
        <w:rPr>
          <w:rFonts w:ascii="Times New Roman" w:hAnsi="Times New Roman"/>
          <w:b w:val="false"/>
          <w:i w:val="false"/>
          <w:color w:val="000000"/>
          <w:sz w:val="22"/>
        </w:rPr>
        <w:t xml:space="preserve">(17A,22). If the commission initially determines that it will release such records, the commission may, where appropriate, notify interested parties and withhold the records from inspection as provided in subrule </w:t>
      </w:r>
      <w:hyperlink r:id="rId49">
        <w:r>
          <w:rPr>
            <w:rStyle w:val="Hyperlink"/>
            <w:rFonts w:ascii="Times New Roman" w:hAnsi="Times New Roman"/>
            <w:b w:val="false"/>
            <w:i w:val="false"/>
            <w:color w:val="000000"/>
            <w:sz w:val="22"/>
          </w:rPr>
          <w:t>2.4(3)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2497C</w:t>
      </w:r>
      <w:r>
        <w:rPr>
          <w:rFonts w:ascii="Times New Roman" w:hAnsi="Times New Roman"/>
          <w:b w:val="false"/>
          <w:i w:val="false"/>
          <w:color w:val="000000"/>
          <w:sz w:val="16"/>
        </w:rPr>
        <w:t>, IAB 4/13/16, effective 3/25/16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751—2.14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commission by personal identifier in record systems as defined in rule </w:t>
      </w:r>
      <w:hyperlink r:id="rId50">
        <w:r>
          <w:rPr>
            <w:rStyle w:val="Hyperlink"/>
            <w:rFonts w:ascii="Times New Roman" w:hAnsi="Times New Roman"/>
            <w:b w:val="false"/>
            <w:i w:val="false"/>
            <w:color w:val="000000"/>
            <w:sz w:val="22"/>
          </w:rPr>
          <w:t>751—2.2</w:t>
        </w:r>
      </w:hyperlink>
      <w:r>
        <w:rPr>
          <w:rFonts w:ascii="Times New Roman" w:hAnsi="Times New Roman"/>
          <w:b w:val="false"/>
          <w:i w:val="false"/>
          <w:color w:val="000000"/>
          <w:sz w:val="22"/>
        </w:rPr>
        <w:t>(17A,22). For each record system, this rule describes the legal authority for the collection of that information and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commission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Payroll and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Vendor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val="false"/>
          <w:color w:val="000000"/>
          <w:sz w:val="22"/>
        </w:rPr>
        <w:t>Certificates of insurance for contractors performing work for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val="false"/>
          <w:color w:val="000000"/>
          <w:sz w:val="22"/>
        </w:rPr>
        <w:t>Referrals to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val="false"/>
          <w:color w:val="000000"/>
          <w:sz w:val="22"/>
        </w:rPr>
        <w:t>Contract and lease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val="false"/>
          <w:color w:val="000000"/>
          <w:sz w:val="22"/>
        </w:rPr>
        <w:t>Accounts receivable and accounts payable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val="false"/>
          <w:color w:val="000000"/>
          <w:sz w:val="22"/>
        </w:rPr>
        <w:t>Various grant planning files, confidential trade secrets, litigation files.</w:t>
      </w:r>
    </w:p>
    <w:p>
      <w:pPr>
        <w:spacing w:before="0" w:after="0"/>
        <w:ind w:left="120"/>
        <w:jc w:val="both"/>
      </w:pPr>
      <w:r>
        <w:rPr>
          <w:rFonts w:ascii="Times New Roman" w:hAnsi="Times New Roman"/>
          <w:b w:val="false"/>
          <w:i w:val="false"/>
          <w:color w:val="000000"/>
          <w:sz w:val="22"/>
        </w:rPr>
        <w:t xml:space="preserve">All of the above-listed records are collected pursuant to the authority of Iowa Code Supplement chapter </w:t>
      </w:r>
      <w:hyperlink r:id="rId51">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All are stored in paper form with those items noted by an asterisk (*) also stored in electronic form. Supplementary records in these categories are stored in paper form or on microfilm or microfiche. None of the information stored can be matched, collated or compared.</w:t>
      </w:r>
    </w:p>
    <w:p>
      <w:pPr>
        <w:spacing w:before="0" w:after="0"/>
        <w:ind w:left="120"/>
        <w:jc w:val="both"/>
      </w:pPr>
      <w:r>
        <w:rPr>
          <w:rFonts w:ascii="Times New Roman" w:hAnsi="Times New Roman"/>
          <w:b/>
          <w:i w:val="false"/>
          <w:color w:val="000000"/>
          <w:sz w:val="22"/>
        </w:rPr>
        <w:t>751—2.15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commission other than record systems as defined in rule </w:t>
      </w:r>
      <w:hyperlink r:id="rId52">
        <w:r>
          <w:rPr>
            <w:rStyle w:val="Hyperlink"/>
            <w:rFonts w:ascii="Times New Roman" w:hAnsi="Times New Roman"/>
            <w:b w:val="false"/>
            <w:i w:val="false"/>
            <w:color w:val="000000"/>
            <w:sz w:val="22"/>
          </w:rPr>
          <w:t>751—2.2</w:t>
        </w:r>
      </w:hyperlink>
      <w:r>
        <w:rPr>
          <w:rFonts w:ascii="Times New Roman" w:hAnsi="Times New Roman"/>
          <w:b w:val="false"/>
          <w:i w:val="false"/>
          <w:color w:val="000000"/>
          <w:sz w:val="22"/>
        </w:rPr>
        <w:t xml:space="preserve">(17A,22). These records are routinely available to the public. However, the commission’s files of these records may contain confidential information designated as confidential by the originator of the records in conformance with Iowa Code chapter </w:t>
      </w:r>
      <w:hyperlink r:id="rId5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In addition, some records may contain information about individuals. All storage is in paper form with those items noted by an asterisk (*) also stored in electronic form. None of the information can be matched, collated or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54">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Commission records. </w:t>
      </w:r>
      <w:r>
        <w:rPr>
          <w:rFonts w:ascii="Times New Roman" w:hAnsi="Times New Roman"/>
          <w:b w:val="false"/>
          <w:i w:val="false"/>
          <w:color w:val="000000"/>
          <w:sz w:val="22"/>
        </w:rPr>
        <w:t xml:space="preserve">Agendas, minutes and materials presented to the commission are available from the office of the executive director, except these records concerning closed sessions which are confidential under Iowa Code section </w:t>
      </w:r>
      <w:hyperlink r:id="rId55">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Meeting participants. </w:t>
      </w:r>
      <w:r>
        <w:rPr>
          <w:rFonts w:ascii="Times New Roman" w:hAnsi="Times New Roman"/>
          <w:b w:val="false"/>
          <w:i w:val="false"/>
          <w:color w:val="000000"/>
          <w:sz w:val="22"/>
        </w:rPr>
        <w:t xml:space="preserve">Commission records contain information about people who participate in meetings. This information is collected pursuant to Iowa Code section </w:t>
      </w:r>
      <w:hyperlink r:id="rId56">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and commission newsletters, for example, are available from the commission offices for public information. Commission news releases, project reports, and newsletters may contain information about individuals, including commission staff or members of the commission, the councils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for various commission programs are available from the commission offices for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commission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commission’s policy manual, containing the policies and procedures for programs administered by the commission, is available in the office of the commission.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2.15(8)</w:t>
      </w:r>
      <w:r>
        <w:rPr>
          <w:rFonts w:ascii="Times New Roman" w:hAnsi="Times New Roman"/>
          <w:b w:val="false"/>
          <w:i w:val="false"/>
          <w:color w:val="000000"/>
          <w:sz w:val="22"/>
        </w:rPr>
        <w:t> </w:t>
      </w:r>
      <w:r>
        <w:rPr>
          <w:rFonts w:ascii="Times New Roman" w:hAnsi="Times New Roman"/>
          <w:b w:val="false"/>
          <w:i/>
          <w:color w:val="000000"/>
          <w:sz w:val="22"/>
        </w:rPr>
        <w:t xml:space="preserve">Asset files. </w:t>
      </w:r>
      <w:r>
        <w:rPr>
          <w:rFonts w:ascii="Times New Roman" w:hAnsi="Times New Roman"/>
          <w:b w:val="false"/>
          <w:i w:val="false"/>
          <w:color w:val="000000"/>
          <w:sz w:val="22"/>
        </w:rPr>
        <w:t>Asset management database and inventory database contain a listing of the assets owned by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2.15(9)</w:t>
      </w:r>
      <w:r>
        <w:rPr>
          <w:rFonts w:ascii="Times New Roman" w:hAnsi="Times New Roman"/>
          <w:b w:val="false"/>
          <w:i w:val="false"/>
          <w:color w:val="000000"/>
          <w:sz w:val="22"/>
        </w:rPr>
        <w:t> </w:t>
      </w:r>
      <w:r>
        <w:rPr>
          <w:rFonts w:ascii="Times New Roman" w:hAnsi="Times New Roman"/>
          <w:b w:val="false"/>
          <w:i/>
          <w:color w:val="000000"/>
          <w:sz w:val="22"/>
        </w:rPr>
        <w:t xml:space="preserve">Mailing lists/contact lists. </w:t>
      </w:r>
      <w:r>
        <w:rPr>
          <w:rFonts w:ascii="Times New Roman" w:hAnsi="Times New Roman"/>
          <w:b w:val="false"/>
          <w:i w:val="false"/>
          <w:color w:val="000000"/>
          <w:sz w:val="22"/>
        </w:rPr>
        <w:t>Names, mailing addresses, and telephone numbers of state employees, commission members, officials in government of other states, and members of the general public*, for example, may be used for distribution of informational material, such as newsletters, policy directives or educational bulletins. They are also used to provide contacts for coordination of services or as reference information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2.15(10)</w:t>
      </w:r>
      <w:r>
        <w:rPr>
          <w:rFonts w:ascii="Times New Roman" w:hAnsi="Times New Roman"/>
          <w:b w:val="false"/>
          <w:i w:val="false"/>
          <w:color w:val="000000"/>
          <w:sz w:val="22"/>
        </w:rPr>
        <w:t> </w:t>
      </w:r>
      <w:r>
        <w:rPr>
          <w:rFonts w:ascii="Times New Roman" w:hAnsi="Times New Roman"/>
          <w:b w:val="false"/>
          <w:i/>
          <w:color w:val="000000"/>
          <w:sz w:val="22"/>
        </w:rPr>
        <w:t xml:space="preserve">Authorized user lists. </w:t>
      </w:r>
      <w:r>
        <w:rPr>
          <w:rFonts w:ascii="Times New Roman" w:hAnsi="Times New Roman"/>
          <w:b w:val="false"/>
          <w:i w:val="false"/>
          <w:color w:val="000000"/>
          <w:sz w:val="22"/>
        </w:rPr>
        <w:t>The network maintains a list of persons authorized to use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2.15(11)</w:t>
      </w:r>
      <w:r>
        <w:rPr>
          <w:rFonts w:ascii="Times New Roman" w:hAnsi="Times New Roman"/>
          <w:b w:val="false"/>
          <w:i w:val="false"/>
          <w:color w:val="000000"/>
          <w:sz w:val="22"/>
        </w:rPr>
        <w:t> </w:t>
      </w:r>
      <w:r>
        <w:rPr>
          <w:rFonts w:ascii="Times New Roman" w:hAnsi="Times New Roman"/>
          <w:b w:val="false"/>
          <w:i/>
          <w:color w:val="000000"/>
          <w:sz w:val="22"/>
        </w:rPr>
        <w:t xml:space="preserve">Bid/purchasing process. </w:t>
      </w:r>
      <w:r>
        <w:rPr>
          <w:rFonts w:ascii="Times New Roman" w:hAnsi="Times New Roman"/>
          <w:b w:val="false"/>
          <w:i w:val="false"/>
          <w:color w:val="000000"/>
          <w:sz w:val="22"/>
        </w:rPr>
        <w:t>For example, specifications, proposals, bid documents, awards, contracts, agreements, leases, performance bonds, requisitions, purchase orders, supply orders, and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2.15(12)</w:t>
      </w:r>
      <w:r>
        <w:rPr>
          <w:rFonts w:ascii="Times New Roman" w:hAnsi="Times New Roman"/>
          <w:b w:val="false"/>
          <w:i w:val="false"/>
          <w:color w:val="000000"/>
          <w:sz w:val="22"/>
        </w:rPr>
        <w:t> </w:t>
      </w:r>
      <w:r>
        <w:rPr>
          <w:rFonts w:ascii="Times New Roman" w:hAnsi="Times New Roman"/>
          <w:b w:val="false"/>
          <w:i/>
          <w:color w:val="000000"/>
          <w:sz w:val="22"/>
        </w:rPr>
        <w:t xml:space="preserve">Project files. </w:t>
      </w:r>
      <w:r>
        <w:rPr>
          <w:rFonts w:ascii="Times New Roman" w:hAnsi="Times New Roman"/>
          <w:b w:val="false"/>
          <w:i w:val="false"/>
          <w:color w:val="000000"/>
          <w:sz w:val="22"/>
        </w:rPr>
        <w:t>For example, plans, specifications, contracts, studies, drawings, photos, blueprints, requests for services, lease/rental files, and 28E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2.15(13)</w:t>
      </w:r>
      <w:r>
        <w:rPr>
          <w:rFonts w:ascii="Times New Roman" w:hAnsi="Times New Roman"/>
          <w:b w:val="false"/>
          <w:i w:val="false"/>
          <w:color w:val="000000"/>
          <w:sz w:val="22"/>
        </w:rPr>
        <w:t> </w:t>
      </w:r>
      <w:r>
        <w:rPr>
          <w:rFonts w:ascii="Times New Roman" w:hAnsi="Times New Roman"/>
          <w:b w:val="false"/>
          <w:i/>
          <w:color w:val="000000"/>
          <w:sz w:val="22"/>
        </w:rPr>
        <w:t xml:space="preserve">Data processing files. </w:t>
      </w:r>
      <w:r>
        <w:rPr>
          <w:rFonts w:ascii="Times New Roman" w:hAnsi="Times New Roman"/>
          <w:b w:val="false"/>
          <w:i w:val="false"/>
          <w:color w:val="000000"/>
          <w:sz w:val="22"/>
        </w:rPr>
        <w:t>For example, operations logs, data base user requests, job number maintenance/update, data entry format book, integrated data dictionary, computer output forms designations, system software, hardware/software documentation and configurations, problem determinations and resolutions records, and 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Reports: For example, weekly, monthly, annual, biennial, statistical, analysis, and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Correspondence: For example, public, interdepartmental, and internal.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Organizational charts, and table of authorized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Memberships: Professional/technical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Planning: Disaster recovery plans, emergency operation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Budget and financial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Accounting records such as accounts receivable, accounts payable, receipts, invoices, claims, vouchers, and departmental billings.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Legislative files such as pending bills, enrolled bills, legislative proposals, and copies of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2.15(15)</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 are open.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7">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Iowa Code Supplement section </w:t>
      </w:r>
      <w:hyperlink r:id="rId58">
        <w:r>
          <w:rPr>
            <w:rStyle w:val="Hyperlink"/>
            <w:rFonts w:ascii="Times New Roman" w:hAnsi="Times New Roman"/>
            <w:b w:val="false"/>
            <w:i w:val="false"/>
            <w:color w:val="000000"/>
            <w:sz w:val="22"/>
          </w:rPr>
          <w:t>8D.3(3)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1996 Iowa Acts, House File 2407</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9/17/96, Notice 7/31/96—published 10/9/96, effective 11/13/96]</w:t>
      </w:r>
    </w:p>
    <w:p>
      <w:pPr>
        <w:spacing w:before="0" w:after="0"/>
        <w:ind w:left="120"/>
        <w:jc w:val="center"/>
      </w:pPr>
      <w:r>
        <w:rPr>
          <w:rFonts w:ascii="Times New Roman" w:hAnsi="Times New Roman"/>
          <w:b w:val="false"/>
          <w:i w:val="false"/>
          <w:color w:val="000000"/>
          <w:sz w:val="21"/>
        </w:rPr>
        <w:t>[Filed 12/1/04, Notice 10/13/04—published 12/22/04, effective 1/26/05]</w:t>
      </w:r>
    </w:p>
    <w:p>
      <w:pPr>
        <w:spacing w:before="0" w:after="0"/>
        <w:ind w:left="120"/>
        <w:jc w:val="center"/>
      </w:pPr>
      <w:r>
        <w:rPr>
          <w:rFonts w:ascii="Times New Roman" w:hAnsi="Times New Roman"/>
          <w:b w:val="false"/>
          <w:i w:val="false"/>
          <w:color w:val="000000"/>
          <w:sz w:val="21"/>
        </w:rPr>
        <w:t>[Filed 9/21/07, Notice 6/20/07—published 10/10/07, effective 11/14/07]</w:t>
      </w:r>
    </w:p>
    <w:p>
      <w:pPr>
        <w:spacing w:before="0" w:after="0"/>
        <w:ind w:left="120"/>
        <w:jc w:val="center"/>
      </w:pPr>
      <w:r>
        <w:rPr>
          <w:rFonts w:ascii="Times New Roman" w:hAnsi="Times New Roman"/>
          <w:b w:val="false"/>
          <w:i w:val="false"/>
          <w:color w:val="000000"/>
          <w:sz w:val="21"/>
        </w:rPr>
        <w:t>[Filed Emergency After Notice ARC 2497C</w:t>
      </w:r>
      <w:r>
        <w:rPr>
          <w:rFonts w:ascii="Times New Roman" w:hAnsi="Times New Roman"/>
          <w:b w:val="false"/>
          <w:i w:val="false"/>
          <w:color w:val="000000"/>
          <w:sz w:val="21"/>
        </w:rPr>
        <w:t xml:space="preserve"> (Notice ARC 2381C, IAB 2/3/16)</w:t>
      </w:r>
      <w:r>
        <w:rPr>
          <w:rFonts w:ascii="Times New Roman" w:hAnsi="Times New Roman"/>
          <w:b w:val="false"/>
          <w:i w:val="false"/>
          <w:color w:val="000000"/>
          <w:sz w:val="21"/>
        </w:rPr>
        <w:t>, IAB 4/13/16, effective 3/25/16]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11.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22.1.pdf" Type="http://schemas.openxmlformats.org/officeDocument/2006/relationships/hyperlink" Id="rId10"/>
    <Relationship TargetMode="External" Target="https://www.legis.iowa.gov/docs/iac/rule/751.1.6.pdf" Type="http://schemas.openxmlformats.org/officeDocument/2006/relationships/hyperlink" Id="rId11"/>
    <Relationship TargetMode="External" Target="https://www.legis.iowa.gov/docs/ico/chapter/22.8.pdf" Type="http://schemas.openxmlformats.org/officeDocument/2006/relationships/hyperlink" Id="rId12"/>
    <Relationship TargetMode="External" Target="https://www.legis.iowa.gov/docs/ico/chapter/22.10.pdf" Type="http://schemas.openxmlformats.org/officeDocument/2006/relationships/hyperlink" Id="rId13"/>
    <Relationship TargetMode="External" Target="https://www.legis.iowa.gov/docs/ico/chapter/22.8.pdf" Type="http://schemas.openxmlformats.org/officeDocument/2006/relationships/hyperlink" Id="rId14"/>
    <Relationship TargetMode="External" Target="https://www.legis.iowa.gov/docs/ico/chapter/22.10.pdf" Type="http://schemas.openxmlformats.org/officeDocument/2006/relationships/hyperlink" Id="rId15"/>
    <Relationship TargetMode="External" Target="https://www.legis.iowa.gov/docs/iac/rule/751.2.4.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ac/rule/751.2.3.pdf" Type="http://schemas.openxmlformats.org/officeDocument/2006/relationships/hyperlink" Id="rId18"/>
    <Relationship TargetMode="External" Target="https://www.legis.iowa.gov/docs/ico/chapter/22.8.pdf" Type="http://schemas.openxmlformats.org/officeDocument/2006/relationships/hyperlink" Id="rId19"/>
    <Relationship TargetMode="External" Target="https://www.legis.iowa.gov/docs/ico/chapter/22.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22.8.pdf" Type="http://schemas.openxmlformats.org/officeDocument/2006/relationships/hyperlink" Id="rId24"/>
    <Relationship TargetMode="External" Target="https://www.legis.iowa.gov/docs/iac/rule/751.2.3.pdf" Type="http://schemas.openxmlformats.org/officeDocument/2006/relationships/hyperlink" Id="rId25"/>
    <Relationship TargetMode="External" Target="https://www.legis.iowa.gov/docs/iac/rule/751.2.5.pdf" Type="http://schemas.openxmlformats.org/officeDocument/2006/relationships/hyperlink" Id="rId26"/>
    <Relationship TargetMode="External" Target="https://www.legis.iowa.gov/docs/iac/rule/751.2.5.pdf" Type="http://schemas.openxmlformats.org/officeDocument/2006/relationships/hyperlink" Id="rId27"/>
    <Relationship TargetMode="External" Target="https://www.legis.iowa.gov/docs/iac/rule/751.2.5.pdf" Type="http://schemas.openxmlformats.org/officeDocument/2006/relationships/hyperlink" Id="rId28"/>
    <Relationship TargetMode="External" Target="https://www.legis.iowa.gov/docs/iac/rule/751.2.5.pdf" Type="http://schemas.openxmlformats.org/officeDocument/2006/relationships/hyperlink" Id="rId29"/>
    <Relationship TargetMode="External" Target="https://www.legis.iowa.gov/docs/iac/rule/751.2.5.pdf" Type="http://schemas.openxmlformats.org/officeDocument/2006/relationships/hyperlink" Id="rId30"/>
    <Relationship TargetMode="External" Target="https://www.legis.iowa.gov/docs/ico/chapter/17A.pdf" Type="http://schemas.openxmlformats.org/officeDocument/2006/relationships/hyperlink" Id="rId31"/>
    <Relationship TargetMode="External" Target="https://www.legis.iowa.gov/docs/iac/rule/751.2.10.pdf" Type="http://schemas.openxmlformats.org/officeDocument/2006/relationships/hyperlink" Id="rId32"/>
    <Relationship TargetMode="External" Target="https://www.legis.iowa.gov/docs/ico/chapter/22.pdf" Type="http://schemas.openxmlformats.org/officeDocument/2006/relationships/hyperlink" Id="rId33"/>
    <Relationship TargetMode="External" Target="https://www.legis.iowa.gov/docs/iac/rule/751.2.7.pdf" Type="http://schemas.openxmlformats.org/officeDocument/2006/relationships/hyperlink" Id="rId34"/>
    <Relationship TargetMode="External" Target="https://www.legis.iowa.gov/docs/iac/rule/751.2.6.pdf" Type="http://schemas.openxmlformats.org/officeDocument/2006/relationships/hyperlink" Id="rId35"/>
    <Relationship TargetMode="External" Target="https://www.legis.iowa.gov/docs/ico/chapter/22.7.pdf" Type="http://schemas.openxmlformats.org/officeDocument/2006/relationships/hyperlink" Id="rId36"/>
    <Relationship TargetMode="External" Target="https://www.legis.iowa.gov/docs/ico/chapter/22.7.pdf" Type="http://schemas.openxmlformats.org/officeDocument/2006/relationships/hyperlink" Id="rId37"/>
    <Relationship TargetMode="External" Target="https://www.legis.iowa.gov/docs/ico/chapter/72.3.pdf" Type="http://schemas.openxmlformats.org/officeDocument/2006/relationships/hyperlink" Id="rId38"/>
    <Relationship TargetMode="External" Target="https://www.legis.iowa.gov/docs/ico/chapter/22.7.pdf" Type="http://schemas.openxmlformats.org/officeDocument/2006/relationships/hyperlink" Id="rId39"/>
    <Relationship TargetMode="External" Target="https://www.legis.iowa.gov/docs/ico/chapter/17A.3.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622.10.pdf" Type="http://schemas.openxmlformats.org/officeDocument/2006/relationships/hyperlink" Id="rId42"/>
    <Relationship TargetMode="External" Target="https://www.legis.iowa.gov/docs/ico/chapter/622.11.pdf" Type="http://schemas.openxmlformats.org/officeDocument/2006/relationships/hyperlink" Id="rId43"/>
    <Relationship TargetMode="External" Target="https://www.legis.iowa.gov/docs/ico/chapter/622.10.pdf" Type="http://schemas.openxmlformats.org/officeDocument/2006/relationships/hyperlink" Id="rId44"/>
    <Relationship TargetMode="External" Target="https://www.legis.iowa.gov/docs/ico/chapter/622.11.pdf" Type="http://schemas.openxmlformats.org/officeDocument/2006/relationships/hyperlink" Id="rId45"/>
    <Relationship TargetMode="External" Target="https://www.legis.iowa.gov/docs/ico/chapter/22.7.pdf" Type="http://schemas.openxmlformats.org/officeDocument/2006/relationships/hyperlink" Id="rId46"/>
    <Relationship TargetMode="External" Target="https://www.legis.iowa.gov/docs/ico/chapter/22.7.pdf" Type="http://schemas.openxmlformats.org/officeDocument/2006/relationships/hyperlink" Id="rId47"/>
    <Relationship TargetMode="External" Target="https://www.legis.iowa.gov/docs/iac/rule/751.2.4.pdf" Type="http://schemas.openxmlformats.org/officeDocument/2006/relationships/hyperlink" Id="rId48"/>
    <Relationship TargetMode="External" Target="https://www.legis.iowa.gov/docs/iac/rule/751.2.4.pdf" Type="http://schemas.openxmlformats.org/officeDocument/2006/relationships/hyperlink" Id="rId49"/>
    <Relationship TargetMode="External" Target="https://www.legis.iowa.gov/docs/iac/rule/751.2.2.pdf" Type="http://schemas.openxmlformats.org/officeDocument/2006/relationships/hyperlink" Id="rId50"/>
    <Relationship TargetMode="External" Target="https://www.legis.iowa.gov/docs/ico/chapter/8D.pdf" Type="http://schemas.openxmlformats.org/officeDocument/2006/relationships/hyperlink" Id="rId51"/>
    <Relationship TargetMode="External" Target="https://www.legis.iowa.gov/docs/iac/rule/751.2.2.pdf" Type="http://schemas.openxmlformats.org/officeDocument/2006/relationships/hyperlink" Id="rId52"/>
    <Relationship TargetMode="External" Target="https://www.legis.iowa.gov/docs/ico/chapter/22.pdf" Type="http://schemas.openxmlformats.org/officeDocument/2006/relationships/hyperlink" Id="rId53"/>
    <Relationship TargetMode="External" Target="https://www.legis.iowa.gov/docs/ico/chapter/17A.4.pdf" Type="http://schemas.openxmlformats.org/officeDocument/2006/relationships/hyperlink" Id="rId54"/>
    <Relationship TargetMode="External" Target="https://www.legis.iowa.gov/docs/ico/chapter/21.5.pdf" Type="http://schemas.openxmlformats.org/officeDocument/2006/relationships/hyperlink" Id="rId55"/>
    <Relationship TargetMode="External" Target="https://www.legis.iowa.gov/docs/ico/chapter/21.3.pdf" Type="http://schemas.openxmlformats.org/officeDocument/2006/relationships/hyperlink" Id="rId56"/>
    <Relationship TargetMode="External" Target="https://www.legis.iowa.gov/docs/ico/chapter/22.11.pdf" Type="http://schemas.openxmlformats.org/officeDocument/2006/relationships/hyperlink" Id="rId57"/>
    <Relationship TargetMode="External" Target="https://www.legis.iowa.gov/docs/ico/chapter/8D.3.pdf" Type="http://schemas.openxmlformats.org/officeDocument/2006/relationships/hyperlink"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