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751—18.1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commission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751—18.2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commission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commission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751—18.3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commission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commission. For each anticipated rule-making proceeding the docket shall contain a listing of the precise subject matter which may be submitted for consideration by the commission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commission personnel with whom persons may communicate with respect to the matter, and an indication of the present status within the commission of that possible rule. The commission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commission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commission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751—18.4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commission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commission shall include in the notice a statement fully describing the specific subject matter of the omitted portion of the text of the proposed rule, the specific issues to be addressed by that omitted text of the proposed rule, and the range of possible choices being considered by the commission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9">
        <w:r>
          <w:rPr>
            <w:rStyle w:val="Hyperlink"/>
            <w:rFonts w:ascii="Times New Roman" w:hAnsi="Times New Roman"/>
            <w:b w:val="false"/>
            <w:i w:val="false"/>
            <w:color w:val="000000"/>
            <w:sz w:val="22"/>
          </w:rPr>
          <w:t>subrule 18.12(2)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commission a written request indicating the name and address to which such notices should be sent. Within seven days after submission of a Notice of Intended Action to the administrative rules coordinator for publication in the Iowa Administrative Bulletin, the commission shall mail or electronically transmit a copy of that notice to subscribers who have filed a written request for either mailing or electronic transmittal with the commission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six months.</w:t>
      </w:r>
    </w:p>
    <w:p>
      <w:pPr>
        <w:spacing w:before="0" w:after="0"/>
        <w:ind w:left="120"/>
        <w:jc w:val="both"/>
      </w:pPr>
      <w:r>
        <w:rPr>
          <w:rFonts w:ascii="Times New Roman" w:hAnsi="Times New Roman"/>
          <w:b/>
          <w:i w:val="false"/>
          <w:color w:val="000000"/>
          <w:sz w:val="22"/>
        </w:rPr>
        <w:t>751—18.5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 data, and views, in writing, on the proposed rule. Such written submissions should identify the proposed rule to which they relate and should be submitted to the executive director at the ICN main office location as listed in </w:t>
      </w:r>
      <w:hyperlink r:id="rId10">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xml:space="preserve"> or to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commission may, at any time, schedule an oral proceeding on a proposed rule. The commission shall schedule an oral proceeding on a proposed rule if, within 20 days after the published Notice of Intended Action, a written request for an opportunity to make oral presentations is submitted to the commission by the administrative rules review committee, a governmental subdivision, a commission,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 commission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1">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commission, a member of the commission, or another person designated by the commission who will be familiar with the substance of the proposed rule, shall preside at the oral proceeding on a proposed rule. If the commission does not preside, the presiding officer shall prepare a memorandum for consideration by the commission summarizing the contents of the presentations made at the oral proceeding unless the commission determines that such a memorandum is unnecessary because the commission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commission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commission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commission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The commission shall schedule oral proceedings in rooms accessible to and functional for persons with physical disabilities. Persons who have special requirements should contact the executive director at the ICN main office location as listed in </w:t>
      </w:r>
      <w:hyperlink r:id="rId12">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xml:space="preserve"> in advance to arrange access or other needed services.</w:t>
      </w:r>
    </w:p>
    <w:p>
      <w:pPr>
        <w:spacing w:before="0" w:after="0"/>
        <w:ind w:left="120"/>
        <w:jc w:val="both"/>
      </w:pPr>
      <w:r>
        <w:rPr>
          <w:rFonts w:ascii="Times New Roman" w:hAnsi="Times New Roman"/>
          <w:b/>
          <w:i w:val="false"/>
          <w:color w:val="000000"/>
          <w:sz w:val="22"/>
        </w:rPr>
        <w:t>751—18.6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 xml:space="preserve">Small businesses or organizations of small businesses may be registered on the commission’s small business impact list by making a written application addressed to the executive director at the ICN main office location as listed in </w:t>
      </w:r>
      <w:hyperlink r:id="rId13">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commission may at any time request additional information from the applicant to determine whether the applicant is qualified as a small business or as an organization of 25 or more small businesses. The commission may periodically send a letter to each registered small business or organization,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commission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4">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commission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15">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commission shall issue a regulatory analysis of a proposed rule that conforms to the requirements of Iowa Code section </w:t>
      </w:r>
      <w:hyperlink r:id="rId1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rules coordinator;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commission shall adhere to the time lines described in Iowa Code section </w:t>
      </w:r>
      <w:hyperlink r:id="rId17">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commission. The request shall be in writing and satisfy the requirements of Iowa Code section </w:t>
      </w:r>
      <w:hyperlink r:id="rId18">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9">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commission shall make available to the maximum extent feasible, copies of the published summary in conformance with Iowa Code section </w:t>
      </w:r>
      <w:hyperlink r:id="rId20">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21">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2">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751—18.7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23">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at the time it adopts a rule that the fiscal impact statement upon which the rule is based contains errors, the commission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751—18.8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commission shall not adopt a rule until the period for making written submissions and oral presentations has expired. Within 180 days after the later of the publication of the Notice of Intended Action, or the end of oral proceedings thereon, the commission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commission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color w:val="000000"/>
          <w:sz w:val="22"/>
        </w:rPr>
        <w:t xml:space="preserve">Reliance on commission expertise. </w:t>
      </w:r>
      <w:r>
        <w:rPr>
          <w:rFonts w:ascii="Times New Roman" w:hAnsi="Times New Roman"/>
          <w:b w:val="false"/>
          <w:i w:val="false"/>
          <w:color w:val="000000"/>
          <w:sz w:val="22"/>
        </w:rPr>
        <w:t>Except as otherwise provided by law, the commission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751—18.9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differences are within the scope of the subject matter announced in the Notice of Intended Action and are in character with the issues raised in that notice;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commission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subject matter of the rule or the issues determined by the rule are different from the subject matter or issues contained in the Notice of Intended Action;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val="false"/>
          <w:color w:val="000000"/>
          <w:sz w:val="22"/>
        </w:rPr>
        <w:t>The commission shall commence a rule-making proceeding within 60 days of its receipt of a petition for rule making seeking the amendment or repeal of a rule that differs from the proposed rule contained in the Notice of Intended Action upon which the rule is based, unless the commission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3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commission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751—18.10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commission for good cause finds that public notice and participation are unnecessary, impracticable, or contrary to the public interest in the process of adopting a particular rule, the commission may adopt that rule without publishing advance Notice of Intended Action in the Iowa Administrative Bulletin and without providing for written or oral public submissions prior to its adoption.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 no categories exempt.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commission may, at any time, commence a standard rule-making proceeding for the adoption of a rule that is identical or similar to a rule it adopts in reliance upon </w:t>
      </w:r>
      <w:hyperlink r:id="rId24">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xml:space="preserve">. Upon written petition by a governmental subdivision, the administrative rules review committee, the administrative rules coordinator, an association having not less than 25 members, or at least 25 persons, the commission shall commence a standard rule-making proceeding for any rule specified in the petition that was adopted in reliance upon </w:t>
      </w:r>
      <w:hyperlink r:id="rId25">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commission may either readopt the rule it adopted without benefit of all usual procedures on the basis of </w:t>
      </w:r>
      <w:hyperlink r:id="rId26">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751—18.11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commission shall issue a concise statement of reasons for the rule. Requests for such a statement must be in writing and be delivered to the executive director of the commission at the ICN main office location as listed in </w:t>
      </w:r>
      <w:hyperlink r:id="rId27">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commission’s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commission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751—18.12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commission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commission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or if the commission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or the commission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commission may incorporate, by reference in a proposed or adopted rule, and without causing publication of the incorporated matter in full, all or any part of a code, standard, rule, or other matter if the commission finds that the incorporation of its text in the commission proposed or adopted rule would be unduly cumbersome, expensive, or otherwise inexpedient. The reference in the commission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commission may incorporate such matter by reference in a proposed or adopted rule only if the commission makes copies of it readily available to the public. The rule shall state how and where copies of the incorporated matter may be obtained at cost from this commission, and how and where copies may be obtained from an agency of the United States, this state, another state, or the organization, association, or persons, originally issuing that matter. The commission shall retain permanently a copy of any materials incorporated by reference in a rule of the commission.</w:t>
      </w:r>
    </w:p>
    <w:p>
      <w:pPr>
        <w:spacing w:before="0" w:after="0"/>
        <w:ind w:left="120"/>
        <w:jc w:val="both"/>
      </w:pPr>
      <w:r>
        <w:rPr>
          <w:rFonts w:ascii="Times New Roman" w:hAnsi="Times New Roman"/>
          <w:b w:val="false"/>
          <w:i w:val="false"/>
          <w:color w:val="000000"/>
          <w:sz w:val="22"/>
        </w:rPr>
        <w:t>If the commission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commission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commission. The commission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commission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commission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751—18.13</w:t>
      </w:r>
      <w:r>
        <w:rPr>
          <w:rFonts w:ascii="Times New Roman" w:hAnsi="Times New Roman"/>
          <w:b/>
          <w:i w:val="false"/>
          <w:color w:val="000000"/>
          <w:sz w:val="22"/>
        </w:rPr>
        <w:t xml:space="preserve">(17A) </w:t>
      </w:r>
      <w:r>
        <w:rPr>
          <w:rFonts w:ascii="Times New Roman" w:hAnsi="Times New Roman"/>
          <w:b/>
          <w:i w:val="false"/>
          <w:color w:val="000000"/>
          <w:sz w:val="22"/>
        </w:rPr>
        <w:t xml:space="preserve">Commission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commission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commission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commission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commission’s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commission, and all other written materials of a factual nature as distinguished from opinion that are relevant to the merits of the rule and that were created or compiled by the commission and considered by the Iowa telecommunications and technology commission, in connection with the formulation, proposal, or adoption of the rule or the proceeding upon which the rule is based, except to the extent the commission is authorized by law to keep them confidential; provided, however, that when any such materials are deleted because they are authorized by law to be kept confidential, the commission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amendments of,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30">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31">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commission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commission rule-making record required by this rule need not constitute the exclusive basis for commission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commission shall maintain the rule-making record indefinitely from the later of the date the rule to which it pertains became effective, the date of the Notice of Intended Action, or the date of any written criticism as described in </w:t>
      </w:r>
      <w:hyperlink r:id="rId32">
        <w:r>
          <w:rPr>
            <w:rStyle w:val="Hyperlink"/>
            <w:rFonts w:ascii="Times New Roman" w:hAnsi="Times New Roman"/>
            <w:b w:val="false"/>
            <w:i w:val="false"/>
            <w:color w:val="000000"/>
            <w:sz w:val="22"/>
          </w:rPr>
          <w:t>18.13(2)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210" w:after="0"/>
        <w:ind w:left="120"/>
        <w:jc w:val="both"/>
      </w:pPr>
      <w:r>
        <w:rPr>
          <w:rFonts w:ascii="Times New Roman" w:hAnsi="Times New Roman"/>
          <w:b/>
          <w:i w:val="false"/>
          <w:color w:val="000000"/>
          <w:sz w:val="22"/>
        </w:rPr>
        <w:t>751—18.14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commission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commission shall use the standard form prescribed by the administrative rules coordinator.</w:t>
      </w:r>
    </w:p>
    <w:p>
      <w:pPr>
        <w:spacing w:before="0" w:after="0"/>
        <w:ind w:left="120"/>
        <w:jc w:val="both"/>
      </w:pPr>
      <w:r>
        <w:rPr>
          <w:rFonts w:ascii="Times New Roman" w:hAnsi="Times New Roman"/>
          <w:b/>
          <w:i w:val="false"/>
          <w:color w:val="000000"/>
          <w:sz w:val="22"/>
        </w:rPr>
        <w:t>751—18.15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commission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commission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commission makes a rule effective prior to its indexing and publication in reliance upon the provisions of Iowa Code section </w:t>
      </w:r>
      <w:hyperlink r:id="rId33">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commission shall employ all reasonable efforts to make its contents known to the persons who may be affected by that rule prior to the rule’s indexing and publication. The term “all reasonable efforts” requires the commission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commission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4">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35">
        <w:r>
          <w:rPr>
            <w:rStyle w:val="Hyperlink"/>
            <w:rFonts w:ascii="Times New Roman" w:hAnsi="Times New Roman"/>
            <w:b w:val="false"/>
            <w:i w:val="false"/>
            <w:color w:val="000000"/>
            <w:sz w:val="22"/>
          </w:rPr>
          <w:t>subrule 18.15(2)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751—18.16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commission shall maintain an official, current, and dated compilation that is indexed by subject, containing all of its general statements of policy within the scope of Iowa Code section </w:t>
      </w:r>
      <w:hyperlink r:id="rId36">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7">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commission to the detriment of any person who does not have actual, timely knowledge of the contents of the statement until the requirements of </w:t>
      </w:r>
      <w:hyperlink r:id="rId38">
        <w:r>
          <w:rPr>
            <w:rStyle w:val="Hyperlink"/>
            <w:rFonts w:ascii="Times New Roman" w:hAnsi="Times New Roman"/>
            <w:b w:val="false"/>
            <w:i w:val="false"/>
            <w:color w:val="000000"/>
            <w:sz w:val="22"/>
          </w:rPr>
          <w:t>subrule 18.16(1)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751—18.17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commission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commission, or political subdivision may submit a written request to the administrative rules coordinator requesting the commission to conduct a formal review of a specified rule. Upon approval of that request by the administrative rules coordinator, the commission shall conduct a formal review of a specified rule to determine whether a new rule should be adopted instead or the rule should be amended or repealed. The commission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commission shall prepare within a reasonable time a written report summarizing its findings, its supporting reasons, and any proposed course of action. The report must include a concise statement of the commission’s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commission or granted by the commission. The report shall describe alternative solutions to resolve the criticisms of the rule, the reasons any were rejected, and any changes made in the rule in response to the criticisms as well as the reasons for the changes. A copy of the commission’s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9/20/07, Notice 6/20/07—published 10/10/07, effective 11/14/07]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751.18.12.pdf" Type="http://schemas.openxmlformats.org/officeDocument/2006/relationships/hyperlink" Id="rId9"/>
    <Relationship TargetMode="External" Target="https://www.legis.iowa.gov/docs/iac/rule/751.1.6.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ac/rule/751.1.6.pdf" Type="http://schemas.openxmlformats.org/officeDocument/2006/relationships/hyperlink" Id="rId12"/>
    <Relationship TargetMode="External" Target="https://www.legis.iowa.gov/docs/iac/rule/751.1.6.pdf" Type="http://schemas.openxmlformats.org/officeDocument/2006/relationships/hyperlink" Id="rId13"/>
    <Relationship TargetMode="External" Target="https://www.legis.iowa.gov/docs/ico/chapter/17A.4.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17A.4A.pdf" Type="http://schemas.openxmlformats.org/officeDocument/2006/relationships/hyperlink" Id="rId21"/>
    <Relationship TargetMode="External" Target="https://www.legis.iowa.gov/docs/ico/chapter/17A.4A.pdf" Type="http://schemas.openxmlformats.org/officeDocument/2006/relationships/hyperlink" Id="rId22"/>
    <Relationship TargetMode="External" Target="https://www.legis.iowa.gov/docs/ico/chapter/25B.6.pdf" Type="http://schemas.openxmlformats.org/officeDocument/2006/relationships/hyperlink" Id="rId23"/>
    <Relationship TargetMode="External" Target="https://www.legis.iowa.gov/docs/iac/rule/751.18.10.pdf" Type="http://schemas.openxmlformats.org/officeDocument/2006/relationships/hyperlink" Id="rId24"/>
    <Relationship TargetMode="External" Target="https://www.legis.iowa.gov/docs/iac/rule/751.18.10.pdf" Type="http://schemas.openxmlformats.org/officeDocument/2006/relationships/hyperlink" Id="rId25"/>
    <Relationship TargetMode="External" Target="https://www.legis.iowa.gov/docs/iac/rule/751.18.10.pdf" Type="http://schemas.openxmlformats.org/officeDocument/2006/relationships/hyperlink" Id="rId26"/>
    <Relationship TargetMode="External" Target="https://www.legis.iowa.gov/docs/iac/rule/751.1.6.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17A.4.pdf" Type="http://schemas.openxmlformats.org/officeDocument/2006/relationships/hyperlink" Id="rId29"/>
    <Relationship TargetMode="External" Target="https://www.legis.iowa.gov/docs/ico/chapter/17A.4.pdf" Type="http://schemas.openxmlformats.org/officeDocument/2006/relationships/hyperlink" Id="rId30"/>
    <Relationship TargetMode="External" Target="https://www.legis.iowa.gov/docs/ico/chapter/17A.4.pdf" Type="http://schemas.openxmlformats.org/officeDocument/2006/relationships/hyperlink" Id="rId31"/>
    <Relationship TargetMode="External" Target="https://www.legis.iowa.gov/docs/iac/rule/751.18.13.pdf" Type="http://schemas.openxmlformats.org/officeDocument/2006/relationships/hyperlink" Id="rId32"/>
    <Relationship TargetMode="External" Target="https://www.legis.iowa.gov/docs/ico/chapter/17A.5.pdf" Type="http://schemas.openxmlformats.org/officeDocument/2006/relationships/hyperlink" Id="rId33"/>
    <Relationship TargetMode="External" Target="https://www.legis.iowa.gov/docs/ico/chapter/17A.5.pdf" Type="http://schemas.openxmlformats.org/officeDocument/2006/relationships/hyperlink" Id="rId34"/>
    <Relationship TargetMode="External" Target="https://www.legis.iowa.gov/docs/iac/rule/751.18.15.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17A.2.pdf" Type="http://schemas.openxmlformats.org/officeDocument/2006/relationships/hyperlink" Id="rId37"/>
    <Relationship TargetMode="External" Target="https://www.legis.iowa.gov/docs/iac/rule/751.18.16.pdf" Type="http://schemas.openxmlformats.org/officeDocument/2006/relationships/hyperlink" Id="rId38"/>
    <Relationship TargetMode="External" Target="https://www.legis.iowa.gov/docs/ico/chapter/17A.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