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UNIFORM 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751—16.1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outlines a uniform process for the granting of waivers from rules adopted by the commission. The intent of this chapter is to allow persons to seek exceptions to the application of rules issued by the commission. This chapter shall not apply to rules that merely define the meaning of a statute or other provision of law or precedent if the commission does not possess delegated authority to bind the courts to any extent with its definition. To the extent another more specific provision of law governs the issuance of a waiver from a particular rule, the more specific provision shall supersede this chapter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telecommunications and technology commission” </w:t>
      </w:r>
      <w:r>
        <w:rPr>
          <w:rFonts w:ascii="Times New Roman" w:hAnsi="Times New Roman"/>
          <w:b w:val="false"/>
          <w:i w:val="false"/>
          <w:color w:val="000000"/>
          <w:sz w:val="22"/>
        </w:rPr>
        <w:t xml:space="preserve">means the Iowa telecommunications and technology commission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operating the Iowa Communications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government or governmental subdivision or agency, business trust, estate, trust, partnership or association, or any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an agency action which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waiver from rules adopted by the commission may be granted in accordance with this chapter if (1) the commission has authority to promulgate the rule from which waiver is requested or has final decision-making authority over a contested case in which a waiver is requested; and (2) no statute or rule otherwise controls the granting of a waiver from the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waiver may be granted from a requirement which is imposed by statute. Any waiver must be consistent with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751—16.2</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Commission discretion. </w:t>
      </w:r>
      <w:r>
        <w:rPr>
          <w:rFonts w:ascii="Times New Roman" w:hAnsi="Times New Roman"/>
          <w:b w:val="false"/>
          <w:i w:val="false"/>
          <w:color w:val="000000"/>
          <w:sz w:val="22"/>
        </w:rPr>
        <w:t>The decision on whether the circumstances justify the granting of a waiver shall be made at the discretion of the commission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The commission may, in response to a completed petition, grant a waiver from a rule, in whole or in part, as applied to the circumstances of a specified situation if the commission finds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the rule to the person at issue would result in hardship or injustice to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on the basis of the particular circumstances relative to that specified person would be consistent with the public interest;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Waiver in the specific case would not prejudice the substantial legal rights of any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applicable,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In determining whether a waiver should be granted, the commission shall consider the public interest, policies and legislative intent of the statute on which the rule is based. When the rule from which a waiver is sought establishes administrative deadlines, the commission shall balance the special individual circumstances of the petitioner with the overall goal of uniform treatment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Special waiver rules not precluded. </w:t>
      </w:r>
      <w:r>
        <w:rPr>
          <w:rFonts w:ascii="Times New Roman" w:hAnsi="Times New Roman"/>
          <w:b w:val="false"/>
          <w:i w:val="false"/>
          <w:color w:val="000000"/>
          <w:sz w:val="22"/>
        </w:rPr>
        <w:t xml:space="preserve">These uniform waiver rules shall not preclude the commission from granting waivers in other contexts including those described in Iowa Code section </w:t>
      </w:r>
      <w:hyperlink r:id="rId6">
        <w:r>
          <w:rPr>
            <w:rStyle w:val="Hyperlink"/>
            <w:rFonts w:ascii="Times New Roman" w:hAnsi="Times New Roman"/>
            <w:b w:val="false"/>
            <w:i w:val="false"/>
            <w:color w:val="000000"/>
            <w:sz w:val="22"/>
          </w:rPr>
          <w:t>8D.9</w:t>
        </w:r>
      </w:hyperlink>
      <w:r>
        <w:rPr>
          <w:rFonts w:ascii="Times New Roman" w:hAnsi="Times New Roman"/>
          <w:b w:val="false"/>
          <w:i w:val="false"/>
          <w:color w:val="000000"/>
          <w:sz w:val="22"/>
        </w:rPr>
        <w:t xml:space="preserve"> or on the basis of other standards if a statute or other commission rule authorizes the commission to do so and the commission deems it appropriate to do so.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751—16.3</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Requester’s responsibilities in filing a waiver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All petitions for waiver must be submitted in writing to the ICN main office location as listed in </w:t>
      </w:r>
      <w:hyperlink r:id="rId7">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If the petition relates to a pending contested case, a copy of the petition shall also be filed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 (for an example of a petition for waiver, see Exhibit A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commission and the petitioner relating to the use of the network, other regulated activity, license, grant, loan or other financial assistance affected by the proposed waiver, including a description of each use of the network, license, grant, loan or other financial assistance held by the requester, any notices of violation, contested case hearings, or investigative reports relating to the affected use of the network, regulated activity, license, grant or loan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commission’s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When a petition is filed for a waiver from a commission rule, the burden of persuasion shall be on the petitioner to demonstrate by clear and convincing evidence that the commission should exercise its discretion to grant the petitioner a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751—16.4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Notice. </w:t>
      </w:r>
      <w:r>
        <w:rPr>
          <w:rFonts w:ascii="Times New Roman" w:hAnsi="Times New Roman"/>
          <w:b w:val="false"/>
          <w:i w:val="false"/>
          <w:color w:val="000000"/>
          <w:sz w:val="22"/>
        </w:rPr>
        <w:t>The commission shall acknowledge a petition upon receipt. The commission shall ensure that, within 30 days of the receipt of the petition, notice of the pendency of the petition and a concise summary of its contents have been provided to all persons to whom notice is required by any provision of law. In addition, the commission may give notice to other persons. To accomplish this notice provision, the commission may require the petitioner to serve the notice on all persons to whom notice is required by any provision of law and provide a written statement to the commission attesting that notice has been provided.</w:t>
      </w:r>
    </w:p>
    <w:p>
      <w:pPr>
        <w:spacing w:before="0" w:after="0"/>
        <w:ind w:left="120"/>
        <w:jc w:val="both"/>
      </w:pPr>
      <w:r>
        <w:rPr>
          <w:rFonts w:ascii="Times New Roman" w:hAnsi="Times New Roman"/>
          <w:b/>
          <w:i w:val="false"/>
          <w:color w:val="000000"/>
          <w:sz w:val="22"/>
        </w:rPr>
        <w:t>751—16.5</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Commission responsibilities regarding petition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commission may request additional information from the petitioner relative to the petition and surrounding circumstances. If the petition was not filed in a contested case, the commission may, on its own motion or at the petitioner’s request, schedule a telephonic or in-person meeting or a meeting over the network operated by the commission, between the petitioner and the commission’s designee, a committee of the commission, or a quorum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8">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in three situations: (a) to any petition for a waiver of rule filed within a contested case; (b) when the commission so provides by rule or order; or (c) when a statute so requires.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16.5(3)</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operative period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commission may condition the granting of the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16.5(5)</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commission, a waiver may be renewed if the commission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commission shall grant or deny a petition for a waiver as soon as practicable but, in any event, shall do so within 120 days of its receipt, unless the petitioner agrees to a later date. However, if a petition is filed in a contested case, the commission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commission to grant or deny a petition within the required time period shall be deemed a denial of that petition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751—16.6</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commission shall maintain a record of all orders granting or denying waivers under this chapter. All final rulings in response to requests for waivers shall be indexed and available to members of the public at the ICN main office location as listed in </w:t>
      </w:r>
      <w:hyperlink r:id="rId10">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751—16.7</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Voiding or cancellation. </w:t>
      </w:r>
      <w:r>
        <w:rPr>
          <w:rFonts w:ascii="Times New Roman" w:hAnsi="Times New Roman"/>
          <w:b w:val="false"/>
          <w:i w:val="false"/>
          <w:color w:val="000000"/>
          <w:sz w:val="22"/>
        </w:rPr>
        <w:t>A waiver issued by the commission pursuant to this chapter may be withdrawn, canceled, modified, declared void or revoked if, after appropriate notice and hearing, the commission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granting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waiver is contrary to the public health, safety and welfare in light of newly discovered evidence or changed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751—16.8</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conditions in the waiver approval is the equivalent of violation of the particular rule for which the waiver is granted and is subject to the same remedies or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751—16.9</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751—16.10</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Granting or denying a request for waiver is final agency action under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An appeal to district court shall be taken within 30 days of the issuance of the ruling in response to the request unless a contrary time is provided by rule or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751—16.11</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commission shall make a submission on the Internet site established pursuant to Iowa Code section </w:t>
      </w:r>
      <w:hyperlink r:id="rId1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commission’s actions on waiver requests. If practicable, the report shall detail the extent to which granting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60" w:after="0"/>
        <w:ind w:left="120"/>
        <w:jc w:val="center"/>
      </w:pPr>
      <w:r>
        <w:rPr>
          <w:rFonts w:ascii="Times New Roman" w:hAnsi="Times New Roman"/>
          <w:b w:val="false"/>
          <w:i w:val="false"/>
          <w:color w:val="000000"/>
          <w:sz w:val="22"/>
        </w:rPr>
        <w:t>Exhibit A</w:t>
      </w:r>
    </w:p>
    <w:p>
      <w:pPr>
        <w:spacing w:before="60" w:after="0"/>
        <w:ind w:left="120"/>
        <w:jc w:val="center"/>
      </w:pPr>
      <w:r>
        <w:rPr>
          <w:rFonts w:ascii="Times New Roman" w:hAnsi="Times New Roman"/>
          <w:b w:val="false"/>
          <w:i w:val="false"/>
          <w:color w:val="000000"/>
          <w:sz w:val="22"/>
        </w:rPr>
        <w:t>Sample Petition (Request) for Waiver</w:t>
      </w:r>
    </w:p>
    <w:tbl>
      <w:tblPr>
        <w:tblW w:w="5000" w:type="pct"/>
        <w:tblCellSpacing w:w="0" w:type="auto"/>
        <w:tblInd w:w="795" w:type="dxa"/>
        <w:tblBorders>
          <w:top w:val="none"/>
          <w:left w:val="none"/>
          <w:bottom w:val="single" w:color="000000" w:sz="8"/>
          <w:right w:val="none"/>
          <w:insideH w:val="none"/>
          <w:insideV w:val="none"/>
        </w:tblBorders>
      </w:tblPr>
      <w:tblGrid>
        <w:gridCol w:w="4320"/>
        <w:gridCol w:w="960"/>
        <w:gridCol w:w="4320"/>
      </w:tblGrid>
      <w:tr>
        <w:trPr>
          <w:trHeight w:val="24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BEFORE THE IOWA TELECOMMUNICATIONS AND TECHNOLOGY COMMISSION</w:t>
            </w:r>
          </w:p>
        </w:tc>
      </w:tr>
      <w:tr>
        <w:trPr>
          <w:trHeight w:val="930" w:hRule="atLeast"/>
        </w:trPr>
        <w:tc>
          <w:tcPr>
            <w:tcW w:w="432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8"/>
              </w:rPr>
              <w:t>Petition by (insert name of petitioner)</w:t>
            </w:r>
          </w:p>
          <w:p>
            <w:pPr>
              <w:spacing w:before="0" w:after="0"/>
              <w:ind w:left="160"/>
              <w:jc w:val="left"/>
            </w:pPr>
            <w:r>
              <w:rPr>
                <w:rFonts w:ascii="Times New Roman" w:hAnsi="Times New Roman"/>
                <w:b w:val="false"/>
                <w:i w:val="false"/>
                <w:color w:val="000000"/>
                <w:sz w:val="18"/>
              </w:rPr>
              <w:t>for the waiver of (insert rule citation)</w:t>
            </w:r>
          </w:p>
          <w:p>
            <w:pPr>
              <w:spacing w:before="0" w:after="0"/>
              <w:ind w:left="160"/>
              <w:jc w:val="left"/>
            </w:pPr>
            <w:r>
              <w:rPr>
                <w:rFonts w:ascii="Times New Roman" w:hAnsi="Times New Roman"/>
                <w:b w:val="false"/>
                <w:i w:val="false"/>
                <w:color w:val="000000"/>
                <w:sz w:val="18"/>
              </w:rPr>
              <w:t>relating to (insert the subject matter).</w:t>
            </w:r>
          </w:p>
        </w:tc>
        <w:tc>
          <w:tcPr>
            <w:tcW w:w="96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32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PETITION FOR</w:t>
            </w:r>
          </w:p>
          <w:p>
            <w:pPr>
              <w:spacing w:before="0" w:after="0"/>
              <w:ind w:left="160"/>
              <w:jc w:val="center"/>
            </w:pPr>
            <w:r>
              <w:rPr>
                <w:rFonts w:ascii="Times New Roman" w:hAnsi="Times New Roman"/>
                <w:b w:val="false"/>
                <w:i w:val="false"/>
                <w:color w:val="000000"/>
                <w:sz w:val="18"/>
              </w:rPr>
              <w:t>WAIVER</w:t>
            </w:r>
          </w:p>
        </w:tc>
      </w:tr>
    </w:tbl>
    <w:p>
      <w:pPr>
        <w:spacing w:before="0" w:after="0"/>
        <w:ind w:left="120"/>
        <w:jc w:val="both"/>
      </w:pPr>
      <w:r>
        <w:rPr>
          <w:rFonts w:ascii="Times New Roman" w:hAnsi="Times New Roman"/>
          <w:b w:val="false"/>
          <w:i w:val="false"/>
          <w:color w:val="000000"/>
          <w:sz w:val="22"/>
        </w:rPr>
        <w:t>Requests for waiver from a commission rule shall include the following information in the petition for waiver where applicable and known to the petitioner:</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petitioner’s (person asking for a waiver) name, address, and telephone number.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Describe and cite the specific rule from which a waiver is requested.</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Describe the specific waiver requested; include the exact scope and time period that the waiver will extend.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Explain the important facts that the petitioner believes justify a waiver. Include in your answer why (1) applying the rule will result in hardship or injustice to the petitioner; and (2) granting the waiver to the petitioner is consistent with the public interest; and (3) granting the waiver will not prejudice the substantial legal rights of any person; and (4) where applicable, how 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a history of prior contacts between the commission and petitioner relating to the use of the network, regulated activity, license, grant, loan or other financial assistance that would be affected by the waiver; include a description of each affected use of the network, license, grant, loan or other financial assistance held by the petitioner, any notices of violation, contested case hearings, or investigative reports relating to the affected use, regulated activity, license, grant or loan within the past five years.</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information known to the petitioner regarding the commission’s treatment of similar cases.</w:t>
      </w:r>
    </w:p>
    <w:p>
      <w:pPr>
        <w:spacing w:before="0" w:after="0"/>
        <w:ind w:left="120"/>
        <w:jc w:val="both"/>
      </w:pPr>
      <w:r>
        <w:rPr>
          <w:rFonts w:ascii="Times New Roman" w:hAnsi="Times New Roman"/>
          <w:b w:val="false"/>
          <w:i/>
          <w:color w:val="000000"/>
          <w:sz w:val="22"/>
        </w:rPr>
        <w:t>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color w:val="000000"/>
          <w:sz w:val="22"/>
        </w:rPr>
        <w:t>h.</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name, address, and telephone number of any person or entity that would be adversely affected or disadvantaged by the granting of the waiver.</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the name, address, and telephone number of any person with knowledge of the relevant or important facts relating to the requested waiver.</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Provide signed releases of information authorizing persons with knowledge regarding the request to furnish the commission with information relevant to the waiver.</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I hereby attest to the accuracy and truthfulness of the above information.</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6667"/>
        <w:gridCol w:w="400"/>
        <w:gridCol w:w="4000"/>
      </w:tblGrid>
      <w:tr>
        <w:trPr>
          <w:trHeight w:val="270" w:hRule="atLeast"/>
        </w:trPr>
        <w:tc>
          <w:tcPr>
            <w:tcW w:w="666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6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c>
          <w:tcPr>
            <w:tcW w:w="4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Date </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Petitioner should note the following when requesting or petitioning for a waiver:</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petitioner has the burden of proving to the commission, by clear and convincing evidence, the following: (a) application of the rule to the petitioner would result in hardship or injustice to the petitioner; and (b) waiver on the basis of the particular circumstances relative to the petitioner would be consistent with the public interest; and (c) waiver in the specific case would not prejudice the substantial legal rights of any person; and (d) where applicable, how substantially equal protection of public health, safety, and welfare will be afforded by a means other than that prescribed in the particular rule for which the waiver is requested.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commission may request additional information from or request an informal meeting with the petitioner prior to issuing a ruling granting or denying a request for waiver.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 xml:space="preserve">All petitions for waiver must be submitted in writing to the ICN main office location as listed in </w:t>
      </w:r>
      <w:hyperlink r:id="rId13">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If the petition relates to a pending contested case, a copy of the petition shall also be filed in the contested case proceeding.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5828C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Executive Order Number 11 and Iowa Code section </w:t>
      </w:r>
      <w:hyperlink r:id="rId14">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9/20/07, Notice 6/20/07—published 10/10/07, effective 11/14/07]</w:t>
      </w:r>
    </w:p>
    <w:p>
      <w:pPr>
        <w:spacing w:before="0" w:after="0"/>
        <w:ind w:left="120"/>
        <w:jc w:val="center"/>
      </w:pPr>
      <w:r>
        <w:rPr>
          <w:rFonts w:ascii="Times New Roman" w:hAnsi="Times New Roman"/>
          <w:b w:val="false"/>
          <w:i w:val="false"/>
          <w:color w:val="000000"/>
          <w:sz w:val="21"/>
        </w:rPr>
        <w:t>[Filed ARC 5828C</w:t>
      </w:r>
      <w:r>
        <w:rPr>
          <w:rFonts w:ascii="Times New Roman" w:hAnsi="Times New Roman"/>
          <w:b w:val="false"/>
          <w:i w:val="false"/>
          <w:color w:val="000000"/>
          <w:sz w:val="21"/>
        </w:rPr>
        <w:t xml:space="preserve"> (Notice ARC 5635C, IAB 5/19/21)</w:t>
      </w:r>
      <w:r>
        <w:rPr>
          <w:rFonts w:ascii="Times New Roman" w:hAnsi="Times New Roman"/>
          <w:b w:val="false"/>
          <w:i w:val="false"/>
          <w:color w:val="000000"/>
          <w:sz w:val="21"/>
        </w:rPr>
        <w:t>, IAB 8/11/21, effective 9/15/21]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s://www.legis.iowa.gov/docs/ico/chapter/8D.9.pdf" Type="http://schemas.openxmlformats.org/officeDocument/2006/relationships/hyperlink" Id="rId6"/>
    <Relationship TargetMode="External" Target="https://www.legis.iowa.gov/docs/iac/rule/751.1.6.pdf" Type="http://schemas.openxmlformats.org/officeDocument/2006/relationships/hyperlink" Id="rId7"/>
    <Relationship TargetMode="External" Target="https://www.legis.iowa.gov/docs/ico/chapter/17A.10-18A.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ac/rule/751.1.6.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ac/rule/751.1.6.pdf" Type="http://schemas.openxmlformats.org/officeDocument/2006/relationships/hyperlink" Id="rId13"/>
    <Relationship TargetMode="External" Target="https://www.legis.iowa.gov/docs/ico/chapter/17A.9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