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DIVISION IV</w:t>
      </w:r>
    </w:p>
    <w:p>
      <w:pPr>
        <w:pBdr>
          <w:bottom w:space="3"/>
        </w:pBdr>
        <w:spacing w:before="0" w:after="0"/>
        <w:ind w:left="120"/>
        <w:jc w:val="center"/>
      </w:pPr>
      <w:r>
        <w:rPr>
          <w:rFonts w:ascii="Times New Roman" w:hAnsi="Times New Roman"/>
          <w:b w:val="false"/>
          <w:i w:val="false"/>
          <w:color w:val="000000"/>
          <w:sz w:val="16"/>
        </w:rPr>
        <w:t>CORPORATIONS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CORPORATIONS</w:t>
      </w:r>
    </w:p>
    <w:p>
      <w:pPr>
        <w:spacing w:before="0" w:after="0"/>
        <w:ind w:left="120"/>
        <w:jc w:val="center"/>
      </w:pPr>
      <w:r>
        <w:rPr>
          <w:rFonts w:ascii="Times New Roman" w:hAnsi="Times New Roman"/>
          <w:b w:val="false"/>
          <w:i w:val="false"/>
          <w:color w:val="000000"/>
          <w:sz w:val="14"/>
        </w:rPr>
        <w:t>[Prior to 7/13/88, see Secretary of State[750]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721—40.1</w:t>
      </w:r>
      <w:r>
        <w:rPr>
          <w:rFonts w:ascii="Times New Roman" w:hAnsi="Times New Roman"/>
          <w:b/>
          <w:i w:val="false"/>
          <w:color w:val="000000"/>
          <w:sz w:val="22"/>
        </w:rPr>
        <w:t xml:space="preserve">(9,490,504) </w:t>
      </w:r>
      <w:r>
        <w:rPr>
          <w:rFonts w:ascii="Times New Roman" w:hAnsi="Times New Roman"/>
          <w:b/>
          <w:i w:val="false"/>
          <w:color w:val="000000"/>
          <w:sz w:val="22"/>
        </w:rPr>
        <w:t xml:space="preserve">Filing of documents. </w:t>
      </w:r>
      <w:r>
        <w:rPr>
          <w:rFonts w:ascii="Times New Roman" w:hAnsi="Times New Roman"/>
          <w:b w:val="false"/>
          <w:i w:val="false"/>
          <w:color w:val="000000"/>
          <w:sz w:val="22"/>
        </w:rPr>
        <w:t>Documents pertaining to profit corporations, nonprofit corporations, limited liability companies, limited partnerships, and cooperative associations shall be delivered for filing to the office of Secretary of State, Lucas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 signature, however made, is acceptable with regard to documents delivered to the secretary of state for filing pursuant to Iowa Code chapter </w:t>
      </w:r>
      <w:hyperlink r:id="rId5">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w:t>
      </w:r>
      <w:r>
        <w:rPr>
          <w:rFonts w:ascii="Times New Roman" w:hAnsi="Times New Roman"/>
          <w:b w:val="false"/>
          <w:i w:val="false"/>
          <w:color w:val="000000"/>
          <w:sz w:val="22"/>
        </w:rPr>
        <w:t> </w:t>
      </w:r>
      <w:r>
        <w:rPr>
          <w:rFonts w:ascii="Times New Roman" w:hAnsi="Times New Roman"/>
          <w:b w:val="false"/>
          <w:i w:val="false"/>
          <w:color w:val="000000"/>
          <w:sz w:val="22"/>
        </w:rPr>
        <w:t>A document pertaining to a profit corporation, a nonprofit corporation, a limited liability company, a limited partnership, or a cooperative association delivered to the secretary of state for filing must be captioned to describe the record’s purpose and be in a medium permitted by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submitted for same-day preclearance service as provided in Iowa Code chapter </w:t>
      </w:r>
      <w:hyperlink r:id="rId6">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 xml:space="preserve"> may be delivered by fax or in person. Preclearance service speed is not guaranteed on a document delivered by any other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w:t>
      </w:r>
      <w:r>
        <w:rPr>
          <w:rFonts w:ascii="Times New Roman" w:hAnsi="Times New Roman"/>
          <w:b w:val="false"/>
          <w:i w:val="false"/>
          <w:color w:val="000000"/>
          <w:sz w:val="22"/>
        </w:rPr>
        <w:t> </w:t>
      </w:r>
      <w:r>
        <w:rPr>
          <w:rFonts w:ascii="Times New Roman" w:hAnsi="Times New Roman"/>
          <w:b w:val="false"/>
          <w:i w:val="false"/>
          <w:color w:val="000000"/>
          <w:sz w:val="22"/>
        </w:rPr>
        <w:t>Where the secretary of state prescribes and furnishes a form for the filing of a document pertaining to a profit corporation, a nonprofit corporation, a limited liability company, a limited partnership, or a cooperative association, the secretary requires the use of that form as permitted by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w:t>
      </w:r>
      <w:r>
        <w:rPr>
          <w:rFonts w:ascii="Times New Roman" w:hAnsi="Times New Roman"/>
          <w:b w:val="false"/>
          <w:i w:val="false"/>
          <w:color w:val="000000"/>
          <w:sz w:val="22"/>
        </w:rPr>
        <w:t> </w:t>
      </w:r>
      <w:r>
        <w:rPr>
          <w:rFonts w:ascii="Times New Roman" w:hAnsi="Times New Roman"/>
          <w:b w:val="false"/>
          <w:i w:val="false"/>
          <w:color w:val="000000"/>
          <w:sz w:val="22"/>
        </w:rPr>
        <w:t>A document pertaining to a profit corporation, a nonprofit corporation, a limited liability company, a limited partnership, or a cooperative association delivered to the secretary of state for filing may be delivered by fax to (515)242-5953.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delivered by fax may be delivered at any time of day. The date and time of receipt printed on the document by the fax machine constitutes the date and time endorsement required by Iowa Code section </w:t>
      </w:r>
      <w:hyperlink r:id="rId7">
        <w:r>
          <w:rPr>
            <w:rStyle w:val="Hyperlink"/>
            <w:rFonts w:ascii="Times New Roman" w:hAnsi="Times New Roman"/>
            <w:b w:val="false"/>
            <w:i w:val="false"/>
            <w:color w:val="000000"/>
            <w:sz w:val="22"/>
          </w:rPr>
          <w:t>490.125(2)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delivered by fax shall be printed on paper measuring 8½″ by 11″, unless a copy of a larger document, reduced to 8½″ by 11″ paper, is acceptable to the filing party. The document received by the secretary of state via fax shall constitute the copy that is filed and returned to the corporation pursuant to Iowa Code section </w:t>
      </w:r>
      <w:hyperlink r:id="rId8">
        <w:r>
          <w:rPr>
            <w:rStyle w:val="Hyperlink"/>
            <w:rFonts w:ascii="Times New Roman" w:hAnsi="Times New Roman"/>
            <w:b w:val="false"/>
            <w:i w:val="false"/>
            <w:color w:val="000000"/>
            <w:sz w:val="22"/>
          </w:rPr>
          <w:t>490.125(2)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delivered by fax shall be accompanied by a cover sheet that provides the name, address, and telephone number of the filing party, and instructions as to the manner by which the filing fee will be paid. The filing fee may be billed to an account maintained by the filing party pursuant to rule </w:t>
      </w:r>
      <w:hyperlink r:id="rId9">
        <w:r>
          <w:rPr>
            <w:rStyle w:val="Hyperlink"/>
            <w:rFonts w:ascii="Times New Roman" w:hAnsi="Times New Roman"/>
            <w:b w:val="false"/>
            <w:i w:val="false"/>
            <w:color w:val="000000"/>
            <w:sz w:val="22"/>
          </w:rPr>
          <w:t>721—2.3(9,631)</w:t>
        </w:r>
      </w:hyperlink>
      <w:r>
        <w:rPr>
          <w:rFonts w:ascii="Times New Roman" w:hAnsi="Times New Roman"/>
          <w:b w:val="false"/>
          <w:i w:val="false"/>
          <w:color w:val="000000"/>
          <w:sz w:val="22"/>
        </w:rPr>
        <w:t>. The filing fee may be paid by any other means authorized by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w:t>
      </w:r>
      <w:r>
        <w:rPr>
          <w:rFonts w:ascii="Times New Roman" w:hAnsi="Times New Roman"/>
          <w:b w:val="false"/>
          <w:i w:val="false"/>
          <w:color w:val="000000"/>
          <w:sz w:val="22"/>
        </w:rPr>
        <w:t> </w:t>
      </w:r>
      <w:r>
        <w:rPr>
          <w:rFonts w:ascii="Times New Roman" w:hAnsi="Times New Roman"/>
          <w:b w:val="false"/>
          <w:i w:val="false"/>
          <w:color w:val="000000"/>
          <w:sz w:val="22"/>
        </w:rPr>
        <w:t>A document delivered by fax for filing may be rejected if the print quality of the document is deemed by agency personnel to be unacceptable for scanning purposes. The secretary of state will notify the filing party by telephone, email, or regular mail of the rejection of a document pursuant to this subrule. The secretary of state will accept for filing the original copy of the document, effective on the date of the transmission by fax, if the original document is received in the office of the secretary of state within ten days of date of the notification of the rejection.</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0">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721—40.2</w:t>
      </w:r>
      <w:r>
        <w:rPr>
          <w:rFonts w:ascii="Times New Roman" w:hAnsi="Times New Roman"/>
          <w:b/>
          <w:i w:val="false"/>
          <w:color w:val="000000"/>
          <w:sz w:val="22"/>
        </w:rPr>
        <w:t xml:space="preserve">(486A,488,489,490,496C,499,501,501A,504) </w:t>
      </w:r>
      <w:r>
        <w:rPr>
          <w:rFonts w:ascii="Times New Roman" w:hAnsi="Times New Roman"/>
          <w:b/>
          <w:i w:val="false"/>
          <w:color w:val="000000"/>
          <w:sz w:val="22"/>
        </w:rPr>
        <w:t xml:space="preserve">Names distinguishable upon corporate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40.2(1)</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these rules, a name is considered distinguishable upon the records of the secretary of state if it contains one or more different letters or numerals, or if it contains a different sequence of letters or numerals. A single space used to divide a sequence of letters or numerals into separate words is considered to be a letter for the purpose of this subrule. Differences between singular and plural forms of words are distinguishable. Differences between numerals, Roman numerals, and words representing numerals are distinguishable. The following characters are considered as letters for the purpose of this subrule: $ (dollar sign); + (plus sign); % (percent sign); ¢ (cent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w:t>
      </w:r>
      <w:r>
        <w:rPr>
          <w:rFonts w:ascii="Times New Roman" w:hAnsi="Times New Roman"/>
          <w:b w:val="false"/>
          <w:i w:val="false"/>
          <w:color w:val="000000"/>
          <w:sz w:val="22"/>
        </w:rPr>
        <w:t> </w:t>
      </w:r>
      <w:r>
        <w:rPr>
          <w:rFonts w:ascii="Times New Roman" w:hAnsi="Times New Roman"/>
          <w:b w:val="false"/>
          <w:i w:val="false"/>
          <w:color w:val="000000"/>
          <w:sz w:val="22"/>
        </w:rPr>
        <w:t>The following words and abbreviations, when positioned as the last word or abbreviation in the business entity name, are not considered in determining whether a name is distinguishable upon the records of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Incorporated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Benefit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Cooperative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Limited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Limited Liability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Registered Limited Liability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Limited Liability Limited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Professional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Limited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Limited Liability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Professional Limited Liability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Any abbreviation of any of the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presence or absence of the words “protected series” or the abbreviation “PS” in the name of a protected series, when such words or abbreviation is meant to comply with Iowa Code section </w:t>
      </w:r>
      <w:hyperlink r:id="rId12">
        <w:r>
          <w:rPr>
            <w:rStyle w:val="Hyperlink"/>
            <w:rFonts w:ascii="Times New Roman" w:hAnsi="Times New Roman"/>
            <w:b w:val="false"/>
            <w:i w:val="false"/>
            <w:color w:val="000000"/>
            <w:sz w:val="22"/>
          </w:rPr>
          <w:t>489.14202(2)</w:t>
        </w:r>
      </w:hyperlink>
      <w:r>
        <w:rPr>
          <w:rFonts w:ascii="Times New Roman" w:hAnsi="Times New Roman"/>
          <w:b w:val="false"/>
          <w:i/>
          <w:color w:val="000000"/>
          <w:sz w:val="22"/>
        </w:rPr>
        <w:t>“b,”</w:t>
      </w:r>
      <w:r>
        <w:rPr>
          <w:rFonts w:ascii="Times New Roman" w:hAnsi="Times New Roman"/>
          <w:b w:val="false"/>
          <w:i w:val="false"/>
          <w:color w:val="000000"/>
          <w:sz w:val="22"/>
        </w:rPr>
        <w:t xml:space="preserve"> is not considered in determining whether the name of a protected series is distinguishable upon the records of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40.2(4)</w:t>
      </w:r>
      <w:r>
        <w:rPr>
          <w:rFonts w:ascii="Times New Roman" w:hAnsi="Times New Roman"/>
          <w:b w:val="false"/>
          <w:i w:val="false"/>
          <w:color w:val="000000"/>
          <w:sz w:val="22"/>
        </w:rPr>
        <w:t> </w:t>
      </w:r>
      <w:r>
        <w:rPr>
          <w:rFonts w:ascii="Times New Roman" w:hAnsi="Times New Roman"/>
          <w:b w:val="false"/>
          <w:i w:val="false"/>
          <w:color w:val="000000"/>
          <w:sz w:val="22"/>
        </w:rPr>
        <w:t>Differences in punctuation and special characters are not considered in determining whether a name is distinguishable upon the records of the secretary of state. Punctuation and special characters include, but are not limited to:</w:t>
      </w:r>
    </w:p>
    <w:tbl>
      <w:tblPr>
        <w:tblW w:w="5000" w:type="pct"/>
        <w:tblCellSpacing w:w="0" w:type="auto"/>
        <w:tblBorders>
          <w:top w:val="none"/>
          <w:left w:val="none"/>
          <w:bottom w:val="none"/>
          <w:right w:val="none"/>
          <w:insideH w:val="none"/>
          <w:insideV w:val="none"/>
        </w:tblBorders>
        <w:tblLayout w:type="fixed"/>
      </w:tblPr>
      <w:tblGrid>
        <w:gridCol w:w="1451"/>
        <w:gridCol w:w="4092"/>
        <w:gridCol w:w="1556"/>
        <w:gridCol w:w="4091"/>
      </w:tblGrid>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(apostrophe)</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(left bracket)</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(right bracket)</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(colon)</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(comma)</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(dash)</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(hyphen)</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(exclamation point)</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(left parenthesis)</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(right parenthesis)</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(period)</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(question mark)</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(single quote mark)</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(double quote mark)</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(semicolon)</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(slash)</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(asterisk)</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 sign)</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(back slash)</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(left brace)</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(right brace)</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(caret)</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(equal sign)</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&gt;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(greater than sign)</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&lt;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(less than sign)</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(number sign)</w:t>
            </w:r>
          </w:p>
        </w:tc>
      </w:tr>
      <w:tr>
        <w:trPr>
          <w:trHeight w:val="210" w:hRule="atLeast"/>
        </w:trPr>
        <w:tc>
          <w:tcPr>
            <w:tcW w:w="1451"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409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(tilde)</w:t>
            </w:r>
          </w:p>
        </w:tc>
        <w:tc>
          <w:tcPr>
            <w:tcW w:w="1556"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_</w:t>
            </w:r>
          </w:p>
        </w:tc>
        <w:tc>
          <w:tcPr>
            <w:tcW w:w="409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(underline)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40.2(5)</w:t>
      </w:r>
      <w:r>
        <w:rPr>
          <w:rFonts w:ascii="Times New Roman" w:hAnsi="Times New Roman"/>
          <w:b w:val="false"/>
          <w:i w:val="false"/>
          <w:color w:val="000000"/>
          <w:sz w:val="22"/>
        </w:rPr>
        <w:t> </w:t>
      </w:r>
      <w:r>
        <w:rPr>
          <w:rFonts w:ascii="Times New Roman" w:hAnsi="Times New Roman"/>
          <w:b w:val="false"/>
          <w:i w:val="false"/>
          <w:color w:val="000000"/>
          <w:sz w:val="22"/>
        </w:rPr>
        <w:t>Differences in capitalization are not considered in determining whether a name is distinguishable upon the records of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w:t>
      </w:r>
      <w:r>
        <w:rPr>
          <w:rFonts w:ascii="Times New Roman" w:hAnsi="Times New Roman"/>
          <w:b w:val="false"/>
          <w:i w:val="false"/>
          <w:color w:val="000000"/>
          <w:sz w:val="22"/>
        </w:rPr>
        <w:t> </w:t>
      </w:r>
      <w:r>
        <w:rPr>
          <w:rFonts w:ascii="Times New Roman" w:hAnsi="Times New Roman"/>
          <w:b w:val="false"/>
          <w:i w:val="false"/>
          <w:color w:val="000000"/>
          <w:sz w:val="22"/>
        </w:rPr>
        <w:t>Differences between an ampersand (&amp;) and the word “and” are not considered in determining whether a name is distinguishable upon the records of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40.2(7)</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a name is distinguishable upon the records of the secretary of state, names found in the following records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Fictitious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Assumed names of nonprofit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corporations (profit or nonprofit) whose certificates of incorporation have been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Names of corporations (profit or nonprofit) whose certificates of authority or certificates of registration have been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Expired or terminated assumed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Expired name reservations.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Expired name registrations.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486A.1002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488.108</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489.108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490.401</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496C.5</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499.4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501.104</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501A.301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504.401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721—40.3</w:t>
      </w:r>
      <w:r>
        <w:rPr>
          <w:rFonts w:ascii="Times New Roman" w:hAnsi="Times New Roman"/>
          <w:b/>
          <w:i w:val="false"/>
          <w:color w:val="000000"/>
          <w:sz w:val="22"/>
        </w:rPr>
        <w:t xml:space="preserve">(489,491,496C,499,501,501A,504) </w:t>
      </w:r>
      <w:r>
        <w:rPr>
          <w:rFonts w:ascii="Times New Roman" w:hAnsi="Times New Roman"/>
          <w:b/>
          <w:i w:val="false"/>
          <w:color w:val="000000"/>
          <w:sz w:val="22"/>
        </w:rPr>
        <w:t xml:space="preserve">Payment and refund of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w:t>
      </w:r>
      <w:r>
        <w:rPr>
          <w:rFonts w:ascii="Times New Roman" w:hAnsi="Times New Roman"/>
          <w:b w:val="false"/>
          <w:i w:val="false"/>
          <w:color w:val="000000"/>
          <w:sz w:val="22"/>
        </w:rPr>
        <w:t> </w:t>
      </w:r>
      <w:r>
        <w:rPr>
          <w:rFonts w:ascii="Times New Roman" w:hAnsi="Times New Roman"/>
          <w:b w:val="false"/>
          <w:i w:val="false"/>
          <w:color w:val="000000"/>
          <w:sz w:val="22"/>
        </w:rPr>
        <w:t>The office of secretary of state requires payment of all fees in full at the time of filing of any corporate document or request for copies.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w:t>
      </w:r>
      <w:r>
        <w:rPr>
          <w:rFonts w:ascii="Times New Roman" w:hAnsi="Times New Roman"/>
          <w:b w:val="false"/>
          <w:i w:val="false"/>
          <w:color w:val="000000"/>
          <w:sz w:val="22"/>
        </w:rPr>
        <w:t> </w:t>
      </w:r>
      <w:r>
        <w:rPr>
          <w:rFonts w:ascii="Times New Roman" w:hAnsi="Times New Roman"/>
          <w:b w:val="false"/>
          <w:i w:val="false"/>
          <w:color w:val="000000"/>
          <w:sz w:val="22"/>
        </w:rPr>
        <w:t>Filing under any of the business entity chapters may be effected only upon the receipt of the correct filing fee. Failure to include the filing fee or partial payment of the filing fee will result in the return of the filing to the sender with instructions to include the correct filing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w:t>
      </w:r>
      <w:r>
        <w:rPr>
          <w:rFonts w:ascii="Times New Roman" w:hAnsi="Times New Roman"/>
          <w:b w:val="false"/>
          <w:i w:val="false"/>
          <w:color w:val="000000"/>
          <w:sz w:val="22"/>
        </w:rPr>
        <w:t> </w:t>
      </w:r>
      <w:r>
        <w:rPr>
          <w:rFonts w:ascii="Times New Roman" w:hAnsi="Times New Roman"/>
          <w:b w:val="false"/>
          <w:i w:val="false"/>
          <w:color w:val="000000"/>
          <w:sz w:val="22"/>
        </w:rPr>
        <w:t>In the event that a filing fee overpayment is made, the amount in excess of the correct filing fee shall be returned to the filing party. No adjustment is required if the amount of overpayment is one dollar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40.3(4)</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subrule implements the pilot project authorized by </w:t>
      </w:r>
      <w:r>
        <w:rPr>
          <w:rFonts w:ascii="Times New Roman" w:hAnsi="Times New Roman"/>
          <w:b w:val="false"/>
          <w:i w:val="false"/>
          <w:color w:val="000000"/>
          <w:sz w:val="22"/>
        </w:rPr>
        <w:t>2000 Iowa Acts, House File 2545, section 32</w:t>
      </w:r>
      <w:r>
        <w:rPr>
          <w:rFonts w:ascii="Times New Roman" w:hAnsi="Times New Roman"/>
          <w:b w:val="false"/>
          <w:i w:val="false"/>
          <w:color w:val="000000"/>
          <w:sz w:val="22"/>
        </w:rPr>
        <w:t xml:space="preserve">, for fees required by Iowa Code section </w:t>
      </w:r>
      <w:hyperlink r:id="rId22">
        <w:r>
          <w:rPr>
            <w:rStyle w:val="Hyperlink"/>
            <w:rFonts w:ascii="Times New Roman" w:hAnsi="Times New Roman"/>
            <w:b w:val="false"/>
            <w:i w:val="false"/>
            <w:color w:val="000000"/>
            <w:sz w:val="22"/>
          </w:rPr>
          <w:t>490.122(1)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secretary of state may refund payment of the corporate filing fees required pursuant to the provisions of Iowa Code section </w:t>
      </w:r>
      <w:hyperlink r:id="rId23">
        <w:r>
          <w:rPr>
            <w:rStyle w:val="Hyperlink"/>
            <w:rFonts w:ascii="Times New Roman" w:hAnsi="Times New Roman"/>
            <w:b w:val="false"/>
            <w:i w:val="false"/>
            <w:color w:val="000000"/>
            <w:sz w:val="22"/>
          </w:rPr>
          <w:t>490.122(1)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“v,”</w:t>
      </w:r>
      <w:r>
        <w:rPr>
          <w:rFonts w:ascii="Times New Roman" w:hAnsi="Times New Roman"/>
          <w:b w:val="false"/>
          <w:i w:val="false"/>
          <w:color w:val="000000"/>
          <w:sz w:val="22"/>
        </w:rPr>
        <w:t xml:space="preserve"> if, within five business days from the time the corporate filing is received and date stamped, the entity has not been entered on the records of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receive a refund under this subrule, the business entity must make a written request with the business services division of the secretary of state’s office. The written request must specify the reason(s) for the refund and provide evidence of entitlement to the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fee shall not be refunded if the corporate filing fails to satisfy all of the filing requirements of Iowa Code chapter </w:t>
      </w:r>
      <w:hyperlink r:id="rId24">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decision of the secretary of state not to issue a refund under this subrule is final and not subject to review pursuant to the provisions of the Iowa administrative procedure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subrule implements the pilot project authorized by </w:t>
      </w:r>
      <w:r>
        <w:rPr>
          <w:rFonts w:ascii="Times New Roman" w:hAnsi="Times New Roman"/>
          <w:b w:val="false"/>
          <w:i w:val="false"/>
          <w:color w:val="000000"/>
          <w:sz w:val="22"/>
        </w:rPr>
        <w:t>2000 Iowa Acts, House File 2545</w:t>
      </w:r>
      <w:r>
        <w:rPr>
          <w:rFonts w:ascii="Times New Roman" w:hAnsi="Times New Roman"/>
          <w:b w:val="false"/>
          <w:i w:val="false"/>
          <w:color w:val="000000"/>
          <w:sz w:val="22"/>
        </w:rPr>
        <w:t xml:space="preserve">, section 32, for fees required by Iowa Code section </w:t>
      </w:r>
      <w:hyperlink r:id="rId25">
        <w:r>
          <w:rPr>
            <w:rStyle w:val="Hyperlink"/>
            <w:rFonts w:ascii="Times New Roman" w:hAnsi="Times New Roman"/>
            <w:b w:val="false"/>
            <w:i w:val="false"/>
            <w:color w:val="000000"/>
            <w:sz w:val="22"/>
          </w:rPr>
          <w:t>504.113(1)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secretary of state may refund payment of the corporate filing fees required pursuant to the provisions of Iowa Code section </w:t>
      </w:r>
      <w:hyperlink r:id="rId26">
        <w:r>
          <w:rPr>
            <w:rStyle w:val="Hyperlink"/>
            <w:rFonts w:ascii="Times New Roman" w:hAnsi="Times New Roman"/>
            <w:b w:val="false"/>
            <w:i w:val="false"/>
            <w:color w:val="000000"/>
            <w:sz w:val="22"/>
          </w:rPr>
          <w:t>504.113(1)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“s,”</w:t>
      </w:r>
      <w:r>
        <w:rPr>
          <w:rFonts w:ascii="Times New Roman" w:hAnsi="Times New Roman"/>
          <w:b w:val="false"/>
          <w:i w:val="false"/>
          <w:color w:val="000000"/>
          <w:sz w:val="22"/>
        </w:rPr>
        <w:t xml:space="preserve"> if, within five business days from the time the corporate filing is received and date stamped, the entity has not been entered on the records of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receive a refund under this subrule, the corporate entity must make a written request with the business services division of the secretary of state’s office. The written request must specify the reason(s) for the refund and provide evidence of entitlement to the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fee shall not be refunded if the corporate filing fails to satisfy all of the filing requirements of Iowa Code chapter </w:t>
      </w:r>
      <w:hyperlink r:id="rId27">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decision of the secretary of state not to issue a refund under this subrule is final and not subject to review pursuant to the provisions of the Iowa administrative procedure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721—40.4</w:t>
      </w:r>
      <w:r>
        <w:rPr>
          <w:rFonts w:ascii="Times New Roman" w:hAnsi="Times New Roman"/>
          <w:b/>
          <w:i w:val="false"/>
          <w:color w:val="000000"/>
          <w:sz w:val="22"/>
        </w:rPr>
        <w:t xml:space="preserve">(486A,488,489,490,499,501,501A,504) </w:t>
      </w:r>
      <w:r>
        <w:rPr>
          <w:rFonts w:ascii="Times New Roman" w:hAnsi="Times New Roman"/>
          <w:b/>
          <w:i w:val="false"/>
          <w:color w:val="000000"/>
          <w:sz w:val="22"/>
        </w:rPr>
        <w:t xml:space="preserve">Document to county recorder.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w:t>
      </w:r>
      <w:r>
        <w:rPr>
          <w:rFonts w:ascii="Times New Roman" w:hAnsi="Times New Roman"/>
          <w:b w:val="false"/>
          <w:i w:val="false"/>
          <w:color w:val="000000"/>
          <w:sz w:val="22"/>
        </w:rPr>
        <w:t> </w:t>
      </w:r>
      <w:r>
        <w:rPr>
          <w:rFonts w:ascii="Times New Roman" w:hAnsi="Times New Roman"/>
          <w:b w:val="false"/>
          <w:i w:val="false"/>
          <w:color w:val="000000"/>
          <w:sz w:val="22"/>
        </w:rPr>
        <w:t>Any corporate document that is required by law to be filed in the office of the county recorder will be forwarded directly to the office of the county recorder in the county where the corporation’s registered office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721—40.5</w:t>
      </w:r>
      <w:r>
        <w:rPr>
          <w:rFonts w:ascii="Times New Roman" w:hAnsi="Times New Roman"/>
          <w:b/>
          <w:i w:val="false"/>
          <w:color w:val="000000"/>
          <w:sz w:val="22"/>
        </w:rPr>
        <w:t xml:space="preserve">(548) </w:t>
      </w:r>
      <w:r>
        <w:rPr>
          <w:rFonts w:ascii="Times New Roman" w:hAnsi="Times New Roman"/>
          <w:b/>
          <w:i w:val="false"/>
          <w:color w:val="000000"/>
          <w:sz w:val="22"/>
        </w:rPr>
        <w:t xml:space="preserve">Registration and protection of marks.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w:t>
      </w: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The following general classes of goods and services are established, but do not limit or extend the applicant’s or registrant’s rights, and a single application for registration of a mark may include any or all goods upon which, or services with which, the mark is actually being used comprised in a single class, but in no event shall a single application include goods or services upon which the mark is being used which fall within different classes of goods or services.</w:t>
      </w:r>
    </w:p>
    <w:p>
      <w:pPr>
        <w:spacing w:before="0" w:after="0"/>
        <w:ind w:left="120"/>
        <w:jc w:val="both"/>
      </w:pPr>
      <w:r>
        <w:rPr>
          <w:rFonts w:ascii="Times New Roman" w:hAnsi="Times New Roman"/>
          <w:b w:val="false"/>
          <w:i w:val="false"/>
          <w:color w:val="000000"/>
          <w:sz w:val="22"/>
        </w:rPr>
        <w:t>The said classes are as follows:</w:t>
      </w:r>
    </w:p>
    <w:tbl>
      <w:tblPr>
        <w:tblW w:w="5000" w:type="pct"/>
        <w:tblCellSpacing w:w="0" w:type="auto"/>
        <w:tblBorders>
          <w:top w:val="none"/>
          <w:left w:val="none"/>
          <w:bottom w:val="none"/>
          <w:right w:val="none"/>
          <w:insideH w:val="none"/>
          <w:insideV w:val="none"/>
        </w:tblBorders>
        <w:tblLayout w:type="fixed"/>
      </w:tblPr>
      <w:tblGrid>
        <w:gridCol w:w="1839"/>
        <w:gridCol w:w="2016"/>
        <w:gridCol w:w="7334"/>
      </w:tblGrid>
      <w:tr>
        <w:trPr>
          <w:trHeight w:val="210" w:hRule="atLeast"/>
        </w:trPr>
        <w:tc>
          <w:tcPr>
            <w:tcW w:w="0" w:type="auto"/>
            <w:gridSpan w:val="3"/>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GOODS</w:t>
            </w:r>
          </w:p>
        </w:tc>
      </w:tr>
      <w:tr>
        <w:trPr>
          <w:trHeight w:val="210" w:hRule="atLeast"/>
        </w:trPr>
        <w:tc>
          <w:tcPr>
            <w:tcW w:w="18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Class</w:t>
            </w:r>
          </w:p>
        </w:tc>
        <w:tc>
          <w:tcPr>
            <w:tcW w:w="20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Title</w:t>
            </w:r>
          </w:p>
        </w:tc>
        <w:tc>
          <w:tcPr>
            <w:tcW w:w="7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Raw or partly prepared materials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Receptacles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Baggage, animal equipments, portfolio, and pocketbooks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Abrasives and polishing materials</w:t>
            </w:r>
          </w:p>
        </w:tc>
      </w:tr>
      <w:tr>
        <w:trPr>
          <w:trHeight w:val="30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Adhesives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Chemicals and chemical compositions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Cordage</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Smokers’ articles, not including tobacco products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Explosives, firearms, equipments, and projectiles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Fertilizers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Inks and inking materials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Construction materials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Hardware, plumbing, and steam-fitting supplies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Metals and metal castings and forgings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Oils and greases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Paints and painters’ materials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17</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Tobacco products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18</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Medicines and pharmaceutical preparations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19</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Vehicles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Linoleum and oiled cloth</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Electrical apparatus, machines, and supplies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Games, toys, and sporting goods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Cutlery, machinery, and tools, and parts thereof</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Laundry appliances and machines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Locks and safes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Measuring and scientific appliances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27</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Clocks, watches, and other horological instruments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28</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Jewelry and precious-metal ware</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29</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Brooms, brushes, and dusters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Crockery, earthenware, and porcelain</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Filters and refrigerators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Furniture and upholstery</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Glassware</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Heating, lighting, and ventilating apparatus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Belting, hose, machinery packing, and nonmetallic tires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Musical instruments and supplies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37</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Paper and stationery</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38</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Prints and publications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39</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Clothing</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Fancy goods, furnishings, and notions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Canes, parasols, and umbrellas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Knitted, netted, and textile fabrics, and substitutes thereof</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Thread and yarn</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Dental, medical, and surgical appliances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Soft drinks and carbonated waters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Foods and ingredients of foods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47</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Wines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48</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Malt beverages and liquors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49</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Distilled alcoholic liquors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Cosmetics and toilet preparations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Detergents and soaps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Digital products and software applications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Goods not otherwise classified</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SERVICES</w:t>
            </w:r>
          </w:p>
        </w:tc>
      </w:tr>
      <w:tr>
        <w:trPr>
          <w:trHeight w:val="210" w:hRule="atLeast"/>
        </w:trPr>
        <w:tc>
          <w:tcPr>
            <w:tcW w:w="183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Class</w:t>
            </w:r>
          </w:p>
        </w:tc>
        <w:tc>
          <w:tcPr>
            <w:tcW w:w="20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Title</w:t>
            </w:r>
          </w:p>
        </w:tc>
        <w:tc>
          <w:tcPr>
            <w:tcW w:w="73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Services not otherwise classified</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Advertising and business</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Insurance and financial</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Construction, maintenance, and repair</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Communication</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Transportation and storage</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Material treatment, recycling, and waste disposal</w:t>
            </w:r>
          </w:p>
        </w:tc>
      </w:tr>
      <w:tr>
        <w:trPr>
          <w:trHeight w:val="27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107</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Education and entertainment</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108</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Software as a service</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109</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Medical</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Hair and cosmetic</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Restaurant and bar</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Real estate sales and property management</w:t>
            </w:r>
          </w:p>
        </w:tc>
      </w:tr>
      <w:tr>
        <w:trPr>
          <w:trHeight w:val="210" w:hRule="atLeast"/>
        </w:trPr>
        <w:tc>
          <w:tcPr>
            <w:tcW w:w="1839"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Retail sales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w:t>
      </w:r>
      <w:r>
        <w:rPr>
          <w:rFonts w:ascii="Times New Roman" w:hAnsi="Times New Roman"/>
          <w:b w:val="false"/>
          <w:i w:val="false"/>
          <w:color w:val="000000"/>
          <w:sz w:val="22"/>
        </w:rPr>
        <w:t> </w:t>
      </w:r>
      <w:r>
        <w:rPr>
          <w:rFonts w:ascii="Times New Roman" w:hAnsi="Times New Roman"/>
          <w:b w:val="false"/>
          <w:i/>
          <w:color w:val="000000"/>
          <w:sz w:val="22"/>
        </w:rPr>
        <w:t xml:space="preserve">Assistance in applications. </w:t>
      </w:r>
      <w:r>
        <w:rPr>
          <w:rFonts w:ascii="Times New Roman" w:hAnsi="Times New Roman"/>
          <w:b w:val="false"/>
          <w:i w:val="false"/>
          <w:color w:val="000000"/>
          <w:sz w:val="22"/>
        </w:rPr>
        <w:t>The secretary of state cannot give legal advice as to the nature and extent of the protection afforded by law nor advise as to the registrability of a specific mark except as questions may arise in connection with pending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w:t>
      </w:r>
      <w:r>
        <w:rPr>
          <w:rFonts w:ascii="Times New Roman" w:hAnsi="Times New Roman"/>
          <w:b w:val="false"/>
          <w:i w:val="false"/>
          <w:color w:val="000000"/>
          <w:sz w:val="22"/>
        </w:rPr>
        <w:t> </w:t>
      </w:r>
      <w:r>
        <w:rPr>
          <w:rFonts w:ascii="Times New Roman" w:hAnsi="Times New Roman"/>
          <w:b w:val="false"/>
          <w:i/>
          <w:color w:val="000000"/>
          <w:sz w:val="22"/>
        </w:rPr>
        <w:t xml:space="preserve">Incomplete or defective applications. </w:t>
      </w:r>
      <w:r>
        <w:rPr>
          <w:rFonts w:ascii="Times New Roman" w:hAnsi="Times New Roman"/>
          <w:b w:val="false"/>
          <w:i w:val="false"/>
          <w:color w:val="000000"/>
          <w:sz w:val="22"/>
        </w:rPr>
        <w:t>An application will not be filed unless the application and accompanying facsimiles or specimens are in proper form, comply with the statutory requirements and are accompanied by the fee established by rule. Specimens which are metal need not be submitted, a facsimile being preferable in order to avoid filing problems. Documents not filed will be returned with a statement of the reasons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w:t>
      </w:r>
      <w:r>
        <w:rPr>
          <w:rFonts w:ascii="Times New Roman" w:hAnsi="Times New Roman"/>
          <w:b w:val="false"/>
          <w:i w:val="false"/>
          <w:color w:val="000000"/>
          <w:sz w:val="22"/>
        </w:rPr>
        <w:t> </w:t>
      </w:r>
      <w:r>
        <w:rPr>
          <w:rFonts w:ascii="Times New Roman" w:hAnsi="Times New Roman"/>
          <w:b w:val="false"/>
          <w:i/>
          <w:color w:val="000000"/>
          <w:sz w:val="22"/>
        </w:rPr>
        <w:t xml:space="preserve">Registration dates. </w:t>
      </w:r>
      <w:r>
        <w:rPr>
          <w:rFonts w:ascii="Times New Roman" w:hAnsi="Times New Roman"/>
          <w:b w:val="false"/>
          <w:i w:val="false"/>
          <w:color w:val="000000"/>
          <w:sz w:val="22"/>
        </w:rPr>
        <w:t>The registration date is the date the registration application is stamped received by the office of the secretary of state, if, after the application has been examined, it is allowed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w:t>
      </w:r>
      <w:r>
        <w:rPr>
          <w:rFonts w:ascii="Times New Roman" w:hAnsi="Times New Roman"/>
          <w:b w:val="false"/>
          <w:i w:val="false"/>
          <w:color w:val="000000"/>
          <w:sz w:val="22"/>
        </w:rPr>
        <w:t> </w:t>
      </w:r>
      <w:r>
        <w:rPr>
          <w:rFonts w:ascii="Times New Roman" w:hAnsi="Times New Roman"/>
          <w:b w:val="false"/>
          <w:i/>
          <w:color w:val="000000"/>
          <w:sz w:val="22"/>
        </w:rPr>
        <w:t xml:space="preserve">Form of application. </w:t>
      </w:r>
      <w:r>
        <w:rPr>
          <w:rFonts w:ascii="Times New Roman" w:hAnsi="Times New Roman"/>
          <w:b w:val="false"/>
          <w:i w:val="false"/>
          <w:color w:val="000000"/>
          <w:sz w:val="22"/>
        </w:rPr>
        <w:t>The application shall be on a current form supplied by the secretary of state, be completed in the English language and plainly written or typed. If the mark or any part thereof is not in the English language, it must be accompanied by a sworn translation.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w:t>
      </w:r>
      <w:r>
        <w:rPr>
          <w:rFonts w:ascii="Times New Roman" w:hAnsi="Times New Roman"/>
          <w:b w:val="false"/>
          <w:i w:val="false"/>
          <w:color w:val="000000"/>
          <w:sz w:val="22"/>
        </w:rPr>
        <w:t> </w:t>
      </w:r>
      <w:r>
        <w:rPr>
          <w:rFonts w:ascii="Times New Roman" w:hAnsi="Times New Roman"/>
          <w:b w:val="false"/>
          <w:i/>
          <w:color w:val="000000"/>
          <w:sz w:val="22"/>
        </w:rPr>
        <w:t xml:space="preserve">Withdrawal of application. </w:t>
      </w:r>
      <w:r>
        <w:rPr>
          <w:rFonts w:ascii="Times New Roman" w:hAnsi="Times New Roman"/>
          <w:b w:val="false"/>
          <w:i w:val="false"/>
          <w:color w:val="000000"/>
          <w:sz w:val="22"/>
        </w:rPr>
        <w:t>Prior to actual registration of the mark, the applicant, by written request, may withdraw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w:t>
      </w:r>
      <w:r>
        <w:rPr>
          <w:rFonts w:ascii="Times New Roman" w:hAnsi="Times New Roman"/>
          <w:b w:val="false"/>
          <w:i w:val="false"/>
          <w:color w:val="000000"/>
          <w:sz w:val="22"/>
        </w:rPr>
        <w:t> </w:t>
      </w:r>
      <w:r>
        <w:rPr>
          <w:rFonts w:ascii="Times New Roman" w:hAnsi="Times New Roman"/>
          <w:b w:val="false"/>
          <w:i/>
          <w:color w:val="000000"/>
          <w:sz w:val="22"/>
        </w:rPr>
        <w:t xml:space="preserve">Plurality of goods in single application. </w:t>
      </w:r>
      <w:r>
        <w:rPr>
          <w:rFonts w:ascii="Times New Roman" w:hAnsi="Times New Roman"/>
          <w:b w:val="false"/>
          <w:i w:val="false"/>
          <w:color w:val="000000"/>
          <w:sz w:val="22"/>
        </w:rPr>
        <w:t>A single application may recite a plurality of goods, or a plurality of services, comprised in a single class, provided the particular identification of each of the goods or services be stated and the mark is used or has been actually used on or in connection with all of the goods or in connection with all of the services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w:t>
      </w:r>
      <w:r>
        <w:rPr>
          <w:rFonts w:ascii="Times New Roman" w:hAnsi="Times New Roman"/>
          <w:b w:val="false"/>
          <w:i w:val="false"/>
          <w:color w:val="000000"/>
          <w:sz w:val="22"/>
        </w:rPr>
        <w:t> </w:t>
      </w:r>
      <w:r>
        <w:rPr>
          <w:rFonts w:ascii="Times New Roman" w:hAnsi="Times New Roman"/>
          <w:b w:val="false"/>
          <w:i/>
          <w:color w:val="000000"/>
          <w:sz w:val="22"/>
        </w:rPr>
        <w:t xml:space="preserve">Single class in one application. </w:t>
      </w:r>
      <w:r>
        <w:rPr>
          <w:rFonts w:ascii="Times New Roman" w:hAnsi="Times New Roman"/>
          <w:b w:val="false"/>
          <w:i w:val="false"/>
          <w:color w:val="000000"/>
          <w:sz w:val="22"/>
        </w:rPr>
        <w:t>A single application to register a mark for both goods and services or for goods or services in different classes will be rejected. Applications must be restricted to goods or services comprised in a single class.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40.5(9)</w:t>
      </w:r>
      <w:r>
        <w:rPr>
          <w:rFonts w:ascii="Times New Roman" w:hAnsi="Times New Roman"/>
          <w:b w:val="false"/>
          <w:i w:val="false"/>
          <w:color w:val="000000"/>
          <w:sz w:val="22"/>
        </w:rPr>
        <w:t> </w:t>
      </w:r>
      <w:r>
        <w:rPr>
          <w:rFonts w:ascii="Times New Roman" w:hAnsi="Times New Roman"/>
          <w:b w:val="false"/>
          <w:i/>
          <w:color w:val="000000"/>
          <w:sz w:val="22"/>
        </w:rPr>
        <w:t xml:space="preserve">Conflicts. </w:t>
      </w:r>
      <w:r>
        <w:rPr>
          <w:rFonts w:ascii="Times New Roman" w:hAnsi="Times New Roman"/>
          <w:b w:val="false"/>
          <w:i w:val="false"/>
          <w:color w:val="000000"/>
          <w:sz w:val="22"/>
        </w:rPr>
        <w:t>Whenever application is made for registration of a mark or trade name which so resembles a mark registered in this state or a mark previously used in this state by another and not abandoned, so as to be likely, when applied to the goods or services of the applicant, to cause confusion or mistake or to deceive, a conflict shall be declared to exist and registration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40.5(10)</w:t>
      </w:r>
      <w:r>
        <w:rPr>
          <w:rFonts w:ascii="Times New Roman" w:hAnsi="Times New Roman"/>
          <w:b w:val="false"/>
          <w:i w:val="false"/>
          <w:color w:val="000000"/>
          <w:sz w:val="22"/>
        </w:rPr>
        <w:t> </w:t>
      </w:r>
      <w:r>
        <w:rPr>
          <w:rFonts w:ascii="Times New Roman" w:hAnsi="Times New Roman"/>
          <w:b w:val="false"/>
          <w:i/>
          <w:color w:val="000000"/>
          <w:sz w:val="22"/>
        </w:rPr>
        <w:t xml:space="preserve">Conflicts between applications. </w:t>
      </w:r>
      <w:r>
        <w:rPr>
          <w:rFonts w:ascii="Times New Roman" w:hAnsi="Times New Roman"/>
          <w:b w:val="false"/>
          <w:i w:val="false"/>
          <w:color w:val="000000"/>
          <w:sz w:val="22"/>
        </w:rPr>
        <w:t>Conflicts between pending applications will be resolved on the basis of the claimed date of first use. The secretary of state may require affidavits and other proof of first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40.5(11)</w:t>
      </w:r>
      <w:r>
        <w:rPr>
          <w:rFonts w:ascii="Times New Roman" w:hAnsi="Times New Roman"/>
          <w:b w:val="false"/>
          <w:i w:val="false"/>
          <w:color w:val="000000"/>
          <w:sz w:val="22"/>
        </w:rPr>
        <w:t> </w:t>
      </w:r>
      <w:r>
        <w:rPr>
          <w:rFonts w:ascii="Times New Roman" w:hAnsi="Times New Roman"/>
          <w:b w:val="false"/>
          <w:i/>
          <w:color w:val="000000"/>
          <w:sz w:val="22"/>
        </w:rPr>
        <w:t xml:space="preserve">Record change on automatic transfer. </w:t>
      </w:r>
      <w:r>
        <w:rPr>
          <w:rFonts w:ascii="Times New Roman" w:hAnsi="Times New Roman"/>
          <w:b w:val="false"/>
          <w:i w:val="false"/>
          <w:color w:val="000000"/>
          <w:sz w:val="22"/>
        </w:rPr>
        <w:t>In the event of mergers or consolidations of corporations, a certified copy of such documents may be accepted to transfer ownership of marks.</w:t>
      </w:r>
    </w:p>
    <w:p>
      <w:pPr>
        <w:spacing w:before="0" w:after="0"/>
        <w:ind w:left="120"/>
        <w:jc w:val="both"/>
      </w:pPr>
      <w:r>
        <w:rPr>
          <w:rFonts w:ascii="Times New Roman" w:hAnsi="Times New Roman"/>
          <w:b w:val="false"/>
          <w:i w:val="false"/>
          <w:color w:val="000000"/>
          <w:sz w:val="22"/>
        </w:rPr>
        <w:t>If the name of the owner of record of a mark is changed, and request for a change of the records is made, then written proof of such change can be made by sworn affidavit showing the manner or mode by which the change of ownership was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40.5(12)</w:t>
      </w:r>
      <w:r>
        <w:rPr>
          <w:rFonts w:ascii="Times New Roman" w:hAnsi="Times New Roman"/>
          <w:b w:val="false"/>
          <w:i w:val="false"/>
          <w:color w:val="000000"/>
          <w:sz w:val="22"/>
        </w:rPr>
        <w:t> </w:t>
      </w:r>
      <w:r>
        <w:rPr>
          <w:rFonts w:ascii="Times New Roman" w:hAnsi="Times New Roman"/>
          <w:b w:val="false"/>
          <w:i/>
          <w:color w:val="000000"/>
          <w:sz w:val="22"/>
        </w:rPr>
        <w:t xml:space="preserve">Change of address. </w:t>
      </w:r>
      <w:r>
        <w:rPr>
          <w:rFonts w:ascii="Times New Roman" w:hAnsi="Times New Roman"/>
          <w:b w:val="false"/>
          <w:i w:val="false"/>
          <w:color w:val="000000"/>
          <w:sz w:val="22"/>
        </w:rPr>
        <w:t>If the registered owner of a mark changes the address set forth on the registration, then written notice of such change of address must be given to the secretary of state. Such notice must clearly identify the mark or marks involved and must request that the change of address be noted on the records of the registration on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721—40.6</w:t>
      </w:r>
      <w:r>
        <w:rPr>
          <w:rFonts w:ascii="Times New Roman" w:hAnsi="Times New Roman"/>
          <w:b/>
          <w:i w:val="false"/>
          <w:color w:val="000000"/>
          <w:sz w:val="22"/>
        </w:rPr>
        <w:t xml:space="preserve">(504) </w:t>
      </w:r>
      <w:r>
        <w:rPr>
          <w:rFonts w:ascii="Times New Roman" w:hAnsi="Times New Roman"/>
          <w:b/>
          <w:i w:val="false"/>
          <w:color w:val="000000"/>
          <w:sz w:val="22"/>
        </w:rPr>
        <w:t xml:space="preserve">Revised nonprofit corporation Act fees. </w:t>
      </w:r>
      <w:r>
        <w:rPr>
          <w:rFonts w:ascii="Times New Roman" w:hAnsi="Times New Roman"/>
          <w:b w:val="false"/>
          <w:i w:val="false"/>
          <w:color w:val="000000"/>
          <w:sz w:val="22"/>
        </w:rPr>
        <w:t xml:space="preserve">The following are the fees for Iowa Code section </w:t>
      </w:r>
      <w:hyperlink r:id="rId28">
        <w:r>
          <w:rPr>
            <w:rStyle w:val="Hyperlink"/>
            <w:rFonts w:ascii="Times New Roman" w:hAnsi="Times New Roman"/>
            <w:b w:val="false"/>
            <w:i w:val="false"/>
            <w:color w:val="000000"/>
            <w:sz w:val="22"/>
          </w:rPr>
          <w:t>504.113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w:t>
      </w:r>
      <w:r>
        <w:rPr>
          <w:rFonts w:ascii="Times New Roman" w:hAnsi="Times New Roman"/>
          <w:b w:val="false"/>
          <w:i w:val="false"/>
          <w:color w:val="000000"/>
          <w:sz w:val="22"/>
        </w:rPr>
        <w:t> </w:t>
      </w:r>
      <w:r>
        <w:rPr>
          <w:rFonts w:ascii="Times New Roman" w:hAnsi="Times New Roman"/>
          <w:b w:val="false"/>
          <w:i w:val="false"/>
          <w:color w:val="000000"/>
          <w:sz w:val="22"/>
        </w:rPr>
        <w:t>The secretary shall collect the following fee when the documents described below are delivered to the secretary’s office for filing.</w:t>
      </w:r>
    </w:p>
    <w:tbl>
      <w:tblPr>
        <w:tblW w:w="5000" w:type="pct"/>
        <w:tblCellSpacing w:w="0" w:type="auto"/>
        <w:tblBorders>
          <w:top w:val="none"/>
          <w:left w:val="none"/>
          <w:bottom w:val="none"/>
          <w:right w:val="none"/>
          <w:insideH w:val="none"/>
          <w:insideV w:val="none"/>
        </w:tblBorders>
        <w:tblLayout w:type="fixed"/>
      </w:tblPr>
      <w:tblGrid>
        <w:gridCol w:w="7200"/>
        <w:gridCol w:w="4000"/>
      </w:tblGrid>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Articles of incorporation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Application for use of indistinguishable name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Application for reserved name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Notice of transfer of reserved name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Application for registered name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 per month or part thereof</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Application for renewal of registered name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Corporation’s statement of change of registered agent</w:t>
            </w:r>
          </w:p>
        </w:tc>
      </w:tr>
      <w:tr>
        <w:trPr>
          <w:trHeight w:val="270" w:hRule="atLeast"/>
        </w:trPr>
        <w:tc>
          <w:tcPr>
            <w:tcW w:w="72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or registered office or both</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 Fee</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Agent’s statement of change of registered office for</w:t>
            </w:r>
          </w:p>
        </w:tc>
      </w:tr>
      <w:tr>
        <w:trPr>
          <w:trHeight w:val="270" w:hRule="atLeast"/>
        </w:trPr>
        <w:tc>
          <w:tcPr>
            <w:tcW w:w="72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xml:space="preserve">each affected corporation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 Fee</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Agent’s statement of resignation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 Fee</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Amendment of articles of incorporation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Restatement of articles of incorporation with amendments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Articles of merger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$20</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Articles of dissolution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Articles of revocation of dissolution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Certificate of administrative dissolution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 Fee</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Application for reinstatement following</w:t>
            </w:r>
          </w:p>
        </w:tc>
      </w:tr>
      <w:tr>
        <w:trPr>
          <w:trHeight w:val="270" w:hRule="atLeast"/>
        </w:trPr>
        <w:tc>
          <w:tcPr>
            <w:tcW w:w="720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administrative dissolution</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Certificate of reinstatement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 Fee</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Certificate of judicial dissolution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 Fee</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Application for certificate of authority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Application for amended certificate of authority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Application for certificate of withdrawal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Certificate of revocation of authority to transact business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 Fee</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Biennial report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 Fee</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Articles of correction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Application for certificate of existence or authorization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r>
      <w:tr>
        <w:trPr>
          <w:trHeight w:val="270" w:hRule="atLeast"/>
        </w:trPr>
        <w:tc>
          <w:tcPr>
            <w:tcW w:w="72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Any other document required or permitted by the Act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w:t>
      </w:r>
      <w:r>
        <w:rPr>
          <w:rFonts w:ascii="Times New Roman" w:hAnsi="Times New Roman"/>
          <w:b w:val="false"/>
          <w:i w:val="false"/>
          <w:color w:val="000000"/>
          <w:sz w:val="22"/>
        </w:rPr>
        <w:t> </w:t>
      </w:r>
      <w:r>
        <w:rPr>
          <w:rFonts w:ascii="Times New Roman" w:hAnsi="Times New Roman"/>
          <w:b w:val="false"/>
          <w:i w:val="false"/>
          <w:color w:val="000000"/>
          <w:sz w:val="22"/>
        </w:rPr>
        <w:t>The secretary of state shall collect a fee of $5 each time process is served on the secretary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w:t>
      </w:r>
      <w:r>
        <w:rPr>
          <w:rFonts w:ascii="Times New Roman" w:hAnsi="Times New Roman"/>
          <w:b w:val="false"/>
          <w:i w:val="false"/>
          <w:color w:val="000000"/>
          <w:sz w:val="22"/>
        </w:rPr>
        <w:t> </w:t>
      </w:r>
      <w:r>
        <w:rPr>
          <w:rFonts w:ascii="Times New Roman" w:hAnsi="Times New Roman"/>
          <w:b w:val="false"/>
          <w:i w:val="false"/>
          <w:color w:val="000000"/>
          <w:sz w:val="22"/>
        </w:rPr>
        <w:t>The secretary of state shall collect the following fees for copying and certifying the copy of any filed document relating to a domestic or foreign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$1 per page for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$5 per page for the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721—40.7</w:t>
      </w:r>
      <w:r>
        <w:rPr>
          <w:rFonts w:ascii="Times New Roman" w:hAnsi="Times New Roman"/>
          <w:b/>
          <w:i w:val="false"/>
          <w:color w:val="000000"/>
          <w:sz w:val="22"/>
        </w:rPr>
        <w:t xml:space="preserve">(488,489,490) </w:t>
      </w:r>
      <w:r>
        <w:rPr>
          <w:rFonts w:ascii="Times New Roman" w:hAnsi="Times New Roman"/>
          <w:b/>
          <w:i w:val="false"/>
          <w:color w:val="000000"/>
          <w:sz w:val="22"/>
        </w:rPr>
        <w:t xml:space="preserve">Biennial reports. </w:t>
      </w:r>
      <w:r>
        <w:rPr>
          <w:rFonts w:ascii="Times New Roman" w:hAnsi="Times New Roman"/>
          <w:b w:val="false"/>
          <w:i w:val="false"/>
          <w:color w:val="000000"/>
          <w:sz w:val="22"/>
        </w:rPr>
        <w:t>The secretary of state shall collect the following fees at the time the documents described in this rule are delivered to the secretary for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40.7(1)</w:t>
      </w:r>
      <w:r>
        <w:rPr>
          <w:rFonts w:ascii="Times New Roman" w:hAnsi="Times New Roman"/>
          <w:b w:val="false"/>
          <w:i w:val="false"/>
          <w:color w:val="000000"/>
          <w:sz w:val="22"/>
        </w:rPr>
        <w:t> </w:t>
      </w:r>
      <w:r>
        <w:rPr>
          <w:rFonts w:ascii="Times New Roman" w:hAnsi="Times New Roman"/>
          <w:b w:val="false"/>
          <w:i w:val="false"/>
          <w:color w:val="000000"/>
          <w:sz w:val="22"/>
        </w:rPr>
        <w:t xml:space="preserve">A limited partnership or foreign limited partnership authorized to transact business in this state shall deliver to the secretary of state for filing a biennial report that meets the requirements of Iowa Code section </w:t>
      </w:r>
      <w:hyperlink r:id="rId29">
        <w:r>
          <w:rPr>
            <w:rStyle w:val="Hyperlink"/>
            <w:rFonts w:ascii="Times New Roman" w:hAnsi="Times New Roman"/>
            <w:b w:val="false"/>
            <w:i w:val="false"/>
            <w:color w:val="000000"/>
            <w:sz w:val="22"/>
          </w:rPr>
          <w:t>488.210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filing and indexing a biennial report filed on paper or in a paper-based format is $45. This fee may be provided in the form of credit card, cash, personal check, cashier’s check, money order, or secretary of state charge account.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an electronic filing through the secretary of state website is $30. This fee must be paid by credit card or secretary of state charge account.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40.7(2)</w:t>
      </w:r>
      <w:r>
        <w:rPr>
          <w:rFonts w:ascii="Times New Roman" w:hAnsi="Times New Roman"/>
          <w:b w:val="false"/>
          <w:i w:val="false"/>
          <w:color w:val="000000"/>
          <w:sz w:val="22"/>
        </w:rPr>
        <w:t> </w:t>
      </w:r>
      <w:r>
        <w:rPr>
          <w:rFonts w:ascii="Times New Roman" w:hAnsi="Times New Roman"/>
          <w:b w:val="false"/>
          <w:i w:val="false"/>
          <w:color w:val="000000"/>
          <w:sz w:val="22"/>
        </w:rPr>
        <w:t xml:space="preserve">A limited liability company or a foreign limited liability company authorized to transact business in this state shall deliver to the secretary of state for filing a biennial report that meets the requirements of Iowa Code section </w:t>
      </w:r>
      <w:hyperlink r:id="rId30">
        <w:r>
          <w:rPr>
            <w:rStyle w:val="Hyperlink"/>
            <w:rFonts w:ascii="Times New Roman" w:hAnsi="Times New Roman"/>
            <w:b w:val="false"/>
            <w:i w:val="false"/>
            <w:color w:val="000000"/>
            <w:sz w:val="22"/>
          </w:rPr>
          <w:t>489.209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filing and indexing a biennial report filed on paper or in a paper-based format is $45. This fee may be provided in the form of credit card, cash, personal check, cashier’s check, money order, or secretary of state charge account.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an electronic filing through the secretary of state website is $30. This fee must be paid by credit card or secretary of state charge account.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9861B</w:t>
      </w:r>
      <w:r>
        <w:rPr>
          <w:rFonts w:ascii="Times New Roman" w:hAnsi="Times New Roman"/>
          <w:b w:val="false"/>
          <w:i w:val="false"/>
          <w:color w:val="000000"/>
          <w:sz w:val="16"/>
        </w:rPr>
        <w:t>, IAB 11/16/11, effective 10/26/11</w:t>
      </w:r>
      <w:r>
        <w:rPr>
          <w:rFonts w:ascii="Times New Roman" w:hAnsi="Times New Roman"/>
          <w:b w:val="false"/>
          <w:i w:val="false"/>
          <w:color w:val="000000"/>
          <w:sz w:val="16"/>
        </w:rPr>
        <w:t xml:space="preserve">; </w:t>
      </w:r>
      <w:r>
        <w:rPr>
          <w:rFonts w:ascii="Times New Roman" w:hAnsi="Times New Roman"/>
          <w:b/>
          <w:i w:val="false"/>
          <w:color w:val="000000"/>
          <w:sz w:val="16"/>
        </w:rPr>
        <w:t>ARC 9971B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3467C</w:t>
      </w:r>
      <w:r>
        <w:rPr>
          <w:rFonts w:ascii="Times New Roman" w:hAnsi="Times New Roman"/>
          <w:b w:val="false"/>
          <w:i w:val="false"/>
          <w:color w:val="000000"/>
          <w:sz w:val="16"/>
        </w:rPr>
        <w:t>, IAB 11/22/17, effective 12/31/17</w:t>
      </w:r>
      <w:r>
        <w:rPr>
          <w:rFonts w:ascii="Times New Roman" w:hAnsi="Times New Roman"/>
          <w:b w:val="false"/>
          <w:i w:val="false"/>
          <w:color w:val="000000"/>
          <w:sz w:val="16"/>
        </w:rPr>
        <w:t xml:space="preserve">; </w:t>
      </w:r>
      <w:r>
        <w:rPr>
          <w:rFonts w:ascii="Times New Roman" w:hAnsi="Times New Roman"/>
          <w:b/>
          <w:i w:val="false"/>
          <w:color w:val="000000"/>
          <w:sz w:val="16"/>
        </w:rPr>
        <w:t>ARC 6887C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721—40.8</w:t>
      </w:r>
      <w:r>
        <w:rPr>
          <w:rFonts w:ascii="Times New Roman" w:hAnsi="Times New Roman"/>
          <w:b/>
          <w:i w:val="false"/>
          <w:color w:val="000000"/>
          <w:sz w:val="22"/>
        </w:rPr>
        <w:t xml:space="preserve">(488,489,490,504) </w:t>
      </w:r>
      <w:r>
        <w:rPr>
          <w:rFonts w:ascii="Times New Roman" w:hAnsi="Times New Roman"/>
          <w:b/>
          <w:i w:val="false"/>
          <w:color w:val="000000"/>
          <w:sz w:val="22"/>
        </w:rPr>
        <w:t xml:space="preserve">Online filing requirements. </w:t>
      </w:r>
      <w:r>
        <w:rPr>
          <w:rFonts w:ascii="Times New Roman" w:hAnsi="Times New Roman"/>
          <w:b w:val="false"/>
          <w:i w:val="false"/>
          <w:color w:val="000000"/>
          <w:sz w:val="22"/>
        </w:rPr>
        <w:t xml:space="preserve">The following requirements apply to the electronic filing of documents and the certification of electronic documents. This rule applies to documents filed in conjunction with the filing requirements in Iowa Code chapters </w:t>
      </w:r>
      <w:hyperlink r:id="rId31">
        <w:r>
          <w:rPr>
            <w:rStyle w:val="Hyperlink"/>
            <w:rFonts w:ascii="Times New Roman" w:hAnsi="Times New Roman"/>
            <w:b w:val="false"/>
            <w:i w:val="false"/>
            <w:color w:val="000000"/>
            <w:sz w:val="22"/>
          </w:rPr>
          <w:t>488</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489</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40.8(1)</w:t>
      </w:r>
      <w:r>
        <w:rPr>
          <w:rFonts w:ascii="Times New Roman" w:hAnsi="Times New Roman"/>
          <w:b w:val="false"/>
          <w:i w:val="false"/>
          <w:color w:val="000000"/>
          <w:sz w:val="22"/>
        </w:rPr>
        <w:t> </w:t>
      </w:r>
      <w:r>
        <w:rPr>
          <w:rFonts w:ascii="Times New Roman" w:hAnsi="Times New Roman"/>
          <w:b w:val="false"/>
          <w:i w:val="false"/>
          <w:color w:val="000000"/>
          <w:sz w:val="22"/>
        </w:rPr>
        <w:t>Registered agents who file documents electronically must provide an email address to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registered agent does not have an email address, the agent shall provide the email address of another individual or entity designated to receive electronic correspondence on behalf of the registered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registered agent shall notify the secretary of state within 60 days that the email address provided in compliance with this rule has been changed or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email address disclosed in compliance with this rule shall not be viewed as a public record under Iowa Code chapter </w:t>
      </w:r>
      <w:hyperlink r:id="rId3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shall not be disclosed by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secretary of state may use email for official correspondence with an entity, except when law requires delivery by United States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40.8(2)</w:t>
      </w:r>
      <w:r>
        <w:rPr>
          <w:rFonts w:ascii="Times New Roman" w:hAnsi="Times New Roman"/>
          <w:b w:val="false"/>
          <w:i w:val="false"/>
          <w:color w:val="000000"/>
          <w:sz w:val="22"/>
        </w:rPr>
        <w:t> </w:t>
      </w:r>
      <w:r>
        <w:rPr>
          <w:rFonts w:ascii="Times New Roman" w:hAnsi="Times New Roman"/>
          <w:b w:val="false"/>
          <w:i w:val="false"/>
          <w:color w:val="000000"/>
          <w:sz w:val="22"/>
        </w:rPr>
        <w:t>For filings requiring an online account, an applicant must follow the terms and conditions on the secretary of state’s website for each electronic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40.8(3)</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related to an electronic filing shall be handled electronically in accordance with the requirements set forth in the uniform electronic transactions Act, Iowa Code chapter </w:t>
      </w:r>
      <w:hyperlink r:id="rId36">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40.8(4)</w:t>
      </w:r>
      <w:r>
        <w:rPr>
          <w:rFonts w:ascii="Times New Roman" w:hAnsi="Times New Roman"/>
          <w:b w:val="false"/>
          <w:i w:val="false"/>
          <w:color w:val="000000"/>
          <w:sz w:val="22"/>
        </w:rPr>
        <w:t> </w:t>
      </w:r>
      <w:r>
        <w:rPr>
          <w:rFonts w:ascii="Times New Roman" w:hAnsi="Times New Roman"/>
          <w:b w:val="false"/>
          <w:i w:val="false"/>
          <w:color w:val="000000"/>
          <w:sz w:val="22"/>
        </w:rPr>
        <w:t>Documents filed electronically shall be accompanied by the appropriate fee. This fee must be paid by credit card or secretary of state charge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9970B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0040C</w:t>
      </w:r>
      <w:r>
        <w:rPr>
          <w:rFonts w:ascii="Times New Roman" w:hAnsi="Times New Roman"/>
          <w:b w:val="false"/>
          <w:i w:val="false"/>
          <w:color w:val="000000"/>
          <w:sz w:val="16"/>
        </w:rPr>
        <w:t>, IAB 3/21/12, effective 2/23/12</w:t>
      </w:r>
      <w:r>
        <w:rPr>
          <w:rFonts w:ascii="Times New Roman" w:hAnsi="Times New Roman"/>
          <w:b w:val="false"/>
          <w:i w:val="false"/>
          <w:color w:val="000000"/>
          <w:sz w:val="16"/>
        </w:rPr>
        <w:t xml:space="preserve">; </w:t>
      </w:r>
      <w:r>
        <w:rPr>
          <w:rFonts w:ascii="Times New Roman" w:hAnsi="Times New Roman"/>
          <w:b/>
          <w:i w:val="false"/>
          <w:color w:val="000000"/>
          <w:sz w:val="16"/>
        </w:rPr>
        <w:t>ARC 0803C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7">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491</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499</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548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12/11/70]</w:t>
      </w:r>
    </w:p>
    <w:p>
      <w:pPr>
        <w:spacing w:before="0" w:after="0"/>
        <w:ind w:left="120"/>
        <w:jc w:val="center"/>
      </w:pPr>
      <w:r>
        <w:rPr>
          <w:rFonts w:ascii="Times New Roman" w:hAnsi="Times New Roman"/>
          <w:b w:val="false"/>
          <w:i w:val="false"/>
          <w:color w:val="000000"/>
          <w:sz w:val="21"/>
        </w:rPr>
        <w:t>[Filed 8/12/81, Notice 7/8/81—published 9/2/81, effective 10/7/81]</w:t>
      </w:r>
    </w:p>
    <w:p>
      <w:pPr>
        <w:spacing w:before="0" w:after="0"/>
        <w:ind w:left="120"/>
        <w:jc w:val="center"/>
      </w:pPr>
      <w:r>
        <w:rPr>
          <w:rFonts w:ascii="Times New Roman" w:hAnsi="Times New Roman"/>
          <w:b w:val="false"/>
          <w:i w:val="false"/>
          <w:color w:val="000000"/>
          <w:sz w:val="21"/>
        </w:rPr>
        <w:t>[Filed emergency 8/28/81—published 9/16/81, effective 10/7/81]</w:t>
      </w:r>
    </w:p>
    <w:p>
      <w:pPr>
        <w:spacing w:before="0" w:after="0"/>
        <w:ind w:left="120"/>
        <w:jc w:val="center"/>
      </w:pPr>
      <w:r>
        <w:rPr>
          <w:rFonts w:ascii="Times New Roman" w:hAnsi="Times New Roman"/>
          <w:b w:val="false"/>
          <w:i w:val="false"/>
          <w:color w:val="000000"/>
          <w:sz w:val="21"/>
        </w:rPr>
        <w:t>[Filed 6/23/88, Notice 5/18/88—published 7/13/88, effective 8/17/88]</w:t>
      </w:r>
    </w:p>
    <w:p>
      <w:pPr>
        <w:spacing w:before="0" w:after="0"/>
        <w:ind w:left="120"/>
        <w:jc w:val="center"/>
      </w:pPr>
      <w:r>
        <w:rPr>
          <w:rFonts w:ascii="Times New Roman" w:hAnsi="Times New Roman"/>
          <w:b w:val="false"/>
          <w:i w:val="false"/>
          <w:color w:val="000000"/>
          <w:sz w:val="21"/>
        </w:rPr>
        <w:t>[Filed emergency 11/22/89 after Notice 10/4/89—published 12/13/89, effective 12/31/89]</w:t>
      </w:r>
    </w:p>
    <w:p>
      <w:pPr>
        <w:spacing w:before="0" w:after="0"/>
        <w:ind w:left="120"/>
        <w:jc w:val="center"/>
      </w:pPr>
      <w:r>
        <w:rPr>
          <w:rFonts w:ascii="Times New Roman" w:hAnsi="Times New Roman"/>
          <w:b w:val="false"/>
          <w:i w:val="false"/>
          <w:color w:val="000000"/>
          <w:sz w:val="21"/>
        </w:rPr>
        <w:t>[Filed emergency 1/5/90 after Notice 12/13/89—published 1/24/90, effective 1/8/90]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12/10/93—published 1/5/94, effective 12/10/93]</w:t>
      </w:r>
    </w:p>
    <w:p>
      <w:pPr>
        <w:spacing w:before="0" w:after="0"/>
        <w:ind w:left="120"/>
        <w:jc w:val="center"/>
      </w:pPr>
      <w:r>
        <w:rPr>
          <w:rFonts w:ascii="Times New Roman" w:hAnsi="Times New Roman"/>
          <w:b w:val="false"/>
          <w:i w:val="false"/>
          <w:color w:val="000000"/>
          <w:sz w:val="21"/>
        </w:rPr>
        <w:t>[Filed emergency 5/27/97—published 6/18/97, effective 5/27/97]</w:t>
      </w:r>
    </w:p>
    <w:p>
      <w:pPr>
        <w:spacing w:before="0" w:after="0"/>
        <w:ind w:left="120"/>
        <w:jc w:val="center"/>
      </w:pPr>
      <w:r>
        <w:rPr>
          <w:rFonts w:ascii="Times New Roman" w:hAnsi="Times New Roman"/>
          <w:b w:val="false"/>
          <w:i w:val="false"/>
          <w:color w:val="000000"/>
          <w:sz w:val="21"/>
        </w:rPr>
        <w:t>[Filed emergency 6/8/00—published 6/28/00, effective 6/28/00]</w:t>
      </w:r>
    </w:p>
    <w:p>
      <w:pPr>
        <w:spacing w:before="0" w:after="0"/>
        <w:ind w:left="120"/>
        <w:jc w:val="center"/>
      </w:pPr>
      <w:r>
        <w:rPr>
          <w:rFonts w:ascii="Times New Roman" w:hAnsi="Times New Roman"/>
          <w:b w:val="false"/>
          <w:i w:val="false"/>
          <w:color w:val="000000"/>
          <w:sz w:val="21"/>
        </w:rPr>
        <w:t>[Filed emergency 7/1/04—published 7/21/04, effective 7/1/04]</w:t>
      </w:r>
    </w:p>
    <w:p>
      <w:pPr>
        <w:spacing w:before="0" w:after="0"/>
        <w:ind w:left="120"/>
        <w:jc w:val="center"/>
      </w:pPr>
      <w:r>
        <w:rPr>
          <w:rFonts w:ascii="Times New Roman" w:hAnsi="Times New Roman"/>
          <w:b w:val="false"/>
          <w:i w:val="false"/>
          <w:color w:val="000000"/>
          <w:sz w:val="21"/>
        </w:rPr>
        <w:t>[Filed 8/27/04, Notice 7/21/04—published 9/15/04, effective 10/20/04]</w:t>
      </w:r>
    </w:p>
    <w:p>
      <w:pPr>
        <w:spacing w:before="0" w:after="0"/>
        <w:ind w:left="120"/>
        <w:jc w:val="center"/>
      </w:pPr>
      <w:r>
        <w:rPr>
          <w:rFonts w:ascii="Times New Roman" w:hAnsi="Times New Roman"/>
          <w:b w:val="false"/>
          <w:i w:val="false"/>
          <w:color w:val="000000"/>
          <w:sz w:val="21"/>
        </w:rPr>
        <w:t>[Filed 12/30/05, Notice 11/23/05—published 1/18/06, effective 2/22/06]</w:t>
      </w:r>
    </w:p>
    <w:p>
      <w:pPr>
        <w:spacing w:before="0" w:after="0"/>
        <w:ind w:left="120"/>
        <w:jc w:val="center"/>
      </w:pPr>
      <w:r>
        <w:rPr>
          <w:rFonts w:ascii="Times New Roman" w:hAnsi="Times New Roman"/>
          <w:b w:val="false"/>
          <w:i w:val="false"/>
          <w:color w:val="000000"/>
          <w:sz w:val="21"/>
        </w:rPr>
        <w:t>[Filed Emergency ARC 9861B, IAB 11/16/11, effective 10/26/11]</w:t>
      </w:r>
    </w:p>
    <w:p>
      <w:pPr>
        <w:spacing w:before="0" w:after="0"/>
        <w:ind w:left="120"/>
        <w:jc w:val="center"/>
      </w:pPr>
      <w:r>
        <w:rPr>
          <w:rFonts w:ascii="Times New Roman" w:hAnsi="Times New Roman"/>
          <w:b w:val="false"/>
          <w:i w:val="false"/>
          <w:color w:val="000000"/>
          <w:sz w:val="21"/>
        </w:rPr>
        <w:t>[Filed ARC 9971B</w:t>
      </w:r>
      <w:r>
        <w:rPr>
          <w:rFonts w:ascii="Times New Roman" w:hAnsi="Times New Roman"/>
          <w:b w:val="false"/>
          <w:i w:val="false"/>
          <w:color w:val="000000"/>
          <w:sz w:val="21"/>
        </w:rPr>
        <w:t xml:space="preserve"> (Notice ARC 9860B, IAB 11/16/11)</w:t>
      </w:r>
      <w:r>
        <w:rPr>
          <w:rFonts w:ascii="Times New Roman" w:hAnsi="Times New Roman"/>
          <w:b w:val="false"/>
          <w:i w:val="false"/>
          <w:color w:val="000000"/>
          <w:sz w:val="21"/>
        </w:rPr>
        <w:t>, IAB 1/11/12, effective 2/15/12]</w:t>
      </w:r>
      <w:r>
        <w:br/>
      </w:r>
      <w:r>
        <w:rPr>
          <w:rFonts w:ascii="Times New Roman" w:hAnsi="Times New Roman"/>
          <w:b w:val="false"/>
          <w:i w:val="false"/>
          <w:color w:val="000000"/>
          <w:sz w:val="21"/>
        </w:rPr>
        <w:t>[Filed ARC 9970B</w:t>
      </w:r>
      <w:r>
        <w:rPr>
          <w:rFonts w:ascii="Times New Roman" w:hAnsi="Times New Roman"/>
          <w:b w:val="false"/>
          <w:i w:val="false"/>
          <w:color w:val="000000"/>
          <w:sz w:val="21"/>
        </w:rPr>
        <w:t xml:space="preserve"> (Notice ARC 9859B, IAB 11/16/11)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Emergency ARC 0040C, IAB 3/21/12, effective 2/23/12]</w:t>
      </w:r>
    </w:p>
    <w:p>
      <w:pPr>
        <w:spacing w:before="0" w:after="0"/>
        <w:ind w:left="120"/>
        <w:jc w:val="center"/>
      </w:pPr>
      <w:r>
        <w:rPr>
          <w:rFonts w:ascii="Times New Roman" w:hAnsi="Times New Roman"/>
          <w:b w:val="false"/>
          <w:i w:val="false"/>
          <w:color w:val="000000"/>
          <w:sz w:val="21"/>
        </w:rPr>
        <w:t>[Filed ARC 0803C</w:t>
      </w:r>
      <w:r>
        <w:rPr>
          <w:rFonts w:ascii="Times New Roman" w:hAnsi="Times New Roman"/>
          <w:b w:val="false"/>
          <w:i w:val="false"/>
          <w:color w:val="000000"/>
          <w:sz w:val="21"/>
        </w:rPr>
        <w:t xml:space="preserve"> (Notice ARC 0730C, IAB 5/1/13)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3467C</w:t>
      </w:r>
      <w:r>
        <w:rPr>
          <w:rFonts w:ascii="Times New Roman" w:hAnsi="Times New Roman"/>
          <w:b w:val="false"/>
          <w:i w:val="false"/>
          <w:color w:val="000000"/>
          <w:sz w:val="21"/>
        </w:rPr>
        <w:t xml:space="preserve"> (Notice ARC 3320C, IAB 9/27/17)</w:t>
      </w:r>
      <w:r>
        <w:rPr>
          <w:rFonts w:ascii="Times New Roman" w:hAnsi="Times New Roman"/>
          <w:b w:val="false"/>
          <w:i w:val="false"/>
          <w:color w:val="000000"/>
          <w:sz w:val="21"/>
        </w:rPr>
        <w:t>, IAB 11/22/17, effective 12/31/17]</w:t>
      </w:r>
    </w:p>
    <w:p>
      <w:pPr>
        <w:spacing w:before="0" w:after="0"/>
        <w:ind w:left="120"/>
        <w:jc w:val="center"/>
      </w:pPr>
      <w:r>
        <w:rPr>
          <w:rFonts w:ascii="Times New Roman" w:hAnsi="Times New Roman"/>
          <w:b w:val="false"/>
          <w:i w:val="false"/>
          <w:color w:val="000000"/>
          <w:sz w:val="21"/>
        </w:rPr>
        <w:t>[Filed ARC 6887C</w:t>
      </w:r>
      <w:r>
        <w:rPr>
          <w:rFonts w:ascii="Times New Roman" w:hAnsi="Times New Roman"/>
          <w:b w:val="false"/>
          <w:i w:val="false"/>
          <w:color w:val="000000"/>
          <w:sz w:val="21"/>
        </w:rPr>
        <w:t xml:space="preserve"> (Notice ARC 6427C, IAB 7/27/22)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7059C</w:t>
      </w:r>
      <w:r>
        <w:rPr>
          <w:rFonts w:ascii="Times New Roman" w:hAnsi="Times New Roman"/>
          <w:b w:val="false"/>
          <w:i w:val="false"/>
          <w:color w:val="000000"/>
          <w:sz w:val="21"/>
        </w:rPr>
        <w:t xml:space="preserve"> (Notice ARC 6886C, IAB 2/8/23)</w:t>
      </w:r>
      <w:r>
        <w:rPr>
          <w:rFonts w:ascii="Times New Roman" w:hAnsi="Times New Roman"/>
          <w:b w:val="false"/>
          <w:i w:val="false"/>
          <w:color w:val="000000"/>
          <w:sz w:val="21"/>
        </w:rPr>
        <w:t>, IAB 8/23/23, effective 9/27/23]</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90.pdf" Type="http://schemas.openxmlformats.org/officeDocument/2006/relationships/hyperlink" Id="rId5"/>
    <Relationship TargetMode="External" Target="https://www.legis.iowa.gov/docs/ico/chapter/9.pdf" Type="http://schemas.openxmlformats.org/officeDocument/2006/relationships/hyperlink" Id="rId6"/>
    <Relationship TargetMode="External" Target="https://www.legis.iowa.gov/docs/ico/chapter/490.125.pdf" Type="http://schemas.openxmlformats.org/officeDocument/2006/relationships/hyperlink" Id="rId7"/>
    <Relationship TargetMode="External" Target="https://www.legis.iowa.gov/docs/ico/chapter/490.125.pdf" Type="http://schemas.openxmlformats.org/officeDocument/2006/relationships/hyperlink" Id="rId8"/>
    <Relationship TargetMode="External" Target="https://www.legis.iowa.gov/docs/iac/rule/721.2.3.pdf" Type="http://schemas.openxmlformats.org/officeDocument/2006/relationships/hyperlink" Id="rId9"/>
    <Relationship TargetMode="External" Target="https://www.legis.iowa.gov/docs/ico/chapter/9.pdf" Type="http://schemas.openxmlformats.org/officeDocument/2006/relationships/hyperlink" Id="rId10"/>
    <Relationship TargetMode="External" Target="https://www.legis.iowa.gov/docs/ico/chapter/490.pdf" Type="http://schemas.openxmlformats.org/officeDocument/2006/relationships/hyperlink" Id="rId11"/>
    <Relationship TargetMode="External" Target="https://www.legis.iowa.gov/docs/ico/chapter/489.14202.pdf" Type="http://schemas.openxmlformats.org/officeDocument/2006/relationships/hyperlink" Id="rId12"/>
    <Relationship TargetMode="External" Target="https://www.legis.iowa.gov/docs/ico/chapter/486A.1002.pdf" Type="http://schemas.openxmlformats.org/officeDocument/2006/relationships/hyperlink" Id="rId13"/>
    <Relationship TargetMode="External" Target="https://www.legis.iowa.gov/docs/ico/chapter/488.108.pdf" Type="http://schemas.openxmlformats.org/officeDocument/2006/relationships/hyperlink" Id="rId14"/>
    <Relationship TargetMode="External" Target="https://www.legis.iowa.gov/docs/ico/chapter/489.108.pdf" Type="http://schemas.openxmlformats.org/officeDocument/2006/relationships/hyperlink" Id="rId15"/>
    <Relationship TargetMode="External" Target="https://www.legis.iowa.gov/docs/ico/chapter/490.401.pdf" Type="http://schemas.openxmlformats.org/officeDocument/2006/relationships/hyperlink" Id="rId16"/>
    <Relationship TargetMode="External" Target="https://www.legis.iowa.gov/docs/ico/chapter/496C.5.pdf" Type="http://schemas.openxmlformats.org/officeDocument/2006/relationships/hyperlink" Id="rId17"/>
    <Relationship TargetMode="External" Target="https://www.legis.iowa.gov/docs/ico/chapter/499.4.pdf" Type="http://schemas.openxmlformats.org/officeDocument/2006/relationships/hyperlink" Id="rId18"/>
    <Relationship TargetMode="External" Target="https://www.legis.iowa.gov/docs/ico/chapter/501.104.pdf" Type="http://schemas.openxmlformats.org/officeDocument/2006/relationships/hyperlink" Id="rId19"/>
    <Relationship TargetMode="External" Target="https://www.legis.iowa.gov/docs/ico/chapter/501A.301.pdf" Type="http://schemas.openxmlformats.org/officeDocument/2006/relationships/hyperlink" Id="rId20"/>
    <Relationship TargetMode="External" Target="https://www.legis.iowa.gov/docs/ico/chapter/504.401.pdf" Type="http://schemas.openxmlformats.org/officeDocument/2006/relationships/hyperlink" Id="rId21"/>
    <Relationship TargetMode="External" Target="https://www.legis.iowa.gov/docs/ico/chapter/490.122.pdf" Type="http://schemas.openxmlformats.org/officeDocument/2006/relationships/hyperlink" Id="rId22"/>
    <Relationship TargetMode="External" Target="https://www.legis.iowa.gov/docs/ico/chapter/490.122.pdf" Type="http://schemas.openxmlformats.org/officeDocument/2006/relationships/hyperlink" Id="rId23"/>
    <Relationship TargetMode="External" Target="https://www.legis.iowa.gov/docs/ico/chapter/490.pdf" Type="http://schemas.openxmlformats.org/officeDocument/2006/relationships/hyperlink" Id="rId24"/>
    <Relationship TargetMode="External" Target="https://www.legis.iowa.gov/docs/ico/chapter/504.113.pdf" Type="http://schemas.openxmlformats.org/officeDocument/2006/relationships/hyperlink" Id="rId25"/>
    <Relationship TargetMode="External" Target="https://www.legis.iowa.gov/docs/ico/chapter/504.113.pdf" Type="http://schemas.openxmlformats.org/officeDocument/2006/relationships/hyperlink" Id="rId26"/>
    <Relationship TargetMode="External" Target="https://www.legis.iowa.gov/docs/ico/chapter/504.pdf" Type="http://schemas.openxmlformats.org/officeDocument/2006/relationships/hyperlink" Id="rId27"/>
    <Relationship TargetMode="External" Target="https://www.legis.iowa.gov/docs/ico/chapter/504.113.pdf" Type="http://schemas.openxmlformats.org/officeDocument/2006/relationships/hyperlink" Id="rId28"/>
    <Relationship TargetMode="External" Target="https://www.legis.iowa.gov/docs/ico/chapter/488.210.pdf" Type="http://schemas.openxmlformats.org/officeDocument/2006/relationships/hyperlink" Id="rId29"/>
    <Relationship TargetMode="External" Target="https://www.legis.iowa.gov/docs/ico/chapter/489.209.pdf" Type="http://schemas.openxmlformats.org/officeDocument/2006/relationships/hyperlink" Id="rId30"/>
    <Relationship TargetMode="External" Target="https://www.legis.iowa.gov/docs/ico/chapter/488.pdf" Type="http://schemas.openxmlformats.org/officeDocument/2006/relationships/hyperlink" Id="rId31"/>
    <Relationship TargetMode="External" Target="https://www.legis.iowa.gov/docs/ico/chapter/489.pdf" Type="http://schemas.openxmlformats.org/officeDocument/2006/relationships/hyperlink" Id="rId32"/>
    <Relationship TargetMode="External" Target="https://www.legis.iowa.gov/docs/ico/chapter/490.pdf" Type="http://schemas.openxmlformats.org/officeDocument/2006/relationships/hyperlink" Id="rId33"/>
    <Relationship TargetMode="External" Target="https://www.legis.iowa.gov/docs/ico/chapter/504.pdf" Type="http://schemas.openxmlformats.org/officeDocument/2006/relationships/hyperlink" Id="rId34"/>
    <Relationship TargetMode="External" Target="https://www.legis.iowa.gov/docs/ico/chapter/22.pdf" Type="http://schemas.openxmlformats.org/officeDocument/2006/relationships/hyperlink" Id="rId35"/>
    <Relationship TargetMode="External" Target="https://www.legis.iowa.gov/docs/ico/chapter/554D.pdf" Type="http://schemas.openxmlformats.org/officeDocument/2006/relationships/hyperlink" Id="rId36"/>
    <Relationship TargetMode="External" Target="https://www.legis.iowa.gov/docs/ico/chapter/490.pdf" Type="http://schemas.openxmlformats.org/officeDocument/2006/relationships/hyperlink" Id="rId37"/>
    <Relationship TargetMode="External" Target="https://www.legis.iowa.gov/docs/ico/chapter/491.pdf" Type="http://schemas.openxmlformats.org/officeDocument/2006/relationships/hyperlink" Id="rId38"/>
    <Relationship TargetMode="External" Target="https://www.legis.iowa.gov/docs/ico/chapter/499.pdf" Type="http://schemas.openxmlformats.org/officeDocument/2006/relationships/hyperlink" Id="rId39"/>
    <Relationship TargetMode="External" Target="https://www.legis.iowa.gov/docs/ico/chapter/504.pdf" Type="http://schemas.openxmlformats.org/officeDocument/2006/relationships/hyperlink" Id="rId40"/>
    <Relationship TargetMode="External" Target="https://www.legis.iowa.gov/docs/ico/chapter/548.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