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WAIVER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721—10.1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For purposes of this chapter, a “waiver ” means action by the agency which suspends in whole or in part the requirements or provisions of a rule as applied to an identified person on the basis of the particular circumstances of that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5811C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721—10.2</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generally applicable standards and a uniform process for the granting of individual waivers from rules adopted by the agency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210" w:after="0"/>
        <w:ind w:left="120"/>
        <w:jc w:val="both"/>
      </w:pPr>
      <w:r>
        <w:rPr>
          <w:rFonts w:ascii="Times New Roman" w:hAnsi="Times New Roman"/>
          <w:b/>
          <w:i w:val="false"/>
          <w:color w:val="000000"/>
          <w:sz w:val="22"/>
        </w:rPr>
        <w:t>721—10.3</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agency may only grant a waiver from a rule if the agency has jurisdiction over the rule and the requested waiver is consistent with applicable statutes, constitutional provisions, or other provisions of law. The agency may not waive requirements created or duties imposed by statute.</w:t>
      </w:r>
    </w:p>
    <w:p>
      <w:pPr>
        <w:spacing w:before="0" w:after="0"/>
        <w:ind w:left="120"/>
        <w:jc w:val="both"/>
      </w:pPr>
      <w:r>
        <w:rPr>
          <w:rFonts w:ascii="Times New Roman" w:hAnsi="Times New Roman"/>
          <w:b/>
          <w:i w:val="false"/>
          <w:color w:val="000000"/>
          <w:sz w:val="22"/>
        </w:rPr>
        <w:t>721—10.4</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w:t>
      </w:r>
      <w:hyperlink r:id="rId5">
        <w:r>
          <w:rPr>
            <w:rStyle w:val="Hyperlink"/>
            <w:rFonts w:ascii="Times New Roman" w:hAnsi="Times New Roman"/>
            <w:b w:val="false"/>
            <w:i w:val="false"/>
            <w:color w:val="000000"/>
            <w:sz w:val="22"/>
          </w:rPr>
          <w:t>rule 721—10.6(17A)</w:t>
        </w:r>
      </w:hyperlink>
      <w:r>
        <w:rPr>
          <w:rFonts w:ascii="Times New Roman" w:hAnsi="Times New Roman"/>
          <w:b w:val="false"/>
          <w:i w:val="false"/>
          <w:color w:val="000000"/>
          <w:sz w:val="22"/>
        </w:rPr>
        <w:t>, the agency may in its sole discretion issue an order waiving in whole or in part the requirements of a rule if the agency finds, based on clear and convincing evidence,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5811C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721—10.5</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agency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License or authorization application. </w:t>
      </w:r>
      <w:r>
        <w:rPr>
          <w:rFonts w:ascii="Times New Roman" w:hAnsi="Times New Roman"/>
          <w:b w:val="false"/>
          <w:i w:val="false"/>
          <w:color w:val="000000"/>
          <w:sz w:val="22"/>
        </w:rPr>
        <w:t>If the petition relates to a license or authorization application, the petition shall be made in accordance with the filing requirements for the license or authorization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license application or a pending contested case, the petition shall be submitted in writing to the secretary of state’s office.</w:t>
      </w:r>
    </w:p>
    <w:p>
      <w:pPr>
        <w:spacing w:before="0" w:after="0"/>
        <w:ind w:left="120"/>
        <w:jc w:val="both"/>
      </w:pPr>
      <w:r>
        <w:rPr>
          <w:rFonts w:ascii="Times New Roman" w:hAnsi="Times New Roman"/>
          <w:b/>
          <w:i w:val="false"/>
          <w:color w:val="000000"/>
          <w:sz w:val="22"/>
        </w:rPr>
        <w:t>721—10.6</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entity or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relevant facts that the petitioner believes would justify a waiver under each of the four criteria described in rule 721—</w:t>
      </w:r>
      <w:hyperlink r:id="rId6">
        <w:r>
          <w:rPr>
            <w:rStyle w:val="Hyperlink"/>
            <w:rFonts w:ascii="Times New Roman" w:hAnsi="Times New Roman"/>
            <w:b w:val="false"/>
            <w:i w:val="false"/>
            <w:color w:val="000000"/>
            <w:sz w:val="22"/>
          </w:rPr>
          <w:t>10.4(17A)</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agency and the petitioner relating to the regulated activity, license, or authorization affected by the proposed waiver, including a description of each affected license or authorization held by the requester, any notices of violation, contested case hearings, or investigative reports relating to the regulated activity or license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All information known to the requester regarding the agency’s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entity or person who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agency with information relevant to the waiver.</w:t>
      </w:r>
    </w:p>
    <w:p>
      <w:pPr>
        <w:spacing w:before="210" w:after="0"/>
        <w:ind w:left="120"/>
        <w:jc w:val="both"/>
      </w:pPr>
      <w:r>
        <w:rPr>
          <w:rFonts w:ascii="Times New Roman" w:hAnsi="Times New Roman"/>
          <w:b/>
          <w:i w:val="false"/>
          <w:color w:val="000000"/>
          <w:sz w:val="22"/>
        </w:rPr>
        <w:t>721—10.7</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agency may request additional information from the petitioner relative to the petition and surrounding circumstances. If the petition was not filed in a contested case, the agency may, on its own motion or at the petitioner’s request, schedule a telephonic or in-person meeting between the petitioner and the secretary of state, or their designees, a committee of the agency, or a quorum of the agency.</w:t>
      </w:r>
    </w:p>
    <w:p>
      <w:pPr>
        <w:spacing w:before="210" w:after="0"/>
        <w:ind w:left="120"/>
        <w:jc w:val="both"/>
      </w:pPr>
      <w:r>
        <w:rPr>
          <w:rFonts w:ascii="Times New Roman" w:hAnsi="Times New Roman"/>
          <w:b/>
          <w:i w:val="false"/>
          <w:color w:val="000000"/>
          <w:sz w:val="22"/>
        </w:rPr>
        <w:t>721—10.8</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agency shall acknowledge a petition upon receipt. The agency shall ensure that, within 30 days of the receipt of the petition, notice of the pendency of the petition and a concise summary of its contents have been provided to all persons to whom notice is required by any provision of law. In addition, the agency may give notice to other persons. To accomplish this notice provision, the agency may require the petitioner to serve the notice on all persons to whom notice is required by any provision of law and provide a written statement to the agency attesting that notice has been provided.</w:t>
      </w:r>
    </w:p>
    <w:p>
      <w:pPr>
        <w:spacing w:before="210" w:after="0"/>
        <w:ind w:left="120"/>
        <w:jc w:val="both"/>
      </w:pPr>
      <w:r>
        <w:rPr>
          <w:rFonts w:ascii="Times New Roman" w:hAnsi="Times New Roman"/>
          <w:b/>
          <w:i w:val="false"/>
          <w:color w:val="000000"/>
          <w:sz w:val="22"/>
        </w:rPr>
        <w:t>721—10.9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agency proceedings for a waiver only when the agency so provides by rule or order or is required to do so by statute.</w:t>
      </w:r>
    </w:p>
    <w:p>
      <w:pPr>
        <w:spacing w:before="0" w:after="0"/>
        <w:ind w:left="120"/>
        <w:jc w:val="both"/>
      </w:pPr>
      <w:r>
        <w:rPr>
          <w:rFonts w:ascii="Times New Roman" w:hAnsi="Times New Roman"/>
          <w:b/>
          <w:i w:val="false"/>
          <w:color w:val="000000"/>
          <w:sz w:val="22"/>
        </w:rPr>
        <w:t>721—10.10</w:t>
      </w:r>
      <w:r>
        <w:rPr>
          <w:rFonts w:ascii="Times New Roman" w:hAnsi="Times New Roman"/>
          <w:b/>
          <w:i w:val="false"/>
          <w:color w:val="000000"/>
          <w:sz w:val="22"/>
        </w:rPr>
        <w:t xml:space="preserve">(17A)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Agency discretion. </w:t>
      </w:r>
      <w:r>
        <w:rPr>
          <w:rFonts w:ascii="Times New Roman" w:hAnsi="Times New Roman"/>
          <w:b w:val="false"/>
          <w:i w:val="false"/>
          <w:color w:val="000000"/>
          <w:sz w:val="22"/>
        </w:rPr>
        <w:t>The final decision on whether the circumstances justify the granting of a waiver shall be made at the sole discretion of the agency, upon consideration of all relevant factors. Each petition for a waiver shall be evaluated by the agency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agency should exercise its discretion to grant a waiver from an agency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agency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agency may place any condition on a waiver that the agency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agency, a waiver may be renewed if the agency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agency shall grant or deny a petition for a waiver as soon as practicable but, in any event, shall do so within 120 days of its receipt unless the petitioner agrees to a later date. However, if a petition is filed in a contested case, the agency shall grant or deny the petition no later than the time at which the final decision in that contested case is issued</w:t>
      </w:r>
      <w:r>
        <w:rPr>
          <w:rFonts w:ascii="Times New Roman" w:hAnsi="Times New Roman"/>
          <w:b/>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agency to grant or deny a petition within the required time period shall be deemed a denial of that petition by the agency. However, the agency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210" w:after="0"/>
        <w:ind w:left="120"/>
        <w:jc w:val="both"/>
      </w:pPr>
      <w:r>
        <w:rPr>
          <w:rFonts w:ascii="Times New Roman" w:hAnsi="Times New Roman"/>
          <w:b/>
          <w:i w:val="false"/>
          <w:color w:val="000000"/>
          <w:sz w:val="22"/>
        </w:rPr>
        <w:t>721—10.11</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agency is authorized or required to keep confidential. The agency may accordingly redact confidential information from petitions or orders prior to public inspection.</w:t>
      </w:r>
    </w:p>
    <w:p>
      <w:pPr>
        <w:spacing w:before="0" w:after="0"/>
        <w:ind w:left="120"/>
        <w:jc w:val="both"/>
      </w:pPr>
      <w:r>
        <w:rPr>
          <w:rFonts w:ascii="Times New Roman" w:hAnsi="Times New Roman"/>
          <w:b/>
          <w:i w:val="false"/>
          <w:color w:val="000000"/>
          <w:sz w:val="22"/>
        </w:rPr>
        <w:t>721—10.12</w:t>
      </w:r>
      <w:r>
        <w:rPr>
          <w:rFonts w:ascii="Times New Roman" w:hAnsi="Times New Roman"/>
          <w:b/>
          <w:i w:val="false"/>
          <w:color w:val="000000"/>
          <w:sz w:val="22"/>
        </w:rPr>
        <w:t xml:space="preserve">(17A)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agency pursuant to this chapter may be withdrawn, canceled, or modified if, after appropriate notice and hearing, the agency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5811C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721—10.13</w:t>
      </w:r>
      <w:r>
        <w:rPr>
          <w:rFonts w:ascii="Times New Roman" w:hAnsi="Times New Roman"/>
          <w:b/>
          <w:i w:val="false"/>
          <w:color w:val="000000"/>
          <w:sz w:val="22"/>
        </w:rPr>
        <w:t xml:space="preserve">(17A)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5811C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721—10.14</w:t>
      </w:r>
      <w:r>
        <w:rPr>
          <w:rFonts w:ascii="Times New Roman" w:hAnsi="Times New Roman"/>
          <w:b/>
          <w:i w:val="false"/>
          <w:color w:val="000000"/>
          <w:sz w:val="22"/>
        </w:rPr>
        <w:t xml:space="preserve">(17A)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agency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5811C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721—10.15</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agency’s decision to grant or deny a waiver petition may be taken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5811C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2/2/01—published 2/21/01, effective 2/2/01]</w:t>
      </w:r>
    </w:p>
    <w:p>
      <w:pPr>
        <w:spacing w:before="0" w:after="0"/>
        <w:ind w:left="120"/>
        <w:jc w:val="center"/>
      </w:pPr>
      <w:r>
        <w:rPr>
          <w:rFonts w:ascii="Times New Roman" w:hAnsi="Times New Roman"/>
          <w:b w:val="false"/>
          <w:i w:val="false"/>
          <w:color w:val="000000"/>
          <w:sz w:val="21"/>
        </w:rPr>
        <w:t>[Filed 4/19/01, Notice 2/21/01—published 5/16/01, effective 6/20/01]</w:t>
      </w:r>
    </w:p>
    <w:p>
      <w:pPr>
        <w:spacing w:before="0" w:after="0"/>
        <w:ind w:left="120"/>
        <w:jc w:val="center"/>
      </w:pPr>
      <w:r>
        <w:rPr>
          <w:rFonts w:ascii="Times New Roman" w:hAnsi="Times New Roman"/>
          <w:b w:val="false"/>
          <w:i w:val="false"/>
          <w:color w:val="000000"/>
          <w:sz w:val="21"/>
        </w:rPr>
        <w:t>[Filed ARC 5811C</w:t>
      </w:r>
      <w:r>
        <w:rPr>
          <w:rFonts w:ascii="Times New Roman" w:hAnsi="Times New Roman"/>
          <w:b w:val="false"/>
          <w:i w:val="false"/>
          <w:color w:val="000000"/>
          <w:sz w:val="21"/>
        </w:rPr>
        <w:t xml:space="preserve"> (Notice ARC 5397C, IAB 1/27/21)</w:t>
      </w:r>
      <w:r>
        <w:rPr>
          <w:rFonts w:ascii="Times New Roman" w:hAnsi="Times New Roman"/>
          <w:b w:val="false"/>
          <w:i w:val="false"/>
          <w:color w:val="000000"/>
          <w:sz w:val="21"/>
        </w:rPr>
        <w:t>, IAB 7/28/21, effective 9/1/21]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21.10.6.pdf" Type="http://schemas.openxmlformats.org/officeDocument/2006/relationships/hyperlink" Id="rId5"/>
    <Relationship TargetMode="External" Target="https://www.legis.iowa.gov/docs/iac/rule/721.10.4.pdf" Type="http://schemas.openxmlformats.org/officeDocument/2006/relationships/hyperlink" Id="rId6"/>
    <Relationship TargetMode="External" Target="https://www.legis.iowa.gov/docs/ico/chapter/17A.10-18A.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9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