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901</w:t>
      </w:r>
    </w:p>
    <w:p>
      <w:pPr>
        <w:spacing w:before="0" w:after="0"/>
        <w:ind w:left="120"/>
        <w:jc w:val="center"/>
      </w:pPr>
      <w:r>
        <w:rPr>
          <w:rFonts w:ascii="Times New Roman" w:hAnsi="Times New Roman"/>
          <w:b w:val="false"/>
          <w:i w:val="false"/>
          <w:color w:val="000000"/>
          <w:sz w:val="21"/>
        </w:rPr>
        <w:t>IOWA ESTATE TAX</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87]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701—901.1</w:t>
      </w:r>
      <w:r>
        <w:rPr>
          <w:rFonts w:ascii="Times New Roman" w:hAnsi="Times New Roman"/>
          <w:b/>
          <w:i w:val="false"/>
          <w:color w:val="000000"/>
          <w:sz w:val="22"/>
        </w:rPr>
        <w:t xml:space="preserve">(451)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chapter is applicable only for dates of death occurring prior to January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following definitions cover </w:t>
      </w:r>
      <w:hyperlink r:id="rId5">
        <w:r>
          <w:rPr>
            <w:rStyle w:val="Hyperlink"/>
            <w:rFonts w:ascii="Times New Roman" w:hAnsi="Times New Roman"/>
            <w:b w:val="false"/>
            <w:i w:val="false"/>
            <w:color w:val="000000"/>
            <w:sz w:val="22"/>
          </w:rPr>
          <w:t>701—Chapter 901</w:t>
        </w:r>
      </w:hyperlink>
      <w:r>
        <w:rPr>
          <w:rFonts w:ascii="Times New Roman" w:hAnsi="Times New Roman"/>
          <w:b w:val="false"/>
          <w:i w:val="false"/>
          <w:color w:val="000000"/>
          <w:sz w:val="22"/>
        </w:rPr>
        <w:t xml:space="preserve"> and are in addition to the definitions contained in Iowa Code section </w:t>
      </w:r>
      <w:hyperlink r:id="rId6">
        <w:r>
          <w:rPr>
            <w:rStyle w:val="Hyperlink"/>
            <w:rFonts w:ascii="Times New Roman" w:hAnsi="Times New Roman"/>
            <w:b w:val="false"/>
            <w:i w:val="false"/>
            <w:color w:val="000000"/>
            <w:sz w:val="22"/>
          </w:rPr>
          <w:t>451.1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compliance division of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division” </w:t>
      </w:r>
      <w:r>
        <w:rPr>
          <w:rFonts w:ascii="Times New Roman" w:hAnsi="Times New Roman"/>
          <w:b w:val="false"/>
          <w:i w:val="false"/>
          <w:color w:val="000000"/>
          <w:sz w:val="22"/>
        </w:rPr>
        <w:t>is the administrative unit of the department created by the director to administer the inheritance, estate, generation skipping transfer, and fiduciary income tax laws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w:t>
      </w:r>
      <w:r>
        <w:rPr>
          <w:rFonts w:ascii="Times New Roman" w:hAnsi="Times New Roman"/>
          <w:b w:val="false"/>
          <w:i w:val="false"/>
          <w:color w:val="000000"/>
          <w:sz w:val="22"/>
        </w:rPr>
        <w:t xml:space="preserve">means the Iowa estate tax imposed by Iowa Code chapter </w:t>
      </w:r>
      <w:hyperlink r:id="rId7">
        <w:r>
          <w:rPr>
            <w:rStyle w:val="Hyperlink"/>
            <w:rFonts w:ascii="Times New Roman" w:hAnsi="Times New Roman"/>
            <w:b w:val="false"/>
            <w:i w:val="false"/>
            <w:color w:val="000000"/>
            <w:sz w:val="22"/>
          </w:rPr>
          <w:t>451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 xml:space="preserve">means the personal representative of the decedent’s estate as defined in Iowa Code subsection </w:t>
      </w:r>
      <w:hyperlink r:id="rId8">
        <w:r>
          <w:rPr>
            <w:rStyle w:val="Hyperlink"/>
            <w:rFonts w:ascii="Times New Roman" w:hAnsi="Times New Roman"/>
            <w:b w:val="false"/>
            <w:i w:val="false"/>
            <w:color w:val="000000"/>
            <w:sz w:val="22"/>
          </w:rPr>
          <w:t>633.3(29)</w:t>
        </w:r>
      </w:hyperlink>
      <w:r>
        <w:rPr>
          <w:rFonts w:ascii="Times New Roman" w:hAnsi="Times New Roman"/>
          <w:b w:val="false"/>
          <w:i w:val="false"/>
          <w:color w:val="000000"/>
          <w:sz w:val="22"/>
        </w:rPr>
        <w:t xml:space="preserve"> and any other person or persons liable for the payment of the federal estate tax under 26 U.S.C. Section 2002.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w:t>
      </w:r>
      <w:r>
        <w:rPr>
          <w:rFonts w:ascii="Times New Roman" w:hAnsi="Times New Roman"/>
          <w:b w:val="false"/>
          <w:i w:val="false"/>
          <w:color w:val="000000"/>
          <w:sz w:val="22"/>
        </w:rPr>
        <w:t> </w:t>
      </w:r>
      <w:r>
        <w:rPr>
          <w:rFonts w:ascii="Times New Roman" w:hAnsi="Times New Roman"/>
          <w:b w:val="false"/>
          <w:i/>
          <w:color w:val="000000"/>
          <w:sz w:val="22"/>
        </w:rPr>
        <w:t xml:space="preserve">Delegation of authority. </w:t>
      </w:r>
      <w:r>
        <w:rPr>
          <w:rFonts w:ascii="Times New Roman" w:hAnsi="Times New Roman"/>
          <w:b w:val="false"/>
          <w:i w:val="false"/>
          <w:color w:val="000000"/>
          <w:sz w:val="22"/>
        </w:rPr>
        <w:t>The director delegates to the administrator of the compliance division, subject always to the supervision and review by the director, the authority to administer the Iowa estate tax. This delegated authority specifically includes, but is not limited to: the determination of the correct Iowa estate tax liability; making assessments against the taxpayer for additional tax due; authorizing refunds of excessive tax paid; executing releases of the tax lien; and the determination of reasonable cause for failure to file and timely pay the tax due and granting extensions of time to file the return and pay the tax due. The administrator of the compliance division may delegate the examination and audit of tax returns to the supervisors, examiners, agents and any other employees or representatives of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421.2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421.4</w:t>
        </w:r>
      </w:hyperlink>
      <w:r>
        <w:rPr>
          <w:rFonts w:ascii="Times New Roman" w:hAnsi="Times New Roman"/>
          <w:b w:val="false"/>
          <w:i w:val="false"/>
          <w:color w:val="000000"/>
          <w:sz w:val="22"/>
        </w:rPr>
        <w:t xml:space="preserve"> and chapter </w:t>
      </w:r>
      <w:hyperlink r:id="rId11">
        <w:r>
          <w:rPr>
            <w:rStyle w:val="Hyperlink"/>
            <w:rFonts w:ascii="Times New Roman" w:hAnsi="Times New Roman"/>
            <w:b w:val="false"/>
            <w:i w:val="false"/>
            <w:color w:val="000000"/>
            <w:sz w:val="22"/>
          </w:rPr>
          <w:t>451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701—901.2</w:t>
      </w:r>
      <w:r>
        <w:rPr>
          <w:rFonts w:ascii="Times New Roman" w:hAnsi="Times New Roman"/>
          <w:b/>
          <w:i w:val="false"/>
          <w:color w:val="000000"/>
          <w:sz w:val="22"/>
        </w:rPr>
        <w:t xml:space="preserve">(451) </w:t>
      </w:r>
      <w:r>
        <w:rPr>
          <w:rFonts w:ascii="Times New Roman" w:hAnsi="Times New Roman"/>
          <w:b/>
          <w:i w:val="false"/>
          <w:color w:val="000000"/>
          <w:sz w:val="22"/>
        </w:rPr>
        <w:t xml:space="preserve">Confidential and nonconfidential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901.2(1)</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 xml:space="preserve">Federal tax returns, federal return information, inheritance tax returns, and the books, records, documents and accounts of any person, firm or corporation, including stock transfer books, requested to be submitted to the department for the enforcement of the Iowa estate tax law, shall be deemed and held confidential by the department, subject to public disclosure only as provided by law. See 26 U.S.C. Section 6103 pertaining to the confidentiality and disclosure of federal tax returns and federal return information. See rule </w:t>
      </w:r>
      <w:hyperlink r:id="rId12">
        <w:r>
          <w:rPr>
            <w:rStyle w:val="Hyperlink"/>
            <w:rFonts w:ascii="Times New Roman" w:hAnsi="Times New Roman"/>
            <w:b w:val="false"/>
            <w:i w:val="false"/>
            <w:color w:val="000000"/>
            <w:sz w:val="22"/>
          </w:rPr>
          <w:t>701—5.4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901.2(2)</w:t>
      </w:r>
      <w:r>
        <w:rPr>
          <w:rFonts w:ascii="Times New Roman" w:hAnsi="Times New Roman"/>
          <w:b w:val="false"/>
          <w:i w:val="false"/>
          <w:color w:val="000000"/>
          <w:sz w:val="22"/>
        </w:rPr>
        <w:t> </w:t>
      </w:r>
      <w:r>
        <w:rPr>
          <w:rFonts w:ascii="Times New Roman" w:hAnsi="Times New Roman"/>
          <w:b w:val="false"/>
          <w:i/>
          <w:color w:val="000000"/>
          <w:sz w:val="22"/>
        </w:rPr>
        <w:t xml:space="preserve">Information not confidential. </w:t>
      </w:r>
      <w:r>
        <w:rPr>
          <w:rFonts w:ascii="Times New Roman" w:hAnsi="Times New Roman"/>
          <w:b w:val="false"/>
          <w:i w:val="false"/>
          <w:color w:val="000000"/>
          <w:sz w:val="22"/>
        </w:rPr>
        <w:t>Copies of wills, probate inventories, trust instruments, deeds, release of a real estate lien, and other documents which are filed for public record are not deemed confidential by the department.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Iowa Code chapters </w:t>
      </w:r>
      <w:hyperlink r:id="rId14">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451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1992 Iowa Acts, Second Extraordinary Session, chapter 1001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701—901.3</w:t>
      </w:r>
      <w:r>
        <w:rPr>
          <w:rFonts w:ascii="Times New Roman" w:hAnsi="Times New Roman"/>
          <w:b/>
          <w:i w:val="false"/>
          <w:color w:val="000000"/>
          <w:sz w:val="22"/>
        </w:rPr>
        <w:t xml:space="preserve">(451) </w:t>
      </w:r>
      <w:r>
        <w:rPr>
          <w:rFonts w:ascii="Times New Roman" w:hAnsi="Times New Roman"/>
          <w:b/>
          <w:i w:val="false"/>
          <w:color w:val="000000"/>
          <w:sz w:val="22"/>
        </w:rPr>
        <w:t xml:space="preserve">Tax imposed, tax returns, and tax due.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901.3(1)</w:t>
      </w:r>
      <w:r>
        <w:rPr>
          <w:rFonts w:ascii="Times New Roman" w:hAnsi="Times New Roman"/>
          <w:b w:val="false"/>
          <w:i w:val="false"/>
          <w:color w:val="000000"/>
          <w:sz w:val="22"/>
        </w:rPr>
        <w:t> </w:t>
      </w:r>
      <w:r>
        <w:rPr>
          <w:rFonts w:ascii="Times New Roman" w:hAnsi="Times New Roman"/>
          <w:b w:val="false"/>
          <w:i/>
          <w:color w:val="000000"/>
          <w:sz w:val="22"/>
        </w:rPr>
        <w:t xml:space="preserve">Tax imposed and tax due. </w:t>
      </w:r>
      <w:r>
        <w:rPr>
          <w:rFonts w:ascii="Times New Roman" w:hAnsi="Times New Roman"/>
          <w:b w:val="false"/>
          <w:i w:val="false"/>
          <w:color w:val="000000"/>
          <w:sz w:val="22"/>
        </w:rPr>
        <w:t xml:space="preserve">Iowa Code sections </w:t>
      </w:r>
      <w:hyperlink r:id="rId16">
        <w:r>
          <w:rPr>
            <w:rStyle w:val="Hyperlink"/>
            <w:rFonts w:ascii="Times New Roman" w:hAnsi="Times New Roman"/>
            <w:b w:val="false"/>
            <w:i w:val="false"/>
            <w:color w:val="000000"/>
            <w:sz w:val="22"/>
          </w:rPr>
          <w:t>451.2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451.8</w:t>
        </w:r>
      </w:hyperlink>
      <w:r>
        <w:rPr>
          <w:rFonts w:ascii="Times New Roman" w:hAnsi="Times New Roman"/>
          <w:b w:val="false"/>
          <w:i w:val="false"/>
          <w:color w:val="000000"/>
          <w:sz w:val="22"/>
        </w:rPr>
        <w:t xml:space="preserve"> impose a tax equal to the maximum amount of credit allowable under 26 U.S.C. Section 2011 of the Internal Revenue Code for state death taxes paid on property included in the gross estate of the decedent. The credit allowable under the federal statute is not limited to the Iowa inheritance tax imposed under Iowa Code chapter </w:t>
      </w:r>
      <w:hyperlink r:id="rId18">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xml:space="preserve"> on the property in the decedent’s gross estate, but also includes any other estate, legacy or succession taxes imposed by the state on the property. The Iowa estate tax qualifies as an estate tax specified in the federal credit statute. However, the tax due and payable, as distinguished from the tax imposed, is the maximum credit allowable under 26 U.S.C. Section 2011, less the Iowa inheritance tax paid on the property included in the gross estate of the decedent.</w:t>
      </w:r>
    </w:p>
    <w:p>
      <w:pPr>
        <w:spacing w:before="0" w:after="0"/>
        <w:ind w:left="120"/>
        <w:jc w:val="both"/>
      </w:pPr>
      <w:r>
        <w:rPr>
          <w:rFonts w:ascii="Times New Roman" w:hAnsi="Times New Roman"/>
          <w:b w:val="false"/>
          <w:i w:val="false"/>
          <w:color w:val="000000"/>
          <w:sz w:val="22"/>
        </w:rPr>
        <w:t>Therefore, the Iowa estate tax due and payable is the amount which the maximum credit allowable under 26 U.S.C. Section 2011 exceeds the Iowa inheritance tax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901.3(2)</w:t>
      </w:r>
      <w:r>
        <w:rPr>
          <w:rFonts w:ascii="Times New Roman" w:hAnsi="Times New Roman"/>
          <w:b w:val="false"/>
          <w:i w:val="false"/>
          <w:color w:val="000000"/>
          <w:sz w:val="22"/>
        </w:rPr>
        <w:t> </w:t>
      </w:r>
      <w:r>
        <w:rPr>
          <w:rFonts w:ascii="Times New Roman" w:hAnsi="Times New Roman"/>
          <w:b w:val="false"/>
          <w:i/>
          <w:color w:val="000000"/>
          <w:sz w:val="22"/>
        </w:rPr>
        <w:t xml:space="preserve">Duty of the taxpayer. </w:t>
      </w:r>
      <w:r>
        <w:rPr>
          <w:rFonts w:ascii="Times New Roman" w:hAnsi="Times New Roman"/>
          <w:b w:val="false"/>
          <w:i w:val="false"/>
          <w:color w:val="000000"/>
          <w:sz w:val="22"/>
        </w:rPr>
        <w:t>The taxpayer does not have the option of electing on the federal estate return, to claim only the Iowa inheritance tax paid on property included in the gross estate of the decedent, or to claim the maximum credit allowed under 26 U.S.C. Section 2011 of the Internal Revenue Code. The maximum credit allowable under the federal statute must be claimed on the federal estate tax return. If the taxpayer has filed a federal estate tax return claiming an amount of credit less than the maximum credit allowable, the taxpayer has the duty to amend the federal estate tax return and claim the maximum credit allowable.</w:t>
      </w:r>
    </w:p>
    <w:p>
      <w:pPr>
        <w:spacing w:before="0" w:after="0"/>
        <w:ind w:left="120"/>
        <w:jc w:val="both"/>
      </w:pPr>
      <w:r>
        <w:rPr>
          <w:rFonts w:ascii="Times New Roman" w:hAnsi="Times New Roman"/>
          <w:b w:val="false"/>
          <w:i w:val="false"/>
          <w:color w:val="000000"/>
          <w:sz w:val="22"/>
        </w:rPr>
        <w:t xml:space="preserve">If there is a change in the amount of inheritance tax paid or in the amount of the maximum federal credit allowable for state death taxes paid (such as the result of a federal audit or an audit of the inheritance tax return) which results in an estate tax, or additional estate tax due, the taxpayer has the duty to promptly report the change to the department on an amended return, and pay the tax, or additional tax due, together with any penalty and interest. See Iowa Code section </w:t>
      </w:r>
      <w:hyperlink r:id="rId19">
        <w:r>
          <w:rPr>
            <w:rStyle w:val="Hyperlink"/>
            <w:rFonts w:ascii="Times New Roman" w:hAnsi="Times New Roman"/>
            <w:b w:val="false"/>
            <w:i w:val="false"/>
            <w:color w:val="000000"/>
            <w:sz w:val="22"/>
          </w:rPr>
          <w:t>451.8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Effective July 1, 1998, there is no longer a requirement for safe deposit boxes to be inventoried and reported to the department prior to the delivery of the assets to the personal representative, transferee, joint owner or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901.3(3)</w:t>
      </w:r>
      <w:r>
        <w:rPr>
          <w:rFonts w:ascii="Times New Roman" w:hAnsi="Times New Roman"/>
          <w:b w:val="false"/>
          <w:i w:val="false"/>
          <w:color w:val="000000"/>
          <w:sz w:val="22"/>
        </w:rPr>
        <w:t> </w:t>
      </w:r>
      <w:r>
        <w:rPr>
          <w:rFonts w:ascii="Times New Roman" w:hAnsi="Times New Roman"/>
          <w:b w:val="false"/>
          <w:i/>
          <w:color w:val="000000"/>
          <w:sz w:val="22"/>
        </w:rPr>
        <w:t xml:space="preserve">Form of return. </w:t>
      </w:r>
      <w:r>
        <w:rPr>
          <w:rFonts w:ascii="Times New Roman" w:hAnsi="Times New Roman"/>
          <w:b w:val="false"/>
          <w:i w:val="false"/>
          <w:color w:val="000000"/>
          <w:sz w:val="22"/>
        </w:rPr>
        <w:t xml:space="preserve">The final inheritance tax return form provided for in </w:t>
      </w:r>
      <w:hyperlink r:id="rId20">
        <w:r>
          <w:rPr>
            <w:rStyle w:val="Hyperlink"/>
            <w:rFonts w:ascii="Times New Roman" w:hAnsi="Times New Roman"/>
            <w:b w:val="false"/>
            <w:i w:val="false"/>
            <w:color w:val="000000"/>
            <w:sz w:val="22"/>
          </w:rPr>
          <w:t>701—subrule 900.2(2)</w:t>
        </w:r>
      </w:hyperlink>
      <w:r>
        <w:rPr>
          <w:rFonts w:ascii="Times New Roman" w:hAnsi="Times New Roman"/>
          <w:b w:val="false"/>
          <w:i w:val="false"/>
          <w:color w:val="000000"/>
          <w:sz w:val="22"/>
        </w:rPr>
        <w:t xml:space="preserve"> shall be the return for reporting the Iowa estate tax due. The amount of the Iowa estate tax due shall be listed separately on the return from the amount of the inheritance tax shown to be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901.3(4)</w:t>
      </w:r>
      <w:r>
        <w:rPr>
          <w:rFonts w:ascii="Times New Roman" w:hAnsi="Times New Roman"/>
          <w:b w:val="false"/>
          <w:i w:val="false"/>
          <w:color w:val="000000"/>
          <w:sz w:val="22"/>
        </w:rPr>
        <w:t> </w:t>
      </w:r>
      <w:r>
        <w:rPr>
          <w:rFonts w:ascii="Times New Roman" w:hAnsi="Times New Roman"/>
          <w:b w:val="false"/>
          <w:i/>
          <w:color w:val="000000"/>
          <w:sz w:val="22"/>
        </w:rPr>
        <w:t xml:space="preserve">Liability for the tax. </w:t>
      </w:r>
      <w:r>
        <w:rPr>
          <w:rFonts w:ascii="Times New Roman" w:hAnsi="Times New Roman"/>
          <w:b w:val="false"/>
          <w:i w:val="false"/>
          <w:color w:val="000000"/>
          <w:sz w:val="22"/>
        </w:rPr>
        <w:t xml:space="preserve">The personal representative of the decedent’s estate and any person, including a trustee, in actual or constructive possession of any property included in the gross estate, have the duty to file the return with the department and pay the tax due. The shares of heirs and beneficiaries abate for the payment of the tax as provided in Iowa Code sections </w:t>
      </w:r>
      <w:hyperlink r:id="rId21">
        <w:r>
          <w:rPr>
            <w:rStyle w:val="Hyperlink"/>
            <w:rFonts w:ascii="Times New Roman" w:hAnsi="Times New Roman"/>
            <w:b w:val="false"/>
            <w:i w:val="false"/>
            <w:color w:val="000000"/>
            <w:sz w:val="22"/>
          </w:rPr>
          <w:t>633.436</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633.437</w:t>
        </w:r>
      </w:hyperlink>
      <w:r>
        <w:rPr>
          <w:rFonts w:ascii="Times New Roman" w:hAnsi="Times New Roman"/>
          <w:b w:val="false"/>
          <w:i w:val="false"/>
          <w:color w:val="000000"/>
          <w:sz w:val="22"/>
        </w:rPr>
        <w:t xml:space="preserve"> in the same manner as they abate for the payment of the federal estate tax. See </w:t>
      </w:r>
      <w:r>
        <w:rPr>
          <w:rFonts w:ascii="Times New Roman" w:hAnsi="Times New Roman"/>
          <w:b w:val="false"/>
          <w:i/>
          <w:color w:val="000000"/>
          <w:sz w:val="22"/>
        </w:rPr>
        <w:t>Bergren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Mason,</w:t>
      </w:r>
      <w:r>
        <w:rPr>
          <w:rFonts w:ascii="Times New Roman" w:hAnsi="Times New Roman"/>
          <w:b w:val="false"/>
          <w:i w:val="false"/>
          <w:color w:val="000000"/>
          <w:sz w:val="22"/>
        </w:rPr>
        <w:t xml:space="preserve"> 163 N.W.2d 374 (Iowa 1968) for the proper method to abate shares to pay the federal estate tax.</w:t>
      </w:r>
    </w:p>
    <w:p>
      <w:pPr>
        <w:spacing w:before="0" w:after="0"/>
        <w:ind w:left="120"/>
        <w:jc w:val="both"/>
      </w:pPr>
      <w:r>
        <w:rPr>
          <w:rFonts w:ascii="Times New Roman" w:hAnsi="Times New Roman"/>
          <w:b w:val="false"/>
          <w:i w:val="false"/>
          <w:color w:val="000000"/>
          <w:sz w:val="22"/>
        </w:rPr>
        <w:t xml:space="preserve">Effective for estates with decedents dying on or after July 1, 1999, all the provisions of Iowa Code chapter </w:t>
      </w:r>
      <w:hyperlink r:id="rId23">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xml:space="preserve"> regarding liens, determination, imposition, payment, collection of inheritance tax, computation and imposition of penalty and interest upon delinquent taxes and the confidential aspects of the tax return also apply to the administration of estate tax imposed under this chapter, except to the extent that such rules may conflict with Iowa Code chapter </w:t>
      </w:r>
      <w:hyperlink r:id="rId24">
        <w:r>
          <w:rPr>
            <w:rStyle w:val="Hyperlink"/>
            <w:rFonts w:ascii="Times New Roman" w:hAnsi="Times New Roman"/>
            <w:b w:val="false"/>
            <w:i w:val="false"/>
            <w:color w:val="000000"/>
            <w:sz w:val="22"/>
          </w:rPr>
          <w:t>451</w:t>
        </w:r>
      </w:hyperlink>
      <w:r>
        <w:rPr>
          <w:rFonts w:ascii="Times New Roman" w:hAnsi="Times New Roman"/>
          <w:b w:val="false"/>
          <w:i w:val="false"/>
          <w:color w:val="000000"/>
          <w:sz w:val="22"/>
        </w:rPr>
        <w:t xml:space="preserve"> and the rules set forth in this chapter. The exceptions of the lien provisions found in Iowa Code section </w:t>
      </w:r>
      <w:hyperlink r:id="rId25">
        <w:r>
          <w:rPr>
            <w:rStyle w:val="Hyperlink"/>
            <w:rFonts w:ascii="Times New Roman" w:hAnsi="Times New Roman"/>
            <w:b w:val="false"/>
            <w:i w:val="false"/>
            <w:color w:val="000000"/>
            <w:sz w:val="22"/>
          </w:rPr>
          <w:t>450.7</w:t>
        </w:r>
      </w:hyperlink>
      <w:r>
        <w:rPr>
          <w:rFonts w:ascii="Times New Roman" w:hAnsi="Times New Roman"/>
          <w:b w:val="false"/>
          <w:i w:val="false"/>
          <w:color w:val="000000"/>
          <w:sz w:val="22"/>
        </w:rPr>
        <w:t xml:space="preserve"> do not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901.3(5)</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Iowa decedent. </w:t>
      </w:r>
      <w:r>
        <w:rPr>
          <w:rFonts w:ascii="Times New Roman" w:hAnsi="Times New Roman"/>
          <w:b w:val="false"/>
          <w:i w:val="false"/>
          <w:color w:val="000000"/>
          <w:sz w:val="22"/>
        </w:rPr>
        <w:t>If the decedent was a resident of Iowa at the time of death and all of the property included in the gross estate has a situs in Iowa, the total amount allowable as a credit under 26 U.S.C. Section 2001 shall be the tax imposed. If part of the gross estate of an Iowa resident decedent consists of property with a situs at death in a state other than Iowa, the tax imposed shall be prorated in the ratio that the Iowa property included in the gross estate bears to the total gross estate.</w:t>
      </w:r>
    </w:p>
    <w:p>
      <w:pPr>
        <w:spacing w:before="0" w:after="0"/>
        <w:ind w:left="120"/>
        <w:jc w:val="both"/>
      </w:pPr>
      <w:r>
        <w:rPr>
          <w:rFonts w:ascii="Times New Roman" w:hAnsi="Times New Roman"/>
          <w:b w:val="false"/>
          <w:i w:val="false"/>
          <w:color w:val="000000"/>
          <w:sz w:val="22"/>
        </w:rPr>
        <w:t>EXAMPLE 1.</w:t>
      </w:r>
    </w:p>
    <w:p>
      <w:pPr>
        <w:spacing w:before="0" w:after="0"/>
        <w:ind w:left="120"/>
        <w:jc w:val="both"/>
      </w:pPr>
      <w:r>
        <w:rPr>
          <w:rFonts w:ascii="Times New Roman" w:hAnsi="Times New Roman"/>
          <w:b w:val="false"/>
          <w:i w:val="false"/>
          <w:color w:val="000000"/>
          <w:sz w:val="22"/>
        </w:rPr>
        <w:t>Decedent dies July 3, 1997, a resident of Iowa. The estate was bequeathed in full to inheritance tax-exempt children, except for a $10,000 bequest to one niece.</w:t>
      </w:r>
    </w:p>
    <w:tbl>
      <w:tblPr>
        <w:tblW w:w="5000" w:type="pct"/>
        <w:tblCellSpacing w:w="0" w:type="auto"/>
        <w:tblBorders>
          <w:top w:val="none"/>
          <w:left w:val="none"/>
          <w:bottom w:val="none"/>
          <w:right w:val="none"/>
          <w:insideH w:val="none"/>
          <w:insideV w:val="none"/>
        </w:tblBorders>
        <w:tblLayout w:type="fixed"/>
      </w:tblPr>
      <w:tblGrid>
        <w:gridCol w:w="6221"/>
        <w:gridCol w:w="3127"/>
        <w:gridCol w:w="1841"/>
      </w:tblGrid>
      <w:tr>
        <w:trPr>
          <w:trHeight w:val="210" w:hRule="atLeast"/>
        </w:trPr>
        <w:tc>
          <w:tcPr>
            <w:tcW w:w="6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gross assets =</w:t>
            </w:r>
          </w:p>
        </w:tc>
        <w:tc>
          <w:tcPr>
            <w:tcW w:w="3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$1,200,000</w:t>
            </w:r>
          </w:p>
        </w:tc>
      </w:tr>
      <w:tr>
        <w:trPr>
          <w:trHeight w:val="225" w:hRule="atLeast"/>
        </w:trPr>
        <w:tc>
          <w:tcPr>
            <w:tcW w:w="6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debts and expenses (except federal estate tax)</w:t>
            </w:r>
          </w:p>
        </w:tc>
        <w:tc>
          <w:tcPr>
            <w:tcW w:w="3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(300,000)</w:t>
            </w:r>
          </w:p>
        </w:tc>
      </w:tr>
      <w:tr>
        <w:trPr>
          <w:trHeight w:val="225" w:hRule="atLeast"/>
        </w:trPr>
        <w:tc>
          <w:tcPr>
            <w:tcW w:w="6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adjusted gross estate =</w:t>
            </w:r>
          </w:p>
        </w:tc>
        <w:tc>
          <w:tcPr>
            <w:tcW w:w="3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$900,000</w:t>
            </w:r>
          </w:p>
        </w:tc>
      </w:tr>
      <w:tr>
        <w:trPr>
          <w:trHeight w:val="210" w:hRule="atLeast"/>
        </w:trPr>
        <w:tc>
          <w:tcPr>
            <w:tcW w:w="6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tax computation:</w:t>
            </w:r>
          </w:p>
        </w:tc>
        <w:tc>
          <w:tcPr>
            <w:tcW w:w="3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2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gross federal estate tax =</w:t>
            </w:r>
          </w:p>
        </w:tc>
        <w:tc>
          <w:tcPr>
            <w:tcW w:w="3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306,800</w:t>
            </w:r>
          </w:p>
        </w:tc>
      </w:tr>
      <w:tr>
        <w:trPr>
          <w:trHeight w:val="210" w:hRule="atLeast"/>
        </w:trPr>
        <w:tc>
          <w:tcPr>
            <w:tcW w:w="622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less 1997 unified credit</w:t>
            </w:r>
          </w:p>
        </w:tc>
        <w:tc>
          <w:tcPr>
            <w:tcW w:w="3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(192,800)</w:t>
            </w:r>
          </w:p>
        </w:tc>
      </w:tr>
      <w:tr>
        <w:trPr>
          <w:trHeight w:val="225" w:hRule="atLeast"/>
        </w:trPr>
        <w:tc>
          <w:tcPr>
            <w:tcW w:w="622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less credit for state death tax paid</w:t>
            </w:r>
          </w:p>
        </w:tc>
        <w:tc>
          <w:tcPr>
            <w:tcW w:w="3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(27,600)</w:t>
            </w:r>
          </w:p>
        </w:tc>
      </w:tr>
      <w:tr>
        <w:trPr>
          <w:trHeight w:val="225" w:hRule="atLeast"/>
        </w:trPr>
        <w:tc>
          <w:tcPr>
            <w:tcW w:w="6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federal estate tax due =</w:t>
            </w:r>
          </w:p>
        </w:tc>
        <w:tc>
          <w:tcPr>
            <w:tcW w:w="3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$86,400</w:t>
            </w:r>
          </w:p>
        </w:tc>
      </w:tr>
      <w:tr>
        <w:trPr>
          <w:trHeight w:val="210" w:hRule="atLeast"/>
        </w:trPr>
        <w:tc>
          <w:tcPr>
            <w:tcW w:w="6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 computation:</w:t>
            </w:r>
          </w:p>
        </w:tc>
        <w:tc>
          <w:tcPr>
            <w:tcW w:w="3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2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Inheritance tax on niece’s bequest</w:t>
            </w:r>
          </w:p>
        </w:tc>
        <w:tc>
          <w:tcPr>
            <w:tcW w:w="3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w:t>
            </w:r>
          </w:p>
        </w:tc>
      </w:tr>
      <w:tr>
        <w:trPr>
          <w:trHeight w:val="210" w:hRule="atLeast"/>
        </w:trPr>
        <w:tc>
          <w:tcPr>
            <w:tcW w:w="622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Iowa estate tax equals the federal credit for state death taxes paid</w:t>
            </w:r>
          </w:p>
        </w:tc>
        <w:tc>
          <w:tcPr>
            <w:tcW w:w="3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27,600</w:t>
            </w:r>
          </w:p>
        </w:tc>
      </w:tr>
      <w:tr>
        <w:trPr>
          <w:trHeight w:val="225" w:hRule="atLeast"/>
        </w:trPr>
        <w:tc>
          <w:tcPr>
            <w:tcW w:w="622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inheritance tax due</w:t>
            </w:r>
          </w:p>
        </w:tc>
        <w:tc>
          <w:tcPr>
            <w:tcW w:w="3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w:t>
            </w:r>
          </w:p>
        </w:tc>
      </w:tr>
      <w:tr>
        <w:trPr>
          <w:trHeight w:val="225" w:hRule="atLeast"/>
        </w:trPr>
        <w:tc>
          <w:tcPr>
            <w:tcW w:w="6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Estate tax due</w:t>
            </w:r>
          </w:p>
        </w:tc>
        <w:tc>
          <w:tcPr>
            <w:tcW w:w="3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26,600</w:t>
            </w:r>
          </w:p>
        </w:tc>
      </w:tr>
      <w:tr>
        <w:trPr>
          <w:trHeight w:val="210" w:hRule="atLeast"/>
        </w:trPr>
        <w:tc>
          <w:tcPr>
            <w:tcW w:w="6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Iowa tax due (1,000 + 26,600) =</w:t>
            </w:r>
          </w:p>
        </w:tc>
        <w:tc>
          <w:tcPr>
            <w:tcW w:w="3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$27,600</w:t>
            </w:r>
          </w:p>
        </w:tc>
      </w:tr>
    </w:tbl>
    <w:p>
      <w:pPr>
        <w:spacing w:before="0" w:after="0"/>
        <w:ind w:left="120"/>
        <w:jc w:val="both"/>
      </w:pPr>
      <w:r>
        <w:rPr>
          <w:rFonts w:ascii="Times New Roman" w:hAnsi="Times New Roman"/>
          <w:b w:val="false"/>
          <w:i w:val="false"/>
          <w:color w:val="000000"/>
          <w:sz w:val="22"/>
        </w:rPr>
        <w:t>All of the decedent’s assets have a situs in Iowa; therefore, the full amount of the credit allowable for state death taxes, less the Iowa inheritance tax, is the Iowa estate tax.</w:t>
      </w:r>
    </w:p>
    <w:p>
      <w:pPr>
        <w:spacing w:before="0" w:after="0"/>
        <w:ind w:left="120"/>
        <w:jc w:val="both"/>
      </w:pPr>
      <w:r>
        <w:rPr>
          <w:rFonts w:ascii="Times New Roman" w:hAnsi="Times New Roman"/>
          <w:b w:val="false"/>
          <w:i w:val="false"/>
          <w:color w:val="000000"/>
          <w:sz w:val="22"/>
        </w:rPr>
        <w:t xml:space="preserve">For simplicity in Example 2, the values used are the same for federal and state purposes and the debts and expenses are charged to the Iowa estate, even though under Iowa Code section </w:t>
      </w:r>
      <w:hyperlink r:id="rId26">
        <w:r>
          <w:rPr>
            <w:rStyle w:val="Hyperlink"/>
            <w:rFonts w:ascii="Times New Roman" w:hAnsi="Times New Roman"/>
            <w:b w:val="false"/>
            <w:i w:val="false"/>
            <w:color w:val="000000"/>
            <w:sz w:val="22"/>
          </w:rPr>
          <w:t>450.12</w:t>
        </w:r>
      </w:hyperlink>
      <w:r>
        <w:rPr>
          <w:rFonts w:ascii="Times New Roman" w:hAnsi="Times New Roman"/>
          <w:b w:val="false"/>
          <w:i w:val="false"/>
          <w:color w:val="000000"/>
          <w:sz w:val="22"/>
        </w:rPr>
        <w:t>, certain Minnesota expenses are not deductible in computing the Iowa inheritance tax. All liabilities, except mortgages, are prorated.</w:t>
      </w:r>
    </w:p>
    <w:p>
      <w:pPr>
        <w:spacing w:before="0" w:after="0"/>
        <w:ind w:left="120"/>
        <w:jc w:val="both"/>
      </w:pPr>
      <w:r>
        <w:rPr>
          <w:rFonts w:ascii="Times New Roman" w:hAnsi="Times New Roman"/>
          <w:b w:val="false"/>
          <w:i w:val="false"/>
          <w:color w:val="000000"/>
          <w:sz w:val="22"/>
        </w:rPr>
        <w:t>EXAMPLE 2.</w:t>
      </w:r>
    </w:p>
    <w:p>
      <w:pPr>
        <w:spacing w:before="0" w:after="0"/>
        <w:ind w:left="120"/>
        <w:jc w:val="both"/>
      </w:pPr>
      <w:r>
        <w:rPr>
          <w:rFonts w:ascii="Times New Roman" w:hAnsi="Times New Roman"/>
          <w:b w:val="false"/>
          <w:i w:val="false"/>
          <w:color w:val="000000"/>
          <w:sz w:val="22"/>
        </w:rPr>
        <w:t>Decedent dies July 3, 1997, a resident of Iowa, owning a vacation home in Minnesota. The estate was bequeathed in full to inheritance tax-exempt children, except for a $10,000 bequest to one niece.</w:t>
      </w:r>
    </w:p>
    <w:tbl>
      <w:tblPr>
        <w:tblW w:w="5000" w:type="pct"/>
        <w:tblCellSpacing w:w="0" w:type="auto"/>
        <w:tblBorders>
          <w:top w:val="none"/>
          <w:left w:val="none"/>
          <w:bottom w:val="none"/>
          <w:right w:val="none"/>
          <w:insideH w:val="none"/>
          <w:insideV w:val="none"/>
        </w:tblBorders>
        <w:tblLayout w:type="fixed"/>
      </w:tblPr>
      <w:tblGrid>
        <w:gridCol w:w="6000"/>
        <w:gridCol w:w="3296"/>
        <w:gridCol w:w="1893"/>
      </w:tblGrid>
      <w:tr>
        <w:trPr>
          <w:trHeight w:val="735" w:hRule="atLeast"/>
        </w:trPr>
        <w:tc>
          <w:tcPr>
            <w:tcW w:w="6000"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Total gross assets:</w:t>
            </w:r>
          </w:p>
          <w:p>
            <w:pPr>
              <w:spacing w:before="0" w:after="0"/>
              <w:ind w:left="160"/>
              <w:jc w:val="left"/>
            </w:pPr>
            <w:r>
              <w:rPr>
                <w:rFonts w:ascii="Times New Roman" w:hAnsi="Times New Roman"/>
                <w:b w:val="false"/>
                <w:i w:val="false"/>
                <w:color w:val="000000"/>
                <w:sz w:val="16"/>
              </w:rPr>
              <w:t xml:space="preserve"> Iowa</w:t>
            </w:r>
          </w:p>
          <w:p>
            <w:pPr>
              <w:spacing w:before="0" w:after="0"/>
              <w:ind w:left="160"/>
              <w:jc w:val="left"/>
            </w:pPr>
            <w:r>
              <w:rPr>
                <w:rFonts w:ascii="Times New Roman" w:hAnsi="Times New Roman"/>
                <w:b w:val="false"/>
                <w:i w:val="false"/>
                <w:color w:val="000000"/>
                <w:sz w:val="16"/>
              </w:rPr>
              <w:t xml:space="preserve"> Minnesota</w:t>
            </w:r>
          </w:p>
        </w:tc>
        <w:tc>
          <w:tcPr>
            <w:tcW w:w="32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bottom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$950,000</w:t>
            </w:r>
          </w:p>
          <w:p>
            <w:pPr>
              <w:spacing w:before="0" w:after="0"/>
              <w:ind w:left="160"/>
              <w:jc w:val="right"/>
            </w:pPr>
            <w:r>
              <w:rPr>
                <w:rFonts w:ascii="Times New Roman" w:hAnsi="Times New Roman"/>
                <w:b w:val="false"/>
                <w:i w:val="false"/>
                <w:color w:val="000000"/>
                <w:sz w:val="16"/>
              </w:rPr>
              <w:t>250,000</w:t>
            </w:r>
          </w:p>
        </w:tc>
      </w:tr>
      <w:tr>
        <w:trPr>
          <w:trHeight w:val="225" w:hRule="atLeast"/>
        </w:trPr>
        <w:tc>
          <w:tcPr>
            <w:tcW w:w="600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Total</w:t>
            </w:r>
          </w:p>
        </w:tc>
        <w:tc>
          <w:tcPr>
            <w:tcW w:w="32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1,200,000</w:t>
            </w:r>
          </w:p>
        </w:tc>
      </w:tr>
      <w:tr>
        <w:trPr>
          <w:trHeight w:val="225" w:hRule="atLeast"/>
        </w:trPr>
        <w:tc>
          <w:tcPr>
            <w:tcW w:w="600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Less debts and expenses (except for federal estate taxes)</w:t>
            </w:r>
          </w:p>
        </w:tc>
        <w:tc>
          <w:tcPr>
            <w:tcW w:w="32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(300,000)</w:t>
            </w:r>
          </w:p>
        </w:tc>
      </w:tr>
      <w:tr>
        <w:trPr>
          <w:trHeight w:val="225" w:hRule="atLeast"/>
        </w:trPr>
        <w:tc>
          <w:tcPr>
            <w:tcW w:w="600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Federal adjusted gross estate =</w:t>
            </w:r>
          </w:p>
        </w:tc>
        <w:tc>
          <w:tcPr>
            <w:tcW w:w="32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900,000</w:t>
            </w:r>
          </w:p>
        </w:tc>
      </w:tr>
      <w:tr>
        <w:trPr>
          <w:trHeight w:val="390" w:hRule="atLeast"/>
        </w:trPr>
        <w:tc>
          <w:tcPr>
            <w:tcW w:w="6000"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Federal tax computation:</w:t>
            </w:r>
          </w:p>
          <w:p>
            <w:pPr>
              <w:spacing w:before="0" w:after="0"/>
              <w:ind w:left="160"/>
              <w:jc w:val="left"/>
            </w:pPr>
            <w:r>
              <w:rPr>
                <w:rFonts w:ascii="Times New Roman" w:hAnsi="Times New Roman"/>
                <w:b w:val="false"/>
                <w:i w:val="false"/>
                <w:color w:val="000000"/>
                <w:sz w:val="16"/>
              </w:rPr>
              <w:t xml:space="preserve"> gross federal estate tax =</w:t>
            </w:r>
          </w:p>
        </w:tc>
        <w:tc>
          <w:tcPr>
            <w:tcW w:w="32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306,800</w:t>
            </w:r>
          </w:p>
        </w:tc>
      </w:tr>
      <w:tr>
        <w:trPr>
          <w:trHeight w:val="210" w:hRule="atLeast"/>
        </w:trPr>
        <w:tc>
          <w:tcPr>
            <w:tcW w:w="6000"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 xml:space="preserve"> less 1997 unified credit</w:t>
            </w:r>
          </w:p>
        </w:tc>
        <w:tc>
          <w:tcPr>
            <w:tcW w:w="32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(192,800)</w:t>
            </w:r>
          </w:p>
        </w:tc>
      </w:tr>
      <w:tr>
        <w:trPr>
          <w:trHeight w:val="225" w:hRule="atLeast"/>
        </w:trPr>
        <w:tc>
          <w:tcPr>
            <w:tcW w:w="6000"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 xml:space="preserve"> less credit for state death tax paid</w:t>
            </w:r>
          </w:p>
        </w:tc>
        <w:tc>
          <w:tcPr>
            <w:tcW w:w="32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(27,600)</w:t>
            </w:r>
          </w:p>
        </w:tc>
      </w:tr>
      <w:tr>
        <w:trPr>
          <w:trHeight w:val="225" w:hRule="atLeast"/>
        </w:trPr>
        <w:tc>
          <w:tcPr>
            <w:tcW w:w="600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Net federal estate tax due =</w:t>
            </w:r>
          </w:p>
        </w:tc>
        <w:tc>
          <w:tcPr>
            <w:tcW w:w="32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86,400</w:t>
            </w:r>
          </w:p>
        </w:tc>
      </w:tr>
      <w:tr>
        <w:trPr>
          <w:trHeight w:val="210" w:hRule="atLeast"/>
        </w:trPr>
        <w:tc>
          <w:tcPr>
            <w:tcW w:w="600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Iowa tax computation:</w:t>
            </w:r>
          </w:p>
        </w:tc>
        <w:tc>
          <w:tcPr>
            <w:tcW w:w="32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30" w:hRule="atLeast"/>
        </w:trPr>
        <w:tc>
          <w:tcPr>
            <w:tcW w:w="6000"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 xml:space="preserve"> Inheritance tax on niece’s bequest</w:t>
            </w:r>
          </w:p>
          <w:p>
            <w:pPr>
              <w:spacing w:before="0" w:after="0"/>
              <w:ind w:left="160"/>
              <w:jc w:val="left"/>
            </w:pPr>
            <w:r>
              <w:rPr>
                <w:rFonts w:ascii="Times New Roman" w:hAnsi="Times New Roman"/>
                <w:b w:val="false"/>
                <w:i w:val="false"/>
                <w:color w:val="000000"/>
                <w:sz w:val="16"/>
              </w:rPr>
              <w:t xml:space="preserve"> Iowa estate tax</w:t>
            </w:r>
          </w:p>
          <w:p>
            <w:pPr>
              <w:spacing w:before="0" w:after="0"/>
              <w:ind w:left="160"/>
              <w:jc w:val="left"/>
            </w:pPr>
            <w:r>
              <w:rPr>
                <w:rFonts w:ascii="Times New Roman" w:hAnsi="Times New Roman"/>
                <w:b w:val="false"/>
                <w:i w:val="false"/>
                <w:color w:val="000000"/>
                <w:sz w:val="16"/>
              </w:rPr>
              <w:t xml:space="preserve"> Proration:</w:t>
            </w:r>
          </w:p>
          <w:p>
            <w:pPr>
              <w:spacing w:before="0" w:after="0"/>
              <w:ind w:left="160"/>
              <w:jc w:val="left"/>
            </w:pPr>
            <w:r>
              <w:rPr>
                <w:rFonts w:ascii="Times New Roman" w:hAnsi="Times New Roman"/>
                <w:b w:val="false"/>
                <w:i w:val="false"/>
                <w:color w:val="000000"/>
                <w:sz w:val="16"/>
              </w:rPr>
              <w:t xml:space="preserve"> Iowa $950,000</w:t>
            </w:r>
          </w:p>
          <w:p>
            <w:pPr>
              <w:spacing w:before="0" w:after="0"/>
              <w:ind w:left="160"/>
              <w:jc w:val="left"/>
            </w:pPr>
            <w:r>
              <w:rPr>
                <w:rFonts w:ascii="Times New Roman" w:hAnsi="Times New Roman"/>
                <w:b w:val="false"/>
                <w:i w:val="false"/>
                <w:color w:val="000000"/>
                <w:sz w:val="16"/>
              </w:rPr>
              <w:t xml:space="preserve"> Total $1,200,000 = 79.17%</w:t>
            </w:r>
          </w:p>
        </w:tc>
        <w:tc>
          <w:tcPr>
            <w:tcW w:w="32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1,000</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r>
      <w:tr>
        <w:trPr>
          <w:trHeight w:val="390" w:hRule="atLeast"/>
        </w:trPr>
        <w:tc>
          <w:tcPr>
            <w:tcW w:w="6000"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Iowa portion of federal credit for state death taxes paid:</w:t>
            </w:r>
          </w:p>
          <w:p>
            <w:pPr>
              <w:spacing w:before="0" w:after="0"/>
              <w:ind w:left="160"/>
              <w:jc w:val="left"/>
            </w:pPr>
            <w:r>
              <w:rPr>
                <w:rFonts w:ascii="Times New Roman" w:hAnsi="Times New Roman"/>
                <w:b w:val="false"/>
                <w:i w:val="false"/>
                <w:color w:val="000000"/>
                <w:sz w:val="16"/>
              </w:rPr>
              <w:t xml:space="preserve"> $27,600 × 79.17% =</w:t>
            </w:r>
          </w:p>
        </w:tc>
        <w:tc>
          <w:tcPr>
            <w:tcW w:w="32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$21,850.92</w:t>
            </w:r>
          </w:p>
        </w:tc>
      </w:tr>
      <w:tr>
        <w:trPr>
          <w:trHeight w:val="225" w:hRule="atLeast"/>
        </w:trPr>
        <w:tc>
          <w:tcPr>
            <w:tcW w:w="600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Less inheritance tax due </w:t>
            </w:r>
          </w:p>
        </w:tc>
        <w:tc>
          <w:tcPr>
            <w:tcW w:w="32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($1,000.00)</w:t>
            </w:r>
          </w:p>
        </w:tc>
      </w:tr>
      <w:tr>
        <w:trPr>
          <w:trHeight w:val="225" w:hRule="atLeast"/>
        </w:trPr>
        <w:tc>
          <w:tcPr>
            <w:tcW w:w="600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Iowa estate tax =</w:t>
            </w:r>
          </w:p>
        </w:tc>
        <w:tc>
          <w:tcPr>
            <w:tcW w:w="32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$20,850.92</w:t>
            </w:r>
          </w:p>
        </w:tc>
      </w:tr>
      <w:tr>
        <w:trPr>
          <w:trHeight w:val="210" w:hRule="atLeast"/>
        </w:trPr>
        <w:tc>
          <w:tcPr>
            <w:tcW w:w="600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Total Iowa tax due (1,000 + 20,850.92) =</w:t>
            </w:r>
          </w:p>
        </w:tc>
        <w:tc>
          <w:tcPr>
            <w:tcW w:w="32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$21,850.92</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Nonresident decedent. </w:t>
      </w:r>
      <w:r>
        <w:rPr>
          <w:rFonts w:ascii="Times New Roman" w:hAnsi="Times New Roman"/>
          <w:b w:val="false"/>
          <w:i w:val="false"/>
          <w:color w:val="000000"/>
          <w:sz w:val="22"/>
        </w:rPr>
        <w:t xml:space="preserve">If the gross estate of a nonresident decedent includes property with a situs in the state of Iowa, the tax imposed is the maximum amount of the federal credit for state death taxes allowable prorated on the basis the Iowa situs property in the gross estate bears to the total gross estate. For simplicity in the following two examples, it is assumed the values are the same for federal and state purposes and the debts, expenses and federal estate tax are prorated between Iowa and Arizona even though certain liabilities are not prorated under Iowa Code section </w:t>
      </w:r>
      <w:hyperlink r:id="rId27">
        <w:r>
          <w:rPr>
            <w:rStyle w:val="Hyperlink"/>
            <w:rFonts w:ascii="Times New Roman" w:hAnsi="Times New Roman"/>
            <w:b w:val="false"/>
            <w:i w:val="false"/>
            <w:color w:val="000000"/>
            <w:sz w:val="22"/>
          </w:rPr>
          <w:t>450.12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 1.</w:t>
      </w:r>
    </w:p>
    <w:p>
      <w:pPr>
        <w:spacing w:before="0" w:after="0"/>
        <w:ind w:left="120"/>
        <w:jc w:val="both"/>
      </w:pPr>
      <w:r>
        <w:rPr>
          <w:rFonts w:ascii="Times New Roman" w:hAnsi="Times New Roman"/>
          <w:b w:val="false"/>
          <w:i w:val="false"/>
          <w:color w:val="000000"/>
          <w:sz w:val="22"/>
        </w:rPr>
        <w:t>Decedent died a resident of Arizona on July 3, 1997. The estate was bequeathed in full to tax-exempt children.</w:t>
      </w:r>
    </w:p>
    <w:tbl>
      <w:tblPr>
        <w:tblW w:w="5000" w:type="pct"/>
        <w:tblCellSpacing w:w="0" w:type="auto"/>
        <w:tblBorders>
          <w:top w:val="none"/>
          <w:left w:val="none"/>
          <w:bottom w:val="none"/>
          <w:right w:val="none"/>
          <w:insideH w:val="none"/>
          <w:insideV w:val="none"/>
        </w:tblBorders>
        <w:tblLayout w:type="fixed"/>
      </w:tblPr>
      <w:tblGrid>
        <w:gridCol w:w="6131"/>
        <w:gridCol w:w="3221"/>
        <w:gridCol w:w="1838"/>
      </w:tblGrid>
      <w:tr>
        <w:trPr>
          <w:trHeight w:val="570" w:hRule="atLeast"/>
        </w:trPr>
        <w:tc>
          <w:tcPr>
            <w:tcW w:w="613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 gross estate:</w:t>
            </w:r>
          </w:p>
          <w:p>
            <w:pPr>
              <w:spacing w:before="0" w:after="0"/>
              <w:ind w:left="160"/>
              <w:jc w:val="left"/>
            </w:pPr>
            <w:r>
              <w:rPr>
                <w:rFonts w:ascii="Times New Roman" w:hAnsi="Times New Roman"/>
                <w:b w:val="false"/>
                <w:i w:val="false"/>
                <w:color w:val="000000"/>
                <w:sz w:val="16"/>
              </w:rPr>
              <w:t xml:space="preserve"> Iowa real estate </w:t>
            </w:r>
          </w:p>
          <w:p>
            <w:pPr>
              <w:spacing w:before="0" w:after="0"/>
              <w:ind w:left="160"/>
              <w:jc w:val="left"/>
            </w:pPr>
            <w:r>
              <w:rPr>
                <w:rFonts w:ascii="Times New Roman" w:hAnsi="Times New Roman"/>
                <w:b w:val="false"/>
                <w:i w:val="false"/>
                <w:color w:val="000000"/>
                <w:sz w:val="16"/>
              </w:rPr>
              <w:t xml:space="preserve"> Other property</w:t>
            </w:r>
          </w:p>
        </w:tc>
        <w:tc>
          <w:tcPr>
            <w:tcW w:w="3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$750,000</w:t>
            </w:r>
          </w:p>
          <w:p>
            <w:pPr>
              <w:spacing w:before="0" w:after="0"/>
              <w:ind w:left="160"/>
              <w:jc w:val="right"/>
            </w:pPr>
            <w:r>
              <w:rPr>
                <w:rFonts w:ascii="Times New Roman" w:hAnsi="Times New Roman"/>
                <w:b w:val="false"/>
                <w:i w:val="false"/>
                <w:color w:val="000000"/>
                <w:sz w:val="16"/>
              </w:rPr>
              <w:t>450,000</w:t>
            </w:r>
          </w:p>
        </w:tc>
      </w:tr>
      <w:tr>
        <w:trPr>
          <w:trHeight w:val="405" w:hRule="atLeast"/>
        </w:trPr>
        <w:tc>
          <w:tcPr>
            <w:tcW w:w="613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 gross estate:</w:t>
            </w:r>
          </w:p>
          <w:p>
            <w:pPr>
              <w:spacing w:before="0" w:after="0"/>
              <w:ind w:left="160"/>
              <w:jc w:val="left"/>
            </w:pPr>
            <w:r>
              <w:rPr>
                <w:rFonts w:ascii="Times New Roman" w:hAnsi="Times New Roman"/>
                <w:b w:val="false"/>
                <w:i w:val="false"/>
                <w:color w:val="000000"/>
                <w:sz w:val="16"/>
              </w:rPr>
              <w:t>Less debts and expenses (except federal estate tax)</w:t>
            </w:r>
          </w:p>
        </w:tc>
        <w:tc>
          <w:tcPr>
            <w:tcW w:w="3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1,200,000</w:t>
            </w:r>
          </w:p>
          <w:p>
            <w:pPr>
              <w:spacing w:before="0" w:after="0"/>
              <w:ind w:left="160"/>
              <w:jc w:val="right"/>
            </w:pPr>
            <w:r>
              <w:rPr>
                <w:rFonts w:ascii="Times New Roman" w:hAnsi="Times New Roman"/>
                <w:b w:val="false"/>
                <w:i w:val="false"/>
                <w:color w:val="000000"/>
                <w:sz w:val="16"/>
              </w:rPr>
              <w:t>(300,000)</w:t>
            </w:r>
          </w:p>
        </w:tc>
      </w:tr>
      <w:tr>
        <w:trPr>
          <w:trHeight w:val="225" w:hRule="atLeast"/>
        </w:trPr>
        <w:tc>
          <w:tcPr>
            <w:tcW w:w="61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adjusted gross estate =</w:t>
            </w:r>
          </w:p>
        </w:tc>
        <w:tc>
          <w:tcPr>
            <w:tcW w:w="3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900,000</w:t>
            </w:r>
          </w:p>
        </w:tc>
      </w:tr>
      <w:tr>
        <w:trPr>
          <w:trHeight w:val="750" w:hRule="atLeast"/>
        </w:trPr>
        <w:tc>
          <w:tcPr>
            <w:tcW w:w="613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tax computation:</w:t>
            </w:r>
          </w:p>
          <w:p>
            <w:pPr>
              <w:spacing w:before="0" w:after="0"/>
              <w:ind w:left="160"/>
              <w:jc w:val="left"/>
            </w:pPr>
            <w:r>
              <w:rPr>
                <w:rFonts w:ascii="Times New Roman" w:hAnsi="Times New Roman"/>
                <w:b w:val="false"/>
                <w:i w:val="false"/>
                <w:color w:val="000000"/>
                <w:sz w:val="16"/>
              </w:rPr>
              <w:t xml:space="preserve"> Gross federal estate tax =</w:t>
            </w:r>
          </w:p>
          <w:p>
            <w:pPr>
              <w:spacing w:before="0" w:after="0"/>
              <w:ind w:left="160"/>
              <w:jc w:val="left"/>
            </w:pPr>
            <w:r>
              <w:rPr>
                <w:rFonts w:ascii="Times New Roman" w:hAnsi="Times New Roman"/>
                <w:b w:val="false"/>
                <w:i w:val="false"/>
                <w:color w:val="000000"/>
                <w:sz w:val="16"/>
              </w:rPr>
              <w:t xml:space="preserve"> Less 1997 unified credit</w:t>
            </w:r>
          </w:p>
          <w:p>
            <w:pPr>
              <w:spacing w:before="0" w:after="0"/>
              <w:ind w:left="160"/>
              <w:jc w:val="left"/>
            </w:pPr>
            <w:r>
              <w:rPr>
                <w:rFonts w:ascii="Times New Roman" w:hAnsi="Times New Roman"/>
                <w:b w:val="false"/>
                <w:i w:val="false"/>
                <w:color w:val="000000"/>
                <w:sz w:val="16"/>
              </w:rPr>
              <w:t xml:space="preserve"> Less credit for state death tax paid</w:t>
            </w:r>
          </w:p>
        </w:tc>
        <w:tc>
          <w:tcPr>
            <w:tcW w:w="3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306,800</w:t>
            </w:r>
          </w:p>
          <w:p>
            <w:pPr>
              <w:spacing w:before="0" w:after="0"/>
              <w:ind w:left="160"/>
              <w:jc w:val="right"/>
            </w:pPr>
            <w:r>
              <w:rPr>
                <w:rFonts w:ascii="Times New Roman" w:hAnsi="Times New Roman"/>
                <w:b w:val="false"/>
                <w:i w:val="false"/>
                <w:color w:val="000000"/>
                <w:sz w:val="16"/>
              </w:rPr>
              <w:t>(192,800)</w:t>
            </w:r>
          </w:p>
          <w:p>
            <w:pPr>
              <w:spacing w:before="0" w:after="0"/>
              <w:ind w:left="160"/>
              <w:jc w:val="right"/>
            </w:pPr>
            <w:r>
              <w:rPr>
                <w:rFonts w:ascii="Times New Roman" w:hAnsi="Times New Roman"/>
                <w:b w:val="false"/>
                <w:i w:val="false"/>
                <w:color w:val="000000"/>
                <w:sz w:val="16"/>
              </w:rPr>
              <w:t>(27,600)</w:t>
            </w:r>
          </w:p>
        </w:tc>
      </w:tr>
      <w:tr>
        <w:trPr>
          <w:trHeight w:val="225" w:hRule="atLeast"/>
        </w:trPr>
        <w:tc>
          <w:tcPr>
            <w:tcW w:w="61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federal estate tax due =</w:t>
            </w:r>
          </w:p>
        </w:tc>
        <w:tc>
          <w:tcPr>
            <w:tcW w:w="3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86,400</w:t>
            </w:r>
          </w:p>
        </w:tc>
      </w:tr>
      <w:tr>
        <w:trPr>
          <w:trHeight w:val="930" w:hRule="atLeast"/>
        </w:trPr>
        <w:tc>
          <w:tcPr>
            <w:tcW w:w="613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estate tax computation:</w:t>
            </w:r>
          </w:p>
          <w:p>
            <w:pPr>
              <w:spacing w:before="0" w:after="0"/>
              <w:ind w:left="160"/>
              <w:jc w:val="left"/>
            </w:pPr>
            <w:r>
              <w:rPr>
                <w:rFonts w:ascii="Times New Roman" w:hAnsi="Times New Roman"/>
                <w:b w:val="false"/>
                <w:i w:val="false"/>
                <w:color w:val="000000"/>
                <w:sz w:val="16"/>
              </w:rPr>
              <w:t xml:space="preserve"> Inheritance tax =</w:t>
            </w:r>
          </w:p>
          <w:p>
            <w:pPr>
              <w:spacing w:before="0" w:after="0"/>
              <w:ind w:left="160"/>
              <w:jc w:val="left"/>
            </w:pPr>
            <w:r>
              <w:rPr>
                <w:rFonts w:ascii="Times New Roman" w:hAnsi="Times New Roman"/>
                <w:b w:val="false"/>
                <w:i w:val="false"/>
                <w:color w:val="000000"/>
                <w:sz w:val="16"/>
              </w:rPr>
              <w:t>Iowa estate tax proration:</w:t>
            </w:r>
          </w:p>
          <w:p>
            <w:pPr>
              <w:spacing w:before="0" w:after="0"/>
              <w:ind w:left="160"/>
              <w:jc w:val="left"/>
            </w:pPr>
            <w:r>
              <w:rPr>
                <w:rFonts w:ascii="Times New Roman" w:hAnsi="Times New Roman"/>
                <w:b w:val="false"/>
                <w:i w:val="false"/>
                <w:color w:val="000000"/>
                <w:sz w:val="16"/>
              </w:rPr>
              <w:t xml:space="preserve"> Iowa gross $750,000</w:t>
            </w:r>
          </w:p>
          <w:p>
            <w:pPr>
              <w:spacing w:before="0" w:after="0"/>
              <w:ind w:left="160"/>
              <w:jc w:val="left"/>
            </w:pPr>
            <w:r>
              <w:rPr>
                <w:rFonts w:ascii="Times New Roman" w:hAnsi="Times New Roman"/>
                <w:b w:val="false"/>
                <w:i w:val="false"/>
                <w:color w:val="000000"/>
                <w:sz w:val="16"/>
              </w:rPr>
              <w:t xml:space="preserve"> Total gross $1,200,000 = 62.50%</w:t>
            </w:r>
          </w:p>
        </w:tc>
        <w:tc>
          <w:tcPr>
            <w:tcW w:w="3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-0-</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portion of federal credit for state death tax paid: 27,600 × 62.50%</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1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estate tax = </w:t>
            </w:r>
          </w:p>
        </w:tc>
        <w:tc>
          <w:tcPr>
            <w:tcW w:w="32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$17,250</w:t>
            </w:r>
          </w:p>
        </w:tc>
      </w:tr>
    </w:tbl>
    <w:p>
      <w:pPr>
        <w:spacing w:before="0" w:after="0"/>
        <w:ind w:left="120"/>
        <w:jc w:val="both"/>
      </w:pPr>
      <w:r>
        <w:rPr>
          <w:rFonts w:ascii="Times New Roman" w:hAnsi="Times New Roman"/>
          <w:b w:val="false"/>
          <w:i w:val="false"/>
          <w:color w:val="000000"/>
          <w:sz w:val="22"/>
        </w:rPr>
        <w:t>EXAMPLE 2.</w:t>
      </w:r>
    </w:p>
    <w:p>
      <w:pPr>
        <w:spacing w:before="0" w:after="0"/>
        <w:ind w:left="120"/>
        <w:jc w:val="both"/>
      </w:pPr>
      <w:r>
        <w:rPr>
          <w:rFonts w:ascii="Times New Roman" w:hAnsi="Times New Roman"/>
          <w:b w:val="false"/>
          <w:i w:val="false"/>
          <w:color w:val="000000"/>
          <w:sz w:val="22"/>
        </w:rPr>
        <w:t>Decedent died a resident of Arizona on July 3, 1997, with the same property as set forth in Example 1. The estate consisted of four separate $100,000 bequests to non-exempt individuals with the rest of the estate going to charity.</w:t>
      </w:r>
    </w:p>
    <w:tbl>
      <w:tblPr>
        <w:tblW w:w="5000" w:type="pct"/>
        <w:tblCellSpacing w:w="0" w:type="auto"/>
        <w:tblBorders>
          <w:top w:val="none"/>
          <w:left w:val="none"/>
          <w:bottom w:val="none"/>
          <w:right w:val="none"/>
          <w:insideH w:val="none"/>
          <w:insideV w:val="none"/>
        </w:tblBorders>
        <w:tblLayout w:type="fixed"/>
      </w:tblPr>
      <w:tblGrid>
        <w:gridCol w:w="6129"/>
        <w:gridCol w:w="2531"/>
        <w:gridCol w:w="2530"/>
      </w:tblGrid>
      <w:tr>
        <w:trPr>
          <w:trHeight w:val="1020" w:hRule="atLeast"/>
        </w:trPr>
        <w:tc>
          <w:tcPr>
            <w:tcW w:w="612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Iowa portion of each bequest: $100,000 × 62.50% = </w:t>
            </w:r>
          </w:p>
          <w:p>
            <w:pPr>
              <w:spacing w:before="0" w:after="0"/>
              <w:ind w:left="160"/>
              <w:jc w:val="left"/>
            </w:pPr>
            <w:r>
              <w:rPr>
                <w:rFonts w:ascii="Times New Roman" w:hAnsi="Times New Roman"/>
                <w:b w:val="false"/>
                <w:i w:val="false"/>
                <w:color w:val="000000"/>
                <w:sz w:val="16"/>
              </w:rPr>
              <w:t>Tax on each bequest =</w:t>
            </w:r>
          </w:p>
          <w:p>
            <w:pPr>
              <w:spacing w:before="0" w:after="0"/>
              <w:ind w:left="160"/>
              <w:jc w:val="left"/>
            </w:pPr>
            <w:r>
              <w:rPr>
                <w:rFonts w:ascii="Times New Roman" w:hAnsi="Times New Roman"/>
                <w:b w:val="false"/>
                <w:i w:val="false"/>
                <w:color w:val="000000"/>
                <w:sz w:val="16"/>
              </w:rPr>
              <w:t>Total Iowa inheritance tax due: $6,500 × 4 =</w:t>
            </w:r>
          </w:p>
          <w:p>
            <w:pPr>
              <w:spacing w:before="0" w:after="0"/>
              <w:ind w:left="160"/>
              <w:jc w:val="left"/>
            </w:pPr>
            <w:r>
              <w:rPr>
                <w:rFonts w:ascii="Times New Roman" w:hAnsi="Times New Roman"/>
                <w:b w:val="false"/>
                <w:i w:val="false"/>
                <w:color w:val="000000"/>
                <w:sz w:val="16"/>
              </w:rPr>
              <w:t>Total estate tax due</w:t>
            </w:r>
          </w:p>
          <w:p>
            <w:pPr>
              <w:spacing w:before="0" w:after="0"/>
              <w:ind w:left="160"/>
              <w:jc w:val="left"/>
            </w:pPr>
            <w:r>
              <w:rPr>
                <w:rFonts w:ascii="Times New Roman" w:hAnsi="Times New Roman"/>
                <w:b w:val="false"/>
                <w:i w:val="false"/>
                <w:color w:val="000000"/>
                <w:sz w:val="16"/>
              </w:rPr>
              <w:t>Iowa tax due =</w:t>
            </w:r>
          </w:p>
        </w:tc>
        <w:tc>
          <w:tcPr>
            <w:tcW w:w="2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$62,500</w:t>
            </w:r>
          </w:p>
          <w:p>
            <w:pPr>
              <w:spacing w:before="0" w:after="0"/>
              <w:ind w:left="160"/>
              <w:jc w:val="right"/>
            </w:pPr>
            <w:r>
              <w:rPr>
                <w:rFonts w:ascii="Times New Roman" w:hAnsi="Times New Roman"/>
                <w:b w:val="false"/>
                <w:i w:val="false"/>
                <w:color w:val="000000"/>
                <w:sz w:val="16"/>
              </w:rPr>
              <w:t>$6,500</w:t>
            </w:r>
          </w:p>
          <w:p>
            <w:pPr>
              <w:spacing w:before="0" w:after="0"/>
              <w:ind w:left="160"/>
              <w:jc w:val="right"/>
            </w:pPr>
            <w:r>
              <w:rPr>
                <w:rFonts w:ascii="Times New Roman" w:hAnsi="Times New Roman"/>
                <w:b w:val="false"/>
                <w:i w:val="false"/>
                <w:color w:val="000000"/>
                <w:sz w:val="16"/>
              </w:rPr>
              <w:t>$26,000</w:t>
            </w:r>
          </w:p>
          <w:p>
            <w:pPr>
              <w:spacing w:before="0" w:after="0"/>
              <w:ind w:left="160"/>
              <w:jc w:val="right"/>
            </w:pPr>
            <w:r>
              <w:rPr>
                <w:rFonts w:ascii="Times New Roman" w:hAnsi="Times New Roman"/>
                <w:b w:val="false"/>
                <w:i w:val="false"/>
                <w:color w:val="000000"/>
                <w:sz w:val="16"/>
              </w:rPr>
              <w:t>-0-</w:t>
            </w:r>
          </w:p>
          <w:p>
            <w:pPr>
              <w:spacing w:before="0" w:after="0"/>
              <w:ind w:left="160"/>
              <w:jc w:val="right"/>
            </w:pPr>
            <w:r>
              <w:rPr>
                <w:rFonts w:ascii="Times New Roman" w:hAnsi="Times New Roman"/>
                <w:b w:val="false"/>
                <w:i w:val="false"/>
                <w:color w:val="000000"/>
                <w:sz w:val="16"/>
              </w:rPr>
              <w:t>$26,000</w:t>
            </w:r>
          </w:p>
        </w:tc>
      </w:tr>
    </w:tbl>
    <w:p>
      <w:pPr>
        <w:spacing w:before="0" w:after="0"/>
        <w:ind w:left="120"/>
        <w:jc w:val="both"/>
      </w:pPr>
      <w:r>
        <w:rPr>
          <w:rFonts w:ascii="Times New Roman" w:hAnsi="Times New Roman"/>
          <w:b w:val="false"/>
          <w:i w:val="false"/>
          <w:color w:val="000000"/>
          <w:sz w:val="22"/>
        </w:rPr>
        <w:t>The Iowa real property is part of the residual estate from which bequests are paid. See Estate of Dennis M. Billingsley, Emmet County District Court, Case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13394 (July 15, 1982).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901.3(6)</w:t>
      </w:r>
      <w:r>
        <w:rPr>
          <w:rFonts w:ascii="Times New Roman" w:hAnsi="Times New Roman"/>
          <w:b w:val="false"/>
          <w:i w:val="false"/>
          <w:color w:val="000000"/>
          <w:sz w:val="22"/>
        </w:rPr>
        <w:t> </w:t>
      </w:r>
      <w:r>
        <w:rPr>
          <w:rFonts w:ascii="Times New Roman" w:hAnsi="Times New Roman"/>
          <w:b w:val="false"/>
          <w:i/>
          <w:color w:val="000000"/>
          <w:sz w:val="22"/>
        </w:rPr>
        <w:t xml:space="preserve">Value to use. </w:t>
      </w:r>
      <w:r>
        <w:rPr>
          <w:rFonts w:ascii="Times New Roman" w:hAnsi="Times New Roman"/>
          <w:b w:val="false"/>
          <w:i w:val="false"/>
          <w:color w:val="000000"/>
          <w:sz w:val="22"/>
        </w:rPr>
        <w:t>For the purpose of computing the amount of the tax imposed in both resident and nonresident estates, the value of the property in the gross estate as determined for federal estate tax purposes, and not the value for state inheritance tax, or other state succession taxes, shall be the value on which the tax is computed.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901.3(7)</w:t>
      </w:r>
      <w:r>
        <w:rPr>
          <w:rFonts w:ascii="Times New Roman" w:hAnsi="Times New Roman"/>
          <w:b w:val="false"/>
          <w:i w:val="false"/>
          <w:color w:val="000000"/>
          <w:sz w:val="22"/>
        </w:rPr>
        <w:t> </w:t>
      </w:r>
      <w:r>
        <w:rPr>
          <w:rFonts w:ascii="Times New Roman" w:hAnsi="Times New Roman"/>
          <w:b w:val="false"/>
          <w:i/>
          <w:color w:val="000000"/>
          <w:sz w:val="22"/>
        </w:rPr>
        <w:t xml:space="preserve">Return and payment due date. </w:t>
      </w:r>
      <w:r>
        <w:rPr>
          <w:rFonts w:ascii="Times New Roman" w:hAnsi="Times New Roman"/>
          <w:b w:val="false"/>
          <w:i w:val="false"/>
          <w:color w:val="000000"/>
          <w:sz w:val="22"/>
        </w:rPr>
        <w:t xml:space="preserve">For estates of decedents dying prior to July 1, 1986, the return shall be filed with the department and the tax due paid within 12 months after the decedent’s death, unless an extension of time has been granted by the department, in which case the return shall be filed and the tax paid within the time prescribed by the extension of time. For estates of decedents dying on or after July 1, 1986, the return must be filed and the tax due paid on or before the last day of the ninth month after the death of the decedent, unless an extension of time has been granted, in which case the return must be filed and the tax due paid within the time prescribed by the extension of time. </w:t>
      </w:r>
      <w:hyperlink r:id="rId28">
        <w:r>
          <w:rPr>
            <w:rStyle w:val="Hyperlink"/>
            <w:rFonts w:ascii="Times New Roman" w:hAnsi="Times New Roman"/>
            <w:b w:val="false"/>
            <w:i w:val="false"/>
            <w:color w:val="000000"/>
            <w:sz w:val="22"/>
          </w:rPr>
          <w:t>701—paragraph 900.2(6)</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Iowa Code section </w:t>
      </w:r>
      <w:hyperlink r:id="rId29">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contain additional information on the due date when the last day of the ninth month following death falls on a Saturday, Sunday, or holiday.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901.3(8)</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w:t>
      </w:r>
      <w:r>
        <w:rPr>
          <w:rFonts w:ascii="Times New Roman" w:hAnsi="Times New Roman"/>
          <w:b w:val="false"/>
          <w:i w:val="false"/>
          <w:color w:val="000000"/>
          <w:sz w:val="22"/>
        </w:rPr>
        <w:t xml:space="preserve">The extension of time form for inheritance tax provided for in </w:t>
      </w:r>
      <w:hyperlink r:id="rId30">
        <w:r>
          <w:rPr>
            <w:rStyle w:val="Hyperlink"/>
            <w:rFonts w:ascii="Times New Roman" w:hAnsi="Times New Roman"/>
            <w:b w:val="false"/>
            <w:i w:val="false"/>
            <w:color w:val="000000"/>
            <w:sz w:val="22"/>
          </w:rPr>
          <w:t>701—subrule 900.2(9)</w:t>
        </w:r>
      </w:hyperlink>
      <w:r>
        <w:rPr>
          <w:rFonts w:ascii="Times New Roman" w:hAnsi="Times New Roman"/>
          <w:b w:val="false"/>
          <w:i w:val="false"/>
          <w:color w:val="000000"/>
          <w:sz w:val="22"/>
        </w:rPr>
        <w:t xml:space="preserve"> shall be the extension of time form for the Iowa estate tax. If an extension of time based on hardship is requested, evidence of such hardship is to be provided with the filing of the extension request. Unless the extension of time specifically states to the contrary, an extension of time to file the final inheritance tax return, and pay the tax due, shall also be an extension of time for the same period, to pay the Iowa estate tax. Provided, however, in no event shall the extension be for a period of time greater than the period of time allowed for claiming the credit for state death taxes paid under 26 U.S.C. Section 2011 of the Internal Revenue Code. Provided, further, if the federal estate tax liability is paid prior to the expiration of an extension of time to pay the Iowa estate tax, the tax shall be due and payable at the time the federal estate tax is paid regardless of the extension of time period. The application for an extension of time to file the return and pay the tax must be filed with the department prior to the time the return is required to be filed and the tax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901.3(9)</w:t>
      </w:r>
      <w:r>
        <w:rPr>
          <w:rFonts w:ascii="Times New Roman" w:hAnsi="Times New Roman"/>
          <w:b w:val="false"/>
          <w:i w:val="false"/>
          <w:color w:val="000000"/>
          <w:sz w:val="22"/>
        </w:rPr>
        <w:t> </w:t>
      </w:r>
      <w:r>
        <w:rPr>
          <w:rFonts w:ascii="Times New Roman" w:hAnsi="Times New Roman"/>
          <w:b w:val="false"/>
          <w:i w:val="false"/>
          <w:color w:val="000000"/>
          <w:sz w:val="22"/>
        </w:rPr>
        <w:t xml:space="preserve">Renumbered as </w:t>
      </w:r>
      <w:hyperlink r:id="rId31">
        <w:r>
          <w:rPr>
            <w:rStyle w:val="Hyperlink"/>
            <w:rFonts w:ascii="Times New Roman" w:hAnsi="Times New Roman"/>
            <w:b w:val="false"/>
            <w:i w:val="false"/>
            <w:color w:val="000000"/>
            <w:sz w:val="22"/>
          </w:rPr>
          <w:t>701—10.90(451)</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IAB 1/23/91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901.3(10)</w:t>
      </w:r>
      <w:r>
        <w:rPr>
          <w:rFonts w:ascii="Times New Roman" w:hAnsi="Times New Roman"/>
          <w:b w:val="false"/>
          <w:i w:val="false"/>
          <w:color w:val="000000"/>
          <w:sz w:val="22"/>
        </w:rPr>
        <w:t> </w:t>
      </w:r>
      <w:r>
        <w:rPr>
          <w:rFonts w:ascii="Times New Roman" w:hAnsi="Times New Roman"/>
          <w:b w:val="false"/>
          <w:i w:val="false"/>
          <w:color w:val="000000"/>
          <w:sz w:val="22"/>
        </w:rPr>
        <w:t xml:space="preserve">Renumbered as </w:t>
      </w:r>
      <w:hyperlink r:id="rId32">
        <w:r>
          <w:rPr>
            <w:rStyle w:val="Hyperlink"/>
            <w:rFonts w:ascii="Times New Roman" w:hAnsi="Times New Roman"/>
            <w:b w:val="false"/>
            <w:i w:val="false"/>
            <w:color w:val="000000"/>
            <w:sz w:val="22"/>
          </w:rPr>
          <w:t>701—subrule 10.90(1)</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IAB 1/23/91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901.3(11)</w:t>
      </w:r>
      <w:r>
        <w:rPr>
          <w:rFonts w:ascii="Times New Roman" w:hAnsi="Times New Roman"/>
          <w:b w:val="false"/>
          <w:i w:val="false"/>
          <w:color w:val="000000"/>
          <w:sz w:val="22"/>
        </w:rPr>
        <w:t> </w:t>
      </w:r>
      <w:r>
        <w:rPr>
          <w:rFonts w:ascii="Times New Roman" w:hAnsi="Times New Roman"/>
          <w:b w:val="false"/>
          <w:i w:val="false"/>
          <w:color w:val="000000"/>
          <w:sz w:val="22"/>
        </w:rPr>
        <w:t xml:space="preserve">Renumbered as </w:t>
      </w:r>
      <w:hyperlink r:id="rId33">
        <w:r>
          <w:rPr>
            <w:rStyle w:val="Hyperlink"/>
            <w:rFonts w:ascii="Times New Roman" w:hAnsi="Times New Roman"/>
            <w:b w:val="false"/>
            <w:i w:val="false"/>
            <w:color w:val="000000"/>
            <w:sz w:val="22"/>
          </w:rPr>
          <w:t>701—subrule 10.90(2)</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IAB 1/23/91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901.3(12)</w:t>
      </w:r>
      <w:r>
        <w:rPr>
          <w:rFonts w:ascii="Times New Roman" w:hAnsi="Times New Roman"/>
          <w:b w:val="false"/>
          <w:i w:val="false"/>
          <w:color w:val="000000"/>
          <w:sz w:val="22"/>
        </w:rPr>
        <w:t> </w:t>
      </w:r>
      <w:r>
        <w:rPr>
          <w:rFonts w:ascii="Times New Roman" w:hAnsi="Times New Roman"/>
          <w:b w:val="false"/>
          <w:i w:val="false"/>
          <w:color w:val="000000"/>
          <w:sz w:val="22"/>
        </w:rPr>
        <w:t xml:space="preserve">Renumbered as </w:t>
      </w:r>
      <w:hyperlink r:id="rId34">
        <w:r>
          <w:rPr>
            <w:rStyle w:val="Hyperlink"/>
            <w:rFonts w:ascii="Times New Roman" w:hAnsi="Times New Roman"/>
            <w:b w:val="false"/>
            <w:i w:val="false"/>
            <w:color w:val="000000"/>
            <w:sz w:val="22"/>
          </w:rPr>
          <w:t>701—subrule 10.90(3)</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IAB 1/23/91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901.3(13)</w:t>
      </w:r>
      <w:r>
        <w:rPr>
          <w:rFonts w:ascii="Times New Roman" w:hAnsi="Times New Roman"/>
          <w:b w:val="false"/>
          <w:i w:val="false"/>
          <w:color w:val="000000"/>
          <w:sz w:val="22"/>
        </w:rPr>
        <w:t> </w:t>
      </w:r>
      <w:r>
        <w:rPr>
          <w:rFonts w:ascii="Times New Roman" w:hAnsi="Times New Roman"/>
          <w:b w:val="false"/>
          <w:i/>
          <w:color w:val="000000"/>
          <w:sz w:val="22"/>
        </w:rPr>
        <w:t xml:space="preserve">Interest—during an extension of time. </w:t>
      </w:r>
      <w:r>
        <w:rPr>
          <w:rFonts w:ascii="Times New Roman" w:hAnsi="Times New Roman"/>
          <w:b w:val="false"/>
          <w:i w:val="false"/>
          <w:color w:val="000000"/>
          <w:sz w:val="22"/>
        </w:rPr>
        <w:t xml:space="preserve">During the period of an extension of time, any unpaid tax shall draw interest at the rate set forth in rule </w:t>
      </w:r>
      <w:hyperlink r:id="rId35">
        <w:r>
          <w:rPr>
            <w:rStyle w:val="Hyperlink"/>
            <w:rFonts w:ascii="Times New Roman" w:hAnsi="Times New Roman"/>
            <w:b w:val="false"/>
            <w:i w:val="false"/>
            <w:color w:val="000000"/>
            <w:sz w:val="22"/>
          </w:rPr>
          <w:t>701—10.2(421)</w:t>
        </w:r>
      </w:hyperlink>
      <w:r>
        <w:rPr>
          <w:rFonts w:ascii="Times New Roman" w:hAnsi="Times New Roman"/>
          <w:b w:val="false"/>
          <w:i w:val="false"/>
          <w:color w:val="000000"/>
          <w:sz w:val="22"/>
        </w:rPr>
        <w:t xml:space="preserve">. Payments made during an extension of time shall first be credited to penalty, interest and the balance, if any, to the tax due. Estate tax is still due for estates that have deferred Iowa inheritance tax. Any outstanding tax obligation remaining after the expiration of an extension of time shall be deemed delinquent and shall be subject to penalty and draw interest at the rate set forth in rule </w:t>
      </w:r>
      <w:hyperlink r:id="rId36">
        <w:r>
          <w:rPr>
            <w:rStyle w:val="Hyperlink"/>
            <w:rFonts w:ascii="Times New Roman" w:hAnsi="Times New Roman"/>
            <w:b w:val="false"/>
            <w:i w:val="false"/>
            <w:color w:val="000000"/>
            <w:sz w:val="22"/>
          </w:rPr>
          <w:t>701—10.2(421)</w:t>
        </w:r>
      </w:hyperlink>
      <w:r>
        <w:rPr>
          <w:rFonts w:ascii="Times New Roman" w:hAnsi="Times New Roman"/>
          <w:b w:val="false"/>
          <w:i w:val="false"/>
          <w:color w:val="000000"/>
          <w:sz w:val="22"/>
        </w:rPr>
        <w:t>. No discount is allowed for early payment of the tax due.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450.63</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451.2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451.5</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451.6</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451.8</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451.12</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1997 Iowa Acts, chapter 60, sections 1 and 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701—901.4</w:t>
      </w:r>
      <w:r>
        <w:rPr>
          <w:rFonts w:ascii="Times New Roman" w:hAnsi="Times New Roman"/>
          <w:b/>
          <w:i w:val="false"/>
          <w:color w:val="000000"/>
          <w:sz w:val="22"/>
        </w:rPr>
        <w:t xml:space="preserve">(451) </w:t>
      </w:r>
      <w:r>
        <w:rPr>
          <w:rFonts w:ascii="Times New Roman" w:hAnsi="Times New Roman"/>
          <w:b/>
          <w:i w:val="false"/>
          <w:color w:val="000000"/>
          <w:sz w:val="22"/>
        </w:rPr>
        <w:t xml:space="preserve">Audits, assessments and refunds. </w:t>
      </w:r>
      <w:r>
        <w:rPr>
          <w:rFonts w:ascii="Times New Roman" w:hAnsi="Times New Roman"/>
          <w:b w:val="false"/>
          <w:i w:val="false"/>
          <w:color w:val="000000"/>
          <w:sz w:val="22"/>
        </w:rPr>
        <w:t xml:space="preserve">701—subrules </w:t>
      </w:r>
      <w:hyperlink r:id="rId44">
        <w:r>
          <w:rPr>
            <w:rStyle w:val="Hyperlink"/>
            <w:rFonts w:ascii="Times New Roman" w:hAnsi="Times New Roman"/>
            <w:b w:val="false"/>
            <w:i w:val="false"/>
            <w:color w:val="000000"/>
            <w:sz w:val="22"/>
          </w:rPr>
          <w:t>900.3(1)</w:t>
        </w:r>
      </w:hyperlink>
      <w:r>
        <w:rPr>
          <w:rFonts w:ascii="Times New Roman" w:hAnsi="Times New Roman"/>
          <w:b w:val="false"/>
          <w:i w:val="false"/>
          <w:color w:val="000000"/>
          <w:sz w:val="22"/>
        </w:rPr>
        <w:t xml:space="preserve"> to </w:t>
      </w:r>
      <w:hyperlink r:id="rId45">
        <w:r>
          <w:rPr>
            <w:rStyle w:val="Hyperlink"/>
            <w:rFonts w:ascii="Times New Roman" w:hAnsi="Times New Roman"/>
            <w:b w:val="false"/>
            <w:i w:val="false"/>
            <w:color w:val="000000"/>
            <w:sz w:val="22"/>
          </w:rPr>
          <w:t>900.3(3)</w:t>
        </w:r>
      </w:hyperlink>
      <w:r>
        <w:rPr>
          <w:rFonts w:ascii="Times New Roman" w:hAnsi="Times New Roman"/>
          <w:b w:val="false"/>
          <w:i w:val="false"/>
          <w:color w:val="000000"/>
          <w:sz w:val="22"/>
        </w:rPr>
        <w:t xml:space="preserve"> providing for the audit, assessment and refund of the Iowa inheritance tax shall also be the rules for the audit, assessment and refund of the Iowa estate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6">
        <w:r>
          <w:rPr>
            <w:rStyle w:val="Hyperlink"/>
            <w:rFonts w:ascii="Times New Roman" w:hAnsi="Times New Roman"/>
            <w:b w:val="false"/>
            <w:i w:val="false"/>
            <w:color w:val="000000"/>
            <w:sz w:val="22"/>
          </w:rPr>
          <w:t>451.3</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451.6</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451.8</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451.10</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451.12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701—901.5</w:t>
      </w:r>
      <w:r>
        <w:rPr>
          <w:rFonts w:ascii="Times New Roman" w:hAnsi="Times New Roman"/>
          <w:b/>
          <w:i w:val="false"/>
          <w:color w:val="000000"/>
          <w:sz w:val="22"/>
        </w:rPr>
        <w:t xml:space="preserve">(451)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Rule </w:t>
      </w:r>
      <w:hyperlink r:id="rId51">
        <w:r>
          <w:rPr>
            <w:rStyle w:val="Hyperlink"/>
            <w:rFonts w:ascii="Times New Roman" w:hAnsi="Times New Roman"/>
            <w:b w:val="false"/>
            <w:i w:val="false"/>
            <w:color w:val="000000"/>
            <w:sz w:val="22"/>
          </w:rPr>
          <w:t>701—900.4</w:t>
        </w:r>
      </w:hyperlink>
      <w:r>
        <w:rPr>
          <w:rFonts w:ascii="Times New Roman" w:hAnsi="Times New Roman"/>
          <w:b w:val="false"/>
          <w:i w:val="false"/>
          <w:color w:val="000000"/>
          <w:sz w:val="22"/>
        </w:rPr>
        <w:t xml:space="preserve">(450), providing for an appeal to the director and a subsequent appeal to district court under the Iowa Administrative Procedure Act in inheritance tax disputes, shall also be the rule for appeals in Iowa estate tax disputes. See </w:t>
      </w:r>
      <w:hyperlink r:id="rId52">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701—901.6</w:t>
      </w:r>
      <w:r>
        <w:rPr>
          <w:rFonts w:ascii="Times New Roman" w:hAnsi="Times New Roman"/>
          <w:b/>
          <w:i w:val="false"/>
          <w:color w:val="000000"/>
          <w:sz w:val="22"/>
        </w:rPr>
        <w:t xml:space="preserve">(451) </w:t>
      </w:r>
      <w:r>
        <w:rPr>
          <w:rFonts w:ascii="Times New Roman" w:hAnsi="Times New Roman"/>
          <w:b/>
          <w:i w:val="false"/>
          <w:color w:val="000000"/>
          <w:sz w:val="22"/>
        </w:rPr>
        <w:t xml:space="preserve">Applicable rules. </w:t>
      </w:r>
      <w:r>
        <w:rPr>
          <w:rFonts w:ascii="Times New Roman" w:hAnsi="Times New Roman"/>
          <w:b w:val="false"/>
          <w:i w:val="false"/>
          <w:color w:val="000000"/>
          <w:sz w:val="22"/>
        </w:rPr>
        <w:t xml:space="preserve">Unless otherwise provided in this chapter, the rules found in </w:t>
      </w:r>
      <w:hyperlink r:id="rId53">
        <w:r>
          <w:rPr>
            <w:rStyle w:val="Hyperlink"/>
            <w:rFonts w:ascii="Times New Roman" w:hAnsi="Times New Roman"/>
            <w:b w:val="false"/>
            <w:i w:val="false"/>
            <w:color w:val="000000"/>
            <w:sz w:val="22"/>
          </w:rPr>
          <w:t>701—Chapter 900</w:t>
        </w:r>
      </w:hyperlink>
      <w:r>
        <w:rPr>
          <w:rFonts w:ascii="Times New Roman" w:hAnsi="Times New Roman"/>
          <w:b w:val="false"/>
          <w:i w:val="false"/>
          <w:color w:val="000000"/>
          <w:sz w:val="22"/>
        </w:rPr>
        <w:t xml:space="preserve"> apply to the administration of estate tax including, but not limited to, rules regarding statutes of limitations provided, however, that the estate tax is applicable only to deaths occurring prior to January 1, 2005.</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55">
        <w:r>
          <w:rPr>
            <w:rStyle w:val="Hyperlink"/>
            <w:rFonts w:ascii="Times New Roman" w:hAnsi="Times New Roman"/>
            <w:b w:val="false"/>
            <w:i w:val="false"/>
            <w:color w:val="000000"/>
            <w:sz w:val="22"/>
          </w:rPr>
          <w:t>450.94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2014 Iowa Acts, House File 2435, section 25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4/23/81, Notice 3/18/81—published 5/13/81, effective 6/17/81]</w:t>
      </w:r>
    </w:p>
    <w:p>
      <w:pPr>
        <w:spacing w:before="0" w:after="0"/>
        <w:ind w:left="120"/>
        <w:jc w:val="center"/>
      </w:pPr>
      <w:r>
        <w:rPr>
          <w:rFonts w:ascii="Times New Roman" w:hAnsi="Times New Roman"/>
          <w:b w:val="false"/>
          <w:i w:val="false"/>
          <w:color w:val="000000"/>
          <w:sz w:val="21"/>
        </w:rPr>
        <w:t>[Filed 12/31/81, Notice 11/25/81—published 1/20/82, effective 2/24/82]</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10/13/89, Notice 9/6/89—published 11/1/89, effective 12/6/89]</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10/9/92, Notice 9/2/92—published 10/28/92, effective 12/2/92]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6/22/99, Notice 5/5/99—published 7/14/99, effective 8/18/99]</w:t>
      </w:r>
    </w:p>
    <w:p>
      <w:pPr>
        <w:spacing w:before="0" w:after="0"/>
        <w:ind w:left="120"/>
        <w:jc w:val="center"/>
      </w:pPr>
      <w:r>
        <w:rPr>
          <w:rFonts w:ascii="Times New Roman" w:hAnsi="Times New Roman"/>
          <w:b w:val="false"/>
          <w:i w:val="false"/>
          <w:color w:val="000000"/>
          <w:sz w:val="21"/>
        </w:rPr>
        <w:t>[Filed 12/10/99, Notice 11/3/99—published 12/29/99, effective 2/2/00]</w:t>
      </w:r>
    </w:p>
    <w:p>
      <w:pPr>
        <w:spacing w:before="0" w:after="0"/>
        <w:ind w:left="120"/>
        <w:jc w:val="center"/>
      </w:pPr>
      <w:r>
        <w:rPr>
          <w:rFonts w:ascii="Times New Roman" w:hAnsi="Times New Roman"/>
          <w:b w:val="false"/>
          <w:i w:val="false"/>
          <w:color w:val="000000"/>
          <w:sz w:val="21"/>
        </w:rPr>
        <w:t>[Filed 6/21/02, Notice 5/15/02—published 7/10/02, effective 8/14/02]</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6551C</w:t>
      </w:r>
      <w:r>
        <w:rPr>
          <w:rFonts w:ascii="Times New Roman" w:hAnsi="Times New Roman"/>
          <w:b w:val="false"/>
          <w:i w:val="false"/>
          <w:color w:val="000000"/>
          <w:sz w:val="21"/>
        </w:rPr>
        <w:t xml:space="preserve"> (Notice ARC 6450C,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01.901.pdf" Type="http://schemas.openxmlformats.org/officeDocument/2006/relationships/hyperlink" Id="rId5"/>
    <Relationship TargetMode="External" Target="https://www.legis.iowa.gov/docs/ico/chapter/451.1.pdf" Type="http://schemas.openxmlformats.org/officeDocument/2006/relationships/hyperlink" Id="rId6"/>
    <Relationship TargetMode="External" Target="https://www.legis.iowa.gov/docs/ico/chapter/451.pdf" Type="http://schemas.openxmlformats.org/officeDocument/2006/relationships/hyperlink" Id="rId7"/>
    <Relationship TargetMode="External" Target="https://www.legis.iowa.gov/docs/ico/chapter/633.3.pdf" Type="http://schemas.openxmlformats.org/officeDocument/2006/relationships/hyperlink" Id="rId8"/>
    <Relationship TargetMode="External" Target="https://www.legis.iowa.gov/docs/ico/chapter/421.2.pdf" Type="http://schemas.openxmlformats.org/officeDocument/2006/relationships/hyperlink" Id="rId9"/>
    <Relationship TargetMode="External" Target="https://www.legis.iowa.gov/docs/ico/chapter/421.4.pdf" Type="http://schemas.openxmlformats.org/officeDocument/2006/relationships/hyperlink" Id="rId10"/>
    <Relationship TargetMode="External" Target="https://www.legis.iowa.gov/docs/ico/chapter/451.pdf" Type="http://schemas.openxmlformats.org/officeDocument/2006/relationships/hyperlink" Id="rId11"/>
    <Relationship TargetMode="External" Target="https://www.legis.iowa.gov/docs/iac/rule/701.5.4.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co/chapter/450.pdf" Type="http://schemas.openxmlformats.org/officeDocument/2006/relationships/hyperlink" Id="rId14"/>
    <Relationship TargetMode="External" Target="https://www.legis.iowa.gov/docs/ico/chapter/451.pdf" Type="http://schemas.openxmlformats.org/officeDocument/2006/relationships/hyperlink" Id="rId15"/>
    <Relationship TargetMode="External" Target="https://www.legis.iowa.gov/docs/ico/chapter/451.2.pdf" Type="http://schemas.openxmlformats.org/officeDocument/2006/relationships/hyperlink" Id="rId16"/>
    <Relationship TargetMode="External" Target="https://www.legis.iowa.gov/docs/ico/chapter/451.8.pdf" Type="http://schemas.openxmlformats.org/officeDocument/2006/relationships/hyperlink" Id="rId17"/>
    <Relationship TargetMode="External" Target="https://www.legis.iowa.gov/docs/ico/chapter/450.pdf" Type="http://schemas.openxmlformats.org/officeDocument/2006/relationships/hyperlink" Id="rId18"/>
    <Relationship TargetMode="External" Target="https://www.legis.iowa.gov/docs/ico/chapter/451.8.pdf" Type="http://schemas.openxmlformats.org/officeDocument/2006/relationships/hyperlink" Id="rId19"/>
    <Relationship TargetMode="External" Target="https://www.legis.iowa.gov/docs/iac/rule/701.900.2.pdf" Type="http://schemas.openxmlformats.org/officeDocument/2006/relationships/hyperlink" Id="rId20"/>
    <Relationship TargetMode="External" Target="https://www.legis.iowa.gov/docs/ico/chapter/633.436.pdf" Type="http://schemas.openxmlformats.org/officeDocument/2006/relationships/hyperlink" Id="rId21"/>
    <Relationship TargetMode="External" Target="https://www.legis.iowa.gov/docs/ico/chapter/633.437.pdf" Type="http://schemas.openxmlformats.org/officeDocument/2006/relationships/hyperlink" Id="rId22"/>
    <Relationship TargetMode="External" Target="https://www.legis.iowa.gov/docs/ico/chapter/450.pdf" Type="http://schemas.openxmlformats.org/officeDocument/2006/relationships/hyperlink" Id="rId23"/>
    <Relationship TargetMode="External" Target="https://www.legis.iowa.gov/docs/ico/chapter/451.pdf" Type="http://schemas.openxmlformats.org/officeDocument/2006/relationships/hyperlink" Id="rId24"/>
    <Relationship TargetMode="External" Target="https://www.legis.iowa.gov/docs/ico/chapter/450.7.pdf" Type="http://schemas.openxmlformats.org/officeDocument/2006/relationships/hyperlink" Id="rId25"/>
    <Relationship TargetMode="External" Target="https://www.legis.iowa.gov/docs/ico/chapter/450.12.pdf" Type="http://schemas.openxmlformats.org/officeDocument/2006/relationships/hyperlink" Id="rId26"/>
    <Relationship TargetMode="External" Target="https://www.legis.iowa.gov/docs/ico/chapter/450.12.pdf" Type="http://schemas.openxmlformats.org/officeDocument/2006/relationships/hyperlink" Id="rId27"/>
    <Relationship TargetMode="External" Target="https://www.legis.iowa.gov/docs/iac/rule/701.900.2.pdf" Type="http://schemas.openxmlformats.org/officeDocument/2006/relationships/hyperlink" Id="rId28"/>
    <Relationship TargetMode="External" Target="https://www.legis.iowa.gov/docs/ico/chapter/421.9A.pdf" Type="http://schemas.openxmlformats.org/officeDocument/2006/relationships/hyperlink" Id="rId29"/>
    <Relationship TargetMode="External" Target="https://www.legis.iowa.gov/docs/iac/rule/701.900.2.pdf" Type="http://schemas.openxmlformats.org/officeDocument/2006/relationships/hyperlink" Id="rId30"/>
    <Relationship TargetMode="External" Target="https://www.legis.iowa.gov/docs/iac/rule/701.10.90.pdf" Type="http://schemas.openxmlformats.org/officeDocument/2006/relationships/hyperlink" Id="rId31"/>
    <Relationship TargetMode="External" Target="https://www.legis.iowa.gov/docs/iac/rule/701.10.90.pdf" Type="http://schemas.openxmlformats.org/officeDocument/2006/relationships/hyperlink" Id="rId32"/>
    <Relationship TargetMode="External" Target="https://www.legis.iowa.gov/docs/iac/rule/701.10.90.pdf" Type="http://schemas.openxmlformats.org/officeDocument/2006/relationships/hyperlink" Id="rId33"/>
    <Relationship TargetMode="External" Target="https://www.legis.iowa.gov/docs/iac/rule/701.10.90.pdf" Type="http://schemas.openxmlformats.org/officeDocument/2006/relationships/hyperlink" Id="rId34"/>
    <Relationship TargetMode="External" Target="https://www.legis.iowa.gov/docs/iac/rule/701.10.2.pdf" Type="http://schemas.openxmlformats.org/officeDocument/2006/relationships/hyperlink" Id="rId35"/>
    <Relationship TargetMode="External" Target="https://www.legis.iowa.gov/docs/iac/rule/701.10.2.pdf" Type="http://schemas.openxmlformats.org/officeDocument/2006/relationships/hyperlink" Id="rId36"/>
    <Relationship TargetMode="External" Target="https://www.legis.iowa.gov/docs/ico/chapter/421.27.pdf" Type="http://schemas.openxmlformats.org/officeDocument/2006/relationships/hyperlink" Id="rId37"/>
    <Relationship TargetMode="External" Target="https://www.legis.iowa.gov/docs/ico/chapter/450.53.pdf" Type="http://schemas.openxmlformats.org/officeDocument/2006/relationships/hyperlink" Id="rId38"/>
    <Relationship TargetMode="External" Target="https://www.legis.iowa.gov/docs/ico/chapter/451.2.pdf" Type="http://schemas.openxmlformats.org/officeDocument/2006/relationships/hyperlink" Id="rId39"/>
    <Relationship TargetMode="External" Target="https://www.legis.iowa.gov/docs/ico/chapter/451.5.pdf" Type="http://schemas.openxmlformats.org/officeDocument/2006/relationships/hyperlink" Id="rId40"/>
    <Relationship TargetMode="External" Target="https://www.legis.iowa.gov/docs/ico/chapter/451.6.pdf" Type="http://schemas.openxmlformats.org/officeDocument/2006/relationships/hyperlink" Id="rId41"/>
    <Relationship TargetMode="External" Target="https://www.legis.iowa.gov/docs/ico/chapter/451.8.pdf" Type="http://schemas.openxmlformats.org/officeDocument/2006/relationships/hyperlink" Id="rId42"/>
    <Relationship TargetMode="External" Target="https://www.legis.iowa.gov/docs/ico/chapter/451.12.pdf" Type="http://schemas.openxmlformats.org/officeDocument/2006/relationships/hyperlink" Id="rId43"/>
    <Relationship TargetMode="External" Target="https://www.legis.iowa.gov/docs/iac/rule/701.900.3.pdf" Type="http://schemas.openxmlformats.org/officeDocument/2006/relationships/hyperlink" Id="rId44"/>
    <Relationship TargetMode="External" Target="https://www.legis.iowa.gov/docs/iac/rule/701.900.3.pdf" Type="http://schemas.openxmlformats.org/officeDocument/2006/relationships/hyperlink" Id="rId45"/>
    <Relationship TargetMode="External" Target="https://www.legis.iowa.gov/docs/ico/chapter/451.3.pdf" Type="http://schemas.openxmlformats.org/officeDocument/2006/relationships/hyperlink" Id="rId46"/>
    <Relationship TargetMode="External" Target="https://www.legis.iowa.gov/docs/ico/chapter/451.6.pdf" Type="http://schemas.openxmlformats.org/officeDocument/2006/relationships/hyperlink" Id="rId47"/>
    <Relationship TargetMode="External" Target="https://www.legis.iowa.gov/docs/ico/chapter/451.8.pdf" Type="http://schemas.openxmlformats.org/officeDocument/2006/relationships/hyperlink" Id="rId48"/>
    <Relationship TargetMode="External" Target="https://www.legis.iowa.gov/docs/ico/chapter/451.10.pdf" Type="http://schemas.openxmlformats.org/officeDocument/2006/relationships/hyperlink" Id="rId49"/>
    <Relationship TargetMode="External" Target="https://www.legis.iowa.gov/docs/ico/chapter/451.12.pdf" Type="http://schemas.openxmlformats.org/officeDocument/2006/relationships/hyperlink" Id="rId50"/>
    <Relationship TargetMode="External" Target="https://www.legis.iowa.gov/docs/iac/rule/701.900.4.pdf" Type="http://schemas.openxmlformats.org/officeDocument/2006/relationships/hyperlink" Id="rId51"/>
    <Relationship TargetMode="External" Target="https://www.legis.iowa.gov/docs/iac/chapter/701.7.pdf" Type="http://schemas.openxmlformats.org/officeDocument/2006/relationships/hyperlink" Id="rId52"/>
    <Relationship TargetMode="External" Target="https://www.legis.iowa.gov/docs/iac/chapter/701.900.pdf" Type="http://schemas.openxmlformats.org/officeDocument/2006/relationships/hyperlink" Id="rId53"/>
    <Relationship TargetMode="External" Target="https://www.legis.iowa.gov/docs/ico/chapter/17A.pdf" Type="http://schemas.openxmlformats.org/officeDocument/2006/relationships/hyperlink" Id="rId54"/>
    <Relationship TargetMode="External" Target="https://www.legis.iowa.gov/docs/ico/chapter/450.94.pdf" Type="http://schemas.openxmlformats.org/officeDocument/2006/relationships/hyperlink" Id="rId5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