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 xml:space="preserve">FORMS AND COMMUNICATIONS </w:t>
      </w:r>
    </w:p>
    <w:p>
      <w:pPr>
        <w:spacing w:before="0" w:after="0"/>
        <w:ind w:left="120"/>
        <w:jc w:val="center"/>
      </w:pPr>
      <w:r>
        <w:rPr>
          <w:rFonts w:ascii="Times New Roman" w:hAnsi="Times New Roman"/>
          <w:b w:val="false"/>
          <w:i w:val="false"/>
          <w:color w:val="000000"/>
          <w:sz w:val="14"/>
        </w:rPr>
        <w:t>[Prior to 12/17/86, Revenue Department[730]]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701—8.1</w:t>
      </w:r>
      <w:r>
        <w:rPr>
          <w:rFonts w:ascii="Times New Roman" w:hAnsi="Times New Roman"/>
          <w:b/>
          <w:i w:val="false"/>
          <w:color w:val="000000"/>
          <w:sz w:val="22"/>
        </w:rPr>
        <w:t xml:space="preserve">(17A,421)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r>
        <w:rPr>
          <w:rFonts w:ascii="Times New Roman" w:hAnsi="Times New Roman"/>
          <w:b w:val="false"/>
          <w:i w:val="false"/>
          <w:color w:val="000000"/>
          <w:sz w:val="22"/>
        </w:rPr>
        <w:t>means any method of transfer of data, information, or money by any conduit or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form” </w:t>
      </w:r>
      <w:r>
        <w:rPr>
          <w:rFonts w:ascii="Times New Roman" w:hAnsi="Times New Roman"/>
          <w:b w:val="false"/>
          <w:i w:val="false"/>
          <w:color w:val="000000"/>
          <w:sz w:val="22"/>
        </w:rPr>
        <w:t>means a form that is distributed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means any overall physical arrangement and general layout of communications, using any method of communication, related to tax or other administration and prescribed by the director or otherwise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federal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means any form required for tax administration from any person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“Substitute form” </w:t>
      </w:r>
      <w:r>
        <w:rPr>
          <w:rFonts w:ascii="Times New Roman" w:hAnsi="Times New Roman"/>
          <w:b w:val="false"/>
          <w:i w:val="false"/>
          <w:color w:val="000000"/>
          <w:sz w:val="22"/>
        </w:rPr>
        <w:t>means a form that is intended to replace a department form.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701—8.2</w:t>
      </w:r>
      <w:r>
        <w:rPr>
          <w:rFonts w:ascii="Times New Roman" w:hAnsi="Times New Roman"/>
          <w:b/>
          <w:i w:val="false"/>
          <w:color w:val="000000"/>
          <w:sz w:val="22"/>
        </w:rPr>
        <w:t xml:space="preserve">(17A,421) </w:t>
      </w:r>
      <w:r>
        <w:rPr>
          <w:rFonts w:ascii="Times New Roman" w:hAnsi="Times New Roman"/>
          <w:b/>
          <w:i w:val="false"/>
          <w:color w:val="000000"/>
          <w:sz w:val="22"/>
        </w:rPr>
        <w:t xml:space="preserve">Department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The department and the director have developed and provide or prescribe department forms designed to help persons exercise their rights and discharge their duties under the tax laws and rules, to explain tax laws and rules, to assist in the administration of tax laws and rules, and to assist in general financial administration. Department forms may be available in electronic format, on paper, or in other formats as prescribed by the director. Communications with the department, for which department forms have been created, shall be carried out using those forms or substitute forms. Each direction of every instruction contained within or accompanying department forms shall be followed, and each question within or accompanying every form shall be answered as if the instructions and forms were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color w:val="000000"/>
          <w:sz w:val="22"/>
        </w:rPr>
        <w:t>Obtaining department forms.</w:t>
      </w:r>
      <w:r>
        <w:rPr>
          <w:rFonts w:ascii="Times New Roman" w:hAnsi="Times New Roman"/>
          <w:b w:val="false"/>
          <w:i/>
          <w:color w:val="000000"/>
          <w:sz w:val="22"/>
        </w:rPr>
        <w:t xml:space="preserve"> </w:t>
      </w:r>
      <w:r>
        <w:rPr>
          <w:rFonts w:ascii="Times New Roman" w:hAnsi="Times New Roman"/>
          <w:b w:val="false"/>
          <w:i w:val="false"/>
          <w:color w:val="000000"/>
          <w:sz w:val="22"/>
        </w:rPr>
        <w:t xml:space="preserve">Department forms and instructions may be obtained from Taxpayer Services, Iowa Department of Revenue, Hoover State Office Building, P.O. Box 10457, Des Moines, Iowa 50306-0457; by telephoning (800)367-3388 or (515)281-3114; or on the department’s website at </w:t>
      </w:r>
      <w:hyperlink r:id="rId7">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color w:val="000000"/>
          <w:sz w:val="22"/>
        </w:rPr>
        <w:t xml:space="preserve">Filing department forms. </w:t>
      </w:r>
      <w:r>
        <w:rPr>
          <w:rFonts w:ascii="Times New Roman" w:hAnsi="Times New Roman"/>
          <w:b w:val="false"/>
          <w:i w:val="false"/>
          <w:color w:val="000000"/>
          <w:sz w:val="22"/>
        </w:rPr>
        <w:t xml:space="preserve">A department form may be filed with the department as directed on the department form or in the corresponding instructions. Filing a department form using any other method requires prior approval from the department. Attempting to file a department form using an unapproved method may, at the discretion of the director, result in the rejection of the form and all information contained therein.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8.2(4)</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w:t>
      </w:r>
      <w:r>
        <w:rPr>
          <w:rFonts w:ascii="Times New Roman" w:hAnsi="Times New Roman"/>
          <w:b w:val="false"/>
          <w:i w:val="false"/>
          <w:color w:val="000000"/>
          <w:sz w:val="22"/>
        </w:rPr>
        <w:t xml:space="preserve">Submitting a department form on removable media, such as compact disc, requires prior approval from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8.2(5)</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w:t>
      </w:r>
      <w:r>
        <w:rPr>
          <w:rFonts w:ascii="Times New Roman" w:hAnsi="Times New Roman"/>
          <w:b w:val="false"/>
          <w:i w:val="false"/>
          <w:color w:val="000000"/>
          <w:sz w:val="22"/>
        </w:rPr>
        <w:t xml:space="preserve">No prior approval is necessary for electronic reporting when the reporting is in accordance with department policy. Any other electronic reporting of a department form requires department approval, unless otherwise authorized. Additional information regarding electronic reporting is available at </w:t>
      </w:r>
      <w:hyperlink r:id="rId8">
        <w:r>
          <w:rPr>
            <w:rStyle w:val="Hyperlink"/>
            <w:rFonts w:ascii="Times New Roman" w:hAnsi="Times New Roman"/>
            <w:b w:val="false"/>
            <w:i w:val="false"/>
            <w:color w:val="000000"/>
            <w:sz w:val="22"/>
            <w:u w:val="single"/>
          </w:rPr>
          <w:t>iowaforms.gov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8.2(6)</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Unless expressly prohibited by state or federal law, a return, application, or other form may be submitted using an original signature, or a copy or facsimile of a signature. For purposes of this rule, “copy or facsimile of a signature” may be a copy or facsimile of an original signature or a copy or facsimile of an electronic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filings. </w:t>
      </w:r>
      <w:r>
        <w:rPr>
          <w:rFonts w:ascii="Times New Roman" w:hAnsi="Times New Roman"/>
          <w:b w:val="false"/>
          <w:i w:val="false"/>
          <w:color w:val="000000"/>
          <w:sz w:val="22"/>
        </w:rPr>
        <w:t>For income tax returns submitted through the IRS e-file program, see rule 701—8.5(422). For all other returns, applications, or other documents, the following applies. Unless expressly prohibited by state or federal law, a return, application or other form accepted by the department as filed by email or other electronic means may be submitted using an electronic signature or a signature designated by the department in lieu of a handwritten signature. For purposes of this rule, “electronic signature” means an electronic sound, symbol, or process attached to or logically associated with a tax return, application, or other document filed with the department and executed or adopted by a person with the intent to sign the return, application, or other document filed with the department. Electronic signatures appear in many forms and may be created by many different technologies. No specific technology is required. For purposes of this rule, “signature designated by the department” means a symbol or other information that is provided by the department to the taxpayer or the taxpayer’s representative and is to serve instead of the handwritten signature of the taxpayer. In a situation where the taxpayer or the taxpayer’s representative has submitted a return, application, or other document to the department by email, the taxpayer should include the taxpayer’s email address in the record of the document. To the extent that a document is submitted by email or other electronic means with an electronic signature or signature designated by the department, the taxpayer should include in the record of the document the taxpayer’s federal identification number so that the taxpayer’s identity is established.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hyperlink r:id="rId10">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 422.13, 422.14, 422.16, 422.36, 423.31, 450.53, 452A.60, and 453A.14.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5291C</w:t>
      </w:r>
      <w:r>
        <w:rPr>
          <w:rFonts w:ascii="Times New Roman" w:hAnsi="Times New Roman"/>
          <w:b w:val="false"/>
          <w:i w:val="false"/>
          <w:color w:val="000000"/>
          <w:sz w:val="16"/>
        </w:rPr>
        <w:t>, IAB 12/2/20, effective 11/10/20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701—8.3</w:t>
      </w:r>
      <w:r>
        <w:rPr>
          <w:rFonts w:ascii="Times New Roman" w:hAnsi="Times New Roman"/>
          <w:b/>
          <w:i w:val="false"/>
          <w:color w:val="000000"/>
          <w:sz w:val="22"/>
        </w:rPr>
        <w:t xml:space="preserve">(17A,421) </w:t>
      </w:r>
      <w:r>
        <w:rPr>
          <w:rFonts w:ascii="Times New Roman" w:hAnsi="Times New Roman"/>
          <w:b/>
          <w:i w:val="false"/>
          <w:color w:val="000000"/>
          <w:sz w:val="22"/>
        </w:rPr>
        <w:t xml:space="preserve">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color w:val="000000"/>
          <w:sz w:val="22"/>
        </w:rPr>
        <w:t>Generally.</w:t>
      </w:r>
      <w:r>
        <w:rPr>
          <w:rFonts w:ascii="Times New Roman" w:hAnsi="Times New Roman"/>
          <w:b w:val="false"/>
          <w:i/>
          <w:color w:val="000000"/>
          <w:sz w:val="22"/>
        </w:rPr>
        <w:t xml:space="preserve"> </w:t>
      </w:r>
      <w:r>
        <w:rPr>
          <w:rFonts w:ascii="Times New Roman" w:hAnsi="Times New Roman"/>
          <w:b w:val="false"/>
          <w:i w:val="false"/>
          <w:color w:val="000000"/>
          <w:sz w:val="22"/>
        </w:rPr>
        <w:t>A substitute form may be in electronic format, on paper, or created using other media for communication. Approval shall be obtained prior to the use of any substitute form, unless otherwise noted in this rule. The director may change any department form without providing notice to users of any substitute form. The director may require use of department forms in communications with the department concerning tax administration or other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color w:val="000000"/>
          <w:sz w:val="22"/>
        </w:rPr>
        <w:t xml:space="preserve">Types of substitute forms. </w:t>
      </w:r>
      <w:r>
        <w:rPr>
          <w:rFonts w:ascii="Times New Roman" w:hAnsi="Times New Roman"/>
          <w:b w:val="false"/>
          <w:i w:val="false"/>
          <w:color w:val="000000"/>
          <w:sz w:val="22"/>
        </w:rPr>
        <w:t>Many types of forms may, upon approval when necessary, be substituted for department forms. Descriptions of a partial list follow.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Reproduced forms. </w:t>
      </w:r>
      <w:r>
        <w:rPr>
          <w:rFonts w:ascii="Times New Roman" w:hAnsi="Times New Roman"/>
          <w:b w:val="false"/>
          <w:i w:val="false"/>
          <w:color w:val="000000"/>
          <w:sz w:val="22"/>
        </w:rPr>
        <w:t>A reproduced form is a legible photocopy or an exact copy of a department form. A reproduced form may be used without prior approval of the department if the reproduced form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the department form in size or any other format specification.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rule prohibits the reproduction of the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reproduced form does not vary from criteria stated elsewhere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Replacement forms. </w:t>
      </w:r>
      <w:r>
        <w:rPr>
          <w:rFonts w:ascii="Times New Roman" w:hAnsi="Times New Roman"/>
          <w:b w:val="false"/>
          <w:i w:val="false"/>
          <w:color w:val="000000"/>
          <w:sz w:val="22"/>
        </w:rPr>
        <w:t>A replacement form is produced by imagery or otherwise replicated using the department form as a model, but it is not an exact copy of a department form. A form that is created in its entirety, including layout, by computer is a replacement form. A replacement form may include modifications, such as line enlargement or copy deletion. A replacement form must receive department approval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Federal forms. </w:t>
      </w:r>
      <w:r>
        <w:rPr>
          <w:rFonts w:ascii="Times New Roman" w:hAnsi="Times New Roman"/>
          <w:b w:val="false"/>
          <w:i w:val="false"/>
          <w:color w:val="000000"/>
          <w:sz w:val="22"/>
        </w:rPr>
        <w:t>A federal form is a form that is distributed by the IRS. A federal form, or its alternate, may be used without department approval if the form is approved for federal use and Iowa tax instructions or other administrative instructions authorize or require the use of the federal form in lieu of a department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color w:val="000000"/>
          <w:sz w:val="22"/>
        </w:rPr>
        <w:t xml:space="preserve">Registration and approval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A developer of a substitute form must register with the department by submitting the Registration for Substitute Forms and Barcode Approval. Each registration is valid for one tax year only. Failure to register with the department may, at the discretion of the director, result in the rejection of the developer’s forms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Once registered, the developer of a substitute form must request department approval of the form, unless approval is not necessary. The developer may request department approval by submitting a PDF of the form to </w:t>
      </w:r>
      <w:hyperlink r:id="rId11">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 Those forms listed on the Iowa Substitute Forms Checklist, which is provided with the Registration for Substitute Forms and Barcode Approval, should be submitted for approval. If doubt exists about the need for approval of a particular substitute form, the form should be submitted for consideration. Attempting to file an unapproved substitute form with the department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color w:val="000000"/>
          <w:sz w:val="22"/>
        </w:rPr>
        <w:t xml:space="preserve">Forms that may not be reproduced.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ARC 2915C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1/18/17</w:t>
      </w:r>
      <w:r>
        <w:rPr>
          <w:rFonts w:ascii="Times New Roman" w:hAnsi="Times New Roman"/>
          <w:b w:val="false"/>
          <w:i w:val="false"/>
          <w:color w:val="000000"/>
          <w:sz w:val="22"/>
        </w:rPr>
        <w:t>, effective 2/22/17.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color w:val="000000"/>
          <w:sz w:val="22"/>
        </w:rPr>
        <w:t xml:space="preserve">Quality of substitute forms.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information. </w:t>
      </w:r>
      <w:r>
        <w:rPr>
          <w:rFonts w:ascii="Times New Roman" w:hAnsi="Times New Roman"/>
          <w:b w:val="false"/>
          <w:i w:val="false"/>
          <w:color w:val="000000"/>
          <w:sz w:val="22"/>
        </w:rPr>
        <w:t xml:space="preserve">All substitute forms must, to the extent practicable, reflect the same size, color, content, design, and legibility as department forms posted on the department’s website at </w:t>
      </w:r>
      <w:hyperlink r:id="rId12">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Printed substitute forms. </w:t>
      </w:r>
      <w:r>
        <w:rPr>
          <w:rFonts w:ascii="Times New Roman" w:hAnsi="Times New Roman"/>
          <w:b w:val="false"/>
          <w:i w:val="false"/>
          <w:color w:val="000000"/>
          <w:sz w:val="22"/>
        </w:rPr>
        <w:t>When printed on paper, a substitute form must use only black ink or black imaging material, unless the corresponding department form indicates otherwise. A printed substitute form generally must be printed on 20-pound white paper stock with a brightness rating of at least 92 on the TAPPI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Distinctive markings and symbols. </w:t>
      </w:r>
      <w:r>
        <w:rPr>
          <w:rFonts w:ascii="Times New Roman" w:hAnsi="Times New Roman"/>
          <w:b w:val="false"/>
          <w:i w:val="false"/>
          <w:color w:val="000000"/>
          <w:sz w:val="22"/>
        </w:rPr>
        <w:t>A department form may contain distinctive symbols. These symbols must be reproduced on any substitute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color w:val="000000"/>
          <w:sz w:val="22"/>
        </w:rPr>
        <w:t xml:space="preserve">Filing substitute forms. </w:t>
      </w:r>
      <w:r>
        <w:rPr>
          <w:rFonts w:ascii="Times New Roman" w:hAnsi="Times New Roman"/>
          <w:b w:val="false"/>
          <w:i w:val="false"/>
          <w:color w:val="000000"/>
          <w:sz w:val="22"/>
        </w:rPr>
        <w:t>A substitute form may be filed with the department as directed on the corresponding department form or instructions or by any other method approved by the department. Attempting to file a substitute form with the department using an unapproved method may, at the discretion of the director, result in the rejection of the form and all information contained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color w:val="000000"/>
          <w:sz w:val="22"/>
        </w:rPr>
        <w:t xml:space="preserve">Removable media and electronic reporting. </w:t>
      </w:r>
      <w:r>
        <w:rPr>
          <w:rFonts w:ascii="Times New Roman" w:hAnsi="Times New Roman"/>
          <w:b w:val="false"/>
          <w:i w:val="false"/>
          <w:color w:val="000000"/>
          <w:sz w:val="22"/>
        </w:rPr>
        <w:t xml:space="preserve">Submitting a substitute form on removable media, such as compact disc, requires prior approval from the department. No prior approval is necessary for electronic reporting when the reporting is in accordance with department policy. Any electronic reporting of a substitute form requires department approval, unless otherwise authorized. Additional information regarding electronic reporting is available at Processing Services, P.O. Box 10413, Des Moines, Iowa 50306; or by email at </w:t>
      </w:r>
      <w:hyperlink r:id="rId13">
        <w:r>
          <w:rPr>
            <w:rStyle w:val="Hyperlink"/>
            <w:rFonts w:ascii="Times New Roman" w:hAnsi="Times New Roman"/>
            <w:b w:val="false"/>
            <w:i w:val="false"/>
            <w:color w:val="000000"/>
            <w:sz w:val="22"/>
            <w:u w:val="single"/>
          </w:rPr>
          <w:t>IDRSubForms@iowa.gov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701—8.4</w:t>
      </w:r>
      <w:r>
        <w:rPr>
          <w:rFonts w:ascii="Times New Roman" w:hAnsi="Times New Roman"/>
          <w:b/>
          <w:i w:val="false"/>
          <w:color w:val="000000"/>
          <w:sz w:val="22"/>
        </w:rPr>
        <w:t xml:space="preserve">(17A) </w:t>
      </w:r>
      <w:r>
        <w:rPr>
          <w:rFonts w:ascii="Times New Roman" w:hAnsi="Times New Roman"/>
          <w:b/>
          <w:i w:val="false"/>
          <w:color w:val="000000"/>
          <w:sz w:val="22"/>
        </w:rPr>
        <w:t xml:space="preserve">Description of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color w:val="000000"/>
          <w:sz w:val="22"/>
        </w:rPr>
        <w:t xml:space="preserve">Tax forms. </w:t>
      </w:r>
      <w:r>
        <w:rPr>
          <w:rFonts w:ascii="Times New Roman" w:hAnsi="Times New Roman"/>
          <w:b w:val="false"/>
          <w:i w:val="false"/>
          <w:color w:val="000000"/>
          <w:sz w:val="22"/>
        </w:rPr>
        <w:t>Taxes administered by the department that require forms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Corporate income return systems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Corporate income tax field and office audit systems, related field collections systems, and the corporate tax error resolution system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Franchise tax returns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Franchise audit and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Corporate and franchise estimated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 and fiduciary income returns use forms designed by the department as well as forms used in federal tax administration. Approved substitute forms may be used for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Individual and fiduciary income tax field and office audit systems and related field collections systems use forms designed by the department. Approved substitutes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New jobs tax credit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Individual income tax withholding payment voucher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IA-W4, declaration of estimated tax, and withholding penalty waiver systems use forms designed by the department. Approved substitutes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Sales and use tax payment vouchers and annual returns use forms designed by the department. Approved substitute forms may be used in limited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Local option sales and services tax and hotel/motel tax systems use forms designed by the department. Approved substitute forms may be used in limited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Field and office audit and collections systems for sales and use tax; sales tax refund examination systems; industrial machinery, equipment, and computer refund systems; and sales and use tax penalty waiver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Motor fuel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Special fuel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Motor fuel tax and special fuel tax error resolution systems and related field and office audit and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Inheritance and qualified use inheritance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Inheritance and qualified use inheritance tax field and office audit systems and related field collections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Cigarette and tobacco tax systems with related office and field audit and field collection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Property assessor and deputy assessor examination records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Centrally assessed property tax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Mobile, manufactured, and modular home reduced tax rate systems; Iowa elderly and disabled property tax credit and rent reimbursement systems; and special assessment credit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Environmental protection charge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Excise tax on unlawful dealing in certain substances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Taxpayer contact systems use forms designed by the department.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Federal and state exchange of information systems use forms designed by the department as well as others. Approved substitute forms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Accounts receivable notices systems use forms designed by the department. Developers may not provide a substitute accounts receivable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The department provides a taxpayer bill of rights, which sets forth the rights of a taxpayer and obligations of the department during an audit, procedures by which a taxpayer may appeal an adverse decision of the department, and procedures which the department uses to enforce the tax laws. Developers may not provide a substitute taxpayer bill of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17A.3(1)</w:t>
        </w:r>
        <w:r>
          <w:rPr>
            <w:rFonts w:ascii="Times New Roman" w:hAnsi="Times New Roman"/>
            <w:b w:val="false"/>
            <w:i/>
            <w:color w:val="000000"/>
            <w:sz w:val="22"/>
          </w:rPr>
          <w:t>“b,”</w:t>
        </w:r>
      </w:hyperlink>
      <w:r>
        <w:rPr>
          <w:rFonts w:ascii="Times New Roman" w:hAnsi="Times New Roman"/>
          <w:b w:val="false"/>
          <w:i w:val="false"/>
          <w:color w:val="000000"/>
          <w:sz w:val="22"/>
        </w:rPr>
        <w:t> </w:t>
      </w:r>
      <w:hyperlink r:id="rId17">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9875B</w:t>
      </w:r>
      <w:r>
        <w:rPr>
          <w:rFonts w:ascii="Times New Roman" w:hAnsi="Times New Roman"/>
          <w:b w:val="false"/>
          <w:i w:val="false"/>
          <w:color w:val="000000"/>
          <w:sz w:val="16"/>
        </w:rPr>
        <w:t>, IAB 11/30/11, effective 1/4/12</w:t>
      </w:r>
      <w:r>
        <w:rPr>
          <w:rFonts w:ascii="Times New Roman" w:hAnsi="Times New Roman"/>
          <w:b w:val="false"/>
          <w:i w:val="false"/>
          <w:color w:val="000000"/>
          <w:sz w:val="16"/>
        </w:rPr>
        <w:t xml:space="preserve">; </w:t>
      </w:r>
      <w:r>
        <w:rPr>
          <w:rFonts w:ascii="Times New Roman" w:hAnsi="Times New Roman"/>
          <w:b/>
          <w:i w:val="false"/>
          <w:color w:val="000000"/>
          <w:sz w:val="16"/>
        </w:rPr>
        <w:t>ARC 1545C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701—8.5</w:t>
      </w:r>
      <w:r>
        <w:rPr>
          <w:rFonts w:ascii="Times New Roman" w:hAnsi="Times New Roman"/>
          <w:b/>
          <w:i w:val="false"/>
          <w:color w:val="000000"/>
          <w:sz w:val="22"/>
        </w:rPr>
        <w:t xml:space="preserve">(422) </w:t>
      </w:r>
      <w:r>
        <w:rPr>
          <w:rFonts w:ascii="Times New Roman" w:hAnsi="Times New Roman"/>
          <w:b/>
          <w:i w:val="false"/>
          <w:color w:val="000000"/>
          <w:sz w:val="22"/>
        </w:rPr>
        <w:t xml:space="preserve">Electronic filing of Iowa income tax returns. </w:t>
      </w:r>
      <w:r>
        <w:rPr>
          <w:rFonts w:ascii="Times New Roman" w:hAnsi="Times New Roman"/>
          <w:b w:val="false"/>
          <w:i w:val="false"/>
          <w:color w:val="000000"/>
          <w:sz w:val="22"/>
        </w:rPr>
        <w:t>There is no statutory requirement that taxpayers file their Iowa income tax returns electronically. Taxpayers also have the option to file by paper. However, electronic filing allows individuals and businesses that meet department criteria to file their Iowa income tax returns electronically. When a taxpayer files an electronic return, all information related to the return should be electronically transmitted. No information is to be submitted on paper unless specifically requested by the department. A taxpayer’s electronic Iowa return shall include the same information as if the taxpayer had filed a paper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rule, the following definitions apply,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means a report generated by the department and sent electronically to a transmitter via the IRS indicating the department’s acceptance or rejection of an electronic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for e-File Return form” </w:t>
      </w:r>
      <w:r>
        <w:rPr>
          <w:rFonts w:ascii="Times New Roman" w:hAnsi="Times New Roman"/>
          <w:b w:val="false"/>
          <w:i w:val="false"/>
          <w:color w:val="000000"/>
          <w:sz w:val="22"/>
        </w:rPr>
        <w:t>means a taxpayer declaration form that authenticates the electronic tax return, authorizes its transmission, and consents to the financial transaction order as designated using the financial institution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debit” </w:t>
      </w:r>
      <w:r>
        <w:rPr>
          <w:rFonts w:ascii="Times New Roman" w:hAnsi="Times New Roman"/>
          <w:b w:val="false"/>
          <w:i w:val="false"/>
          <w:color w:val="000000"/>
          <w:sz w:val="22"/>
        </w:rPr>
        <w:t>means an order for electronic withdrawal of funds from a taxpayer’s financial institution account for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deposit” </w:t>
      </w:r>
      <w:r>
        <w:rPr>
          <w:rFonts w:ascii="Times New Roman" w:hAnsi="Times New Roman"/>
          <w:b w:val="false"/>
          <w:i w:val="false"/>
          <w:color w:val="000000"/>
          <w:sz w:val="22"/>
        </w:rPr>
        <w:t>means an order for electronic transfer of a refund into a taxpayer’s financial institution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“E-file provider” </w:t>
      </w:r>
      <w:r>
        <w:rPr>
          <w:rFonts w:ascii="Times New Roman" w:hAnsi="Times New Roman"/>
          <w:b w:val="false"/>
          <w:i w:val="false"/>
          <w:color w:val="000000"/>
          <w:sz w:val="22"/>
        </w:rPr>
        <w:t>means a firm that is assigned an Electronic Filing Identification Number (EFIN) by the IRS to assume any one or more of the following IRS e-file provider roles: electronic return originator, intermediate service provider, transmitter, software developer, or reporting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filing” </w:t>
      </w:r>
      <w:r>
        <w:rPr>
          <w:rFonts w:ascii="Times New Roman" w:hAnsi="Times New Roman"/>
          <w:b w:val="false"/>
          <w:i w:val="false"/>
          <w:color w:val="000000"/>
          <w:sz w:val="22"/>
        </w:rPr>
        <w:t>means a paperless filing of the Iowa income tax return, order for financial transaction, or both by way of the IRS e-file program, also known as federal/state electronic filing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return originator (ERO)” </w:t>
      </w:r>
      <w:r>
        <w:rPr>
          <w:rFonts w:ascii="Times New Roman" w:hAnsi="Times New Roman"/>
          <w:b w:val="false"/>
          <w:i w:val="false"/>
          <w:color w:val="000000"/>
          <w:sz w:val="22"/>
        </w:rPr>
        <w:t>means an authorized IRS e-file provider that originates the electronic submission by any one of the following methods: electronically sending an electronic tax return to a Transmitter that will transmit the electronic tax return to the IRS, directly transmitting the electronic tax return to the IRS, or providing the electronic tax return to an Intermediate Service Provider for processing prior to transmission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 xml:space="preserve">includes data in electronic form, which is logically associated with other data in electronic form and executed or adopted by a person with the intent to sign a document. This type of signature has the same legal standing as a handwritten signature if the requirements in either </w:t>
      </w:r>
      <w:r>
        <w:rPr>
          <w:rFonts w:ascii="Times New Roman" w:hAnsi="Times New Roman"/>
          <w:b w:val="false"/>
          <w:i w:val="false"/>
          <w:color w:val="000000"/>
          <w:sz w:val="22"/>
        </w:rPr>
        <w:t>paragraph 8.5(2)</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are met. Electronic signatures appear in many forms and may be created by many different technologies. No specific technology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“Intermediate service provider” </w:t>
      </w:r>
      <w:r>
        <w:rPr>
          <w:rFonts w:ascii="Times New Roman" w:hAnsi="Times New Roman"/>
          <w:b w:val="false"/>
          <w:i w:val="false"/>
          <w:color w:val="000000"/>
          <w:sz w:val="22"/>
        </w:rPr>
        <w:t>means the firm that assists with processing submission information between the ERO (or the taxpayer in the case of online filing) and a Transmitter.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filing” </w:t>
      </w:r>
      <w:r>
        <w:rPr>
          <w:rFonts w:ascii="Times New Roman" w:hAnsi="Times New Roman"/>
          <w:b w:val="false"/>
          <w:i w:val="false"/>
          <w:color w:val="000000"/>
          <w:sz w:val="22"/>
        </w:rPr>
        <w:t>means the process for taxpayers to self-prepare returns by entering return data directly into commercially available software, software downloaded from an Internet site and prepared off-line, or through an online Internet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“Origination of an electronic return” </w:t>
      </w:r>
      <w:r>
        <w:rPr>
          <w:rFonts w:ascii="Times New Roman" w:hAnsi="Times New Roman"/>
          <w:b w:val="false"/>
          <w:i w:val="false"/>
          <w:color w:val="000000"/>
          <w:sz w:val="22"/>
        </w:rPr>
        <w:t>means the action by an ERO of electronically sending the return directly to an Intermediate Service Provider, a Transmitter, or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“Reporting agent” </w:t>
      </w:r>
      <w:r>
        <w:rPr>
          <w:rFonts w:ascii="Times New Roman" w:hAnsi="Times New Roman"/>
          <w:b w:val="false"/>
          <w:i w:val="false"/>
          <w:color w:val="000000"/>
          <w:sz w:val="22"/>
        </w:rPr>
        <w:t>means a firm that originates the electronic submission of certain returns for its clients or transmits the returns to the IRS in accordance with the IRS electronic filing procedures,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“Software developer” </w:t>
      </w:r>
      <w:r>
        <w:rPr>
          <w:rFonts w:ascii="Times New Roman" w:hAnsi="Times New Roman"/>
          <w:b w:val="false"/>
          <w:i w:val="false"/>
          <w:color w:val="000000"/>
          <w:sz w:val="22"/>
        </w:rPr>
        <w:t>means an approved IRS e-file provider that develops software according to IRS and Iowa specifications for the purposes of formatting electronic returns, transmitting electronic returns directly to the IRS, or both. A software developer may sell its software.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“Stockpiling” </w:t>
      </w:r>
      <w:r>
        <w:rPr>
          <w:rFonts w:ascii="Times New Roman" w:hAnsi="Times New Roman"/>
          <w:b w:val="false"/>
          <w:i w:val="false"/>
          <w:color w:val="000000"/>
          <w:sz w:val="22"/>
        </w:rPr>
        <w:t>means collecting returns from taxpayers or from other e-file providers and waiting more than three calendar days after receiving the information necessary for transmission to transmit the returns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“Transmitter” </w:t>
      </w:r>
      <w:r>
        <w:rPr>
          <w:rFonts w:ascii="Times New Roman" w:hAnsi="Times New Roman"/>
          <w:b w:val="false"/>
          <w:i w:val="false"/>
          <w:color w:val="000000"/>
          <w:sz w:val="22"/>
        </w:rPr>
        <w:t>means a firm that transmits electronic tax return information directly to the IRS and routes electronic acknowledgments from the IRS (and the states) to the firm originating the electronic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8.5(2)</w:t>
      </w:r>
      <w:r>
        <w:rPr>
          <w:rFonts w:ascii="Times New Roman" w:hAnsi="Times New Roman"/>
          <w:b w:val="false"/>
          <w:i w:val="false"/>
          <w:color w:val="000000"/>
          <w:sz w:val="22"/>
        </w:rPr>
        <w:t> </w:t>
      </w:r>
      <w:r>
        <w:rPr>
          <w:rFonts w:ascii="Times New Roman" w:hAnsi="Times New Roman"/>
          <w:b w:val="false"/>
          <w:i/>
          <w:color w:val="000000"/>
          <w:sz w:val="22"/>
        </w:rPr>
        <w:t xml:space="preserve">Completion and documentation of the electronic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electronic submission must match the prepared return. The taxpayer(s) must declare the authenticity of the electronic return before it is transmitted. If the ERO makes changes to the electronic return after the Declaration for e-File Return form has been signed by the taxpayer(s), a new Declaration for e-File Return form must be completed and signed by the taxpayer(s) before the return is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signature via remote transaction. In lieu of in-person handwritten signatures, a paid preparer, at the discretion of the taxpayer, may collect taxpayers’ electronic signatures remotely by a process using identity verification and audit trail in the manner that the IRS allows for Form 8879.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signature via in-person transaction. Before a taxpayer electronically signs a Declaration for e-File Return form in which the ERO is physically present with the taxpayer, the ERO must validate the taxpayer’s identity unless there is a multiyear business relationship. A multiyear business relationship is one in which the ERO has originated returns for the taxpayer for a prior tax year and has identified the taxpayer using a valid government picture identification and the method in </w:t>
      </w:r>
      <w:r>
        <w:rPr>
          <w:rFonts w:ascii="Times New Roman" w:hAnsi="Times New Roman"/>
          <w:b w:val="false"/>
          <w:i w:val="false"/>
          <w:color w:val="000000"/>
          <w:sz w:val="22"/>
        </w:rPr>
        <w:t>paragraph 8.5(2)</w:t>
      </w:r>
      <w:r>
        <w:rPr>
          <w:rFonts w:ascii="Times New Roman" w:hAnsi="Times New Roman"/>
          <w:b w:val="false"/>
          <w:i/>
          <w:color w:val="000000"/>
          <w:sz w:val="22"/>
        </w:rPr>
        <w:t>“b.”</w:t>
      </w:r>
      <w:r>
        <w:rPr>
          <w:rFonts w:ascii="Times New Roman" w:hAnsi="Times New Roman"/>
          <w:b w:val="false"/>
          <w:i w:val="false"/>
          <w:color w:val="000000"/>
          <w:sz w:val="22"/>
        </w:rPr>
        <w:t xml:space="preserve"> For in-person transactions, identity verification through a record check is optional.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ERO must provide the taxpayer with a copy of all information to be filed. The taxpayer and ERO must retain all tax documentation for three years. The Declaration for e-File Return form and accompanying schedules are to be furnished to the department only when specifically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8.5(3)</w:t>
      </w:r>
      <w:r>
        <w:rPr>
          <w:rFonts w:ascii="Times New Roman" w:hAnsi="Times New Roman"/>
          <w:b w:val="false"/>
          <w:i w:val="false"/>
          <w:color w:val="000000"/>
          <w:sz w:val="22"/>
        </w:rPr>
        <w:t> </w:t>
      </w:r>
      <w:r>
        <w:rPr>
          <w:rFonts w:ascii="Times New Roman" w:hAnsi="Times New Roman"/>
          <w:b w:val="false"/>
          <w:i/>
          <w:color w:val="000000"/>
          <w:sz w:val="22"/>
        </w:rPr>
        <w:t xml:space="preserve">Direct deposit and direct debit.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Taxpayers designating direct deposit of the Iowa refund or direct debit of payment remitted to the department on electronically filed returns must provide proof of account ownership to the ERO. The department is not responsible for the misapplication of a direct deposit refund or direct debit payment caused by error, negligence, or wrongdoing on the part of the taxpayer, e-file provider, financial institution, or any agent of the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Once the return has been transmitted, the financial order may not be altered. The department may, when processing procedures allow, grant a taxpayer’s timely request to revoke the financial order. The taxpayer is responsible for revoking the financial order if the specified payment is not exactly as intended. A direct deposit or direct debit order will be disregarded by the department if the electronic submission is rejected for any reason as indicated in the acknowledgment.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when processing procedures require, convert a direct deposit order to a paper warrant. If a refund is deposited into an incorrect bank account, the department will issue a paper refund warrant once the funds are returned by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 withdrawal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will be withdrawn from the account specified in the direct debit order no sooner than the date specified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must be timely made to prevent the assessment of all applicable penalty and interest. A direct debit payment within an electronic submission is considered timely made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department accepts the electronic submission;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electronic postmark date is prior to the tax due date;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payment withdrawal date is prior to the tax due date;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direct debit payment is honored by the specified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tax due date has not yet elapsed, the withdrawal date should occur on or before the tax due date. Scheduling a withdrawal date after the tax due date will result in the assessment of all applicable penalty and interest unless the taxpayer otherwise makes payment before the tax 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tax due date has already elapsed, the withdrawal date should specify immediate payment to prevent the accrual of additional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Withdrawal cannot occur prior to the electronic postmark date. When the taxpayer attempts to schedule a withdrawal date that is prior to the electronic postmark date, the electronic postmark date is the withdrawal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taxpayer wants to change the withdrawal date specified in a financial order, the taxpayer must revoke the financial order and submit a new financial order. If the department determines that the taxpayer may have erroneously scheduled a withdrawal date, the department may notify the taxpayer of the possible error, but the department is not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8.5(4)</w:t>
      </w:r>
      <w:r>
        <w:rPr>
          <w:rFonts w:ascii="Times New Roman" w:hAnsi="Times New Roman"/>
          <w:b w:val="false"/>
          <w:i w:val="false"/>
          <w:color w:val="000000"/>
          <w:sz w:val="22"/>
        </w:rPr>
        <w:t> </w:t>
      </w:r>
      <w:r>
        <w:rPr>
          <w:rFonts w:ascii="Times New Roman" w:hAnsi="Times New Roman"/>
          <w:b w:val="false"/>
          <w:i/>
          <w:color w:val="000000"/>
          <w:sz w:val="22"/>
        </w:rPr>
        <w:t xml:space="preserve">Software approval. </w:t>
      </w:r>
      <w:r>
        <w:rPr>
          <w:rFonts w:ascii="Times New Roman" w:hAnsi="Times New Roman"/>
          <w:b w:val="false"/>
          <w:i w:val="false"/>
          <w:color w:val="000000"/>
          <w:sz w:val="22"/>
        </w:rPr>
        <w:t>Software developers that want to develop electronic submission formatting software for e-filing Iowa returns shall register their respective software products annually with the department. The department publishes specifications, test packages, and testing procedures. Software must pass transmission tests before the department will approve it for electronic filing of Iowa income tax returns. The department will define the test period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ERO acceptance to participate. </w:t>
      </w:r>
      <w:r>
        <w:rPr>
          <w:rFonts w:ascii="Times New Roman" w:hAnsi="Times New Roman"/>
          <w:b w:val="false"/>
          <w:i w:val="false"/>
          <w:color w:val="000000"/>
          <w:sz w:val="22"/>
        </w:rPr>
        <w:t>Once accepted by the IRS as an ERO for a specific tax type, the ERO is automatically accepted to e-file Iowa returns of that tax type, provided that the department offers the tax type for e-file.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w:t>
      </w:r>
      <w:r>
        <w:rPr>
          <w:rFonts w:ascii="Times New Roman" w:hAnsi="Times New Roman"/>
          <w:b w:val="false"/>
          <w:i w:val="false"/>
          <w:color w:val="000000"/>
          <w:sz w:val="22"/>
        </w:rPr>
        <w:t> </w:t>
      </w:r>
      <w:r>
        <w:rPr>
          <w:rFonts w:ascii="Times New Roman" w:hAnsi="Times New Roman"/>
          <w:b w:val="false"/>
          <w:i/>
          <w:color w:val="000000"/>
          <w:sz w:val="22"/>
        </w:rPr>
        <w:t xml:space="preserve">Suspension of an e-file provider from participation in the Iowa electronic filing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immediately suspend, without notice, an e-file provider from the Iowa electronic filing program. In most cases, a suspension is effective as of the date of the letter informing the e-file provider of the suspension. Before suspending an e-file provider, the department may issue a warning letter describing specific corrective action required to correct deviations set forth in paragraph </w:t>
      </w:r>
      <w:hyperlink r:id="rId19">
        <w:r>
          <w:rPr>
            <w:rStyle w:val="Hyperlink"/>
            <w:rFonts w:ascii="Times New Roman" w:hAnsi="Times New Roman"/>
            <w:b w:val="false"/>
            <w:i w:val="false"/>
            <w:color w:val="000000"/>
            <w:sz w:val="22"/>
          </w:rPr>
          <w:t>8.5(6)</w:t>
        </w:r>
        <w:r>
          <w:rPr>
            <w:rFonts w:ascii="Times New Roman" w:hAnsi="Times New Roman"/>
            <w:b w:val="false"/>
            <w:i/>
            <w:color w:val="000000"/>
            <w:sz w:val="22"/>
          </w:rPr>
          <w:t>“b.”</w:t>
        </w:r>
      </w:hyperlink>
      <w:r>
        <w:rPr>
          <w:rFonts w:ascii="Times New Roman" w:hAnsi="Times New Roman"/>
          <w:b w:val="false"/>
          <w:i w:val="false"/>
          <w:color w:val="000000"/>
          <w:sz w:val="22"/>
        </w:rPr>
        <w:t xml:space="preserve"> An e-file provider will be automatically prohibited from participating in the Iowa electronic filing program if denied participation in, or suspended from, the federal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e-file provider that is eligible to participate in the federal electronic filing program may be suspended from the Iowa electronic filing program if any of the following conditions occur. The list is for illustrative purposes only and is not deemed to be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Deterioration in the format of electronic returns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Unacceptable cumulative error or rejection rate or failure to correct errors resulting from the transmission of electronic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Untimely received, illegible, incomplete, missing, or unapproved substitute Declaration for e-File Return forms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Stockpiling returns at any time while participating in the Iowa electronic filing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retrieve acknowledgments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transmitter to initiate the communication of acknowledgments to the ERO within two working days of the department’s providing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Significant complaints about the e-file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cooperate with the department’s efforts to monitor e-file providers, investigate electronic filing abuse, and investigate the possible filing of fraudulent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Submitting the electronic return with information that is not identical to information on the Declaration for e-File Return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Transmitting the electronic return with software not approved by the department for use in the Iowa electronic filing program for the given tax type and tax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Failure on the part of the e-file provider to provide W-2s, 1099s, or out-of-state tax returns when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procedure for denial of participation or suspension of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firm has requested participation in the Iowa electronic filing program but there is reason to deny the request, the department shall send a letter to the firm advising that entry into the program has been denied. When an e-file provider is a participant in the Iowa electronic filing program but is to be suspended from the program for any condition described in </w:t>
      </w:r>
      <w:r>
        <w:rPr>
          <w:rFonts w:ascii="Times New Roman" w:hAnsi="Times New Roman"/>
          <w:b w:val="false"/>
          <w:i w:val="false"/>
          <w:color w:val="000000"/>
          <w:sz w:val="22"/>
        </w:rPr>
        <w:t>subrule 8.5(6)</w:t>
      </w:r>
      <w:r>
        <w:rPr>
          <w:rFonts w:ascii="Times New Roman" w:hAnsi="Times New Roman"/>
          <w:b w:val="false"/>
          <w:i w:val="false"/>
          <w:color w:val="000000"/>
          <w:sz w:val="22"/>
        </w:rPr>
        <w:t>, the department will send a letter to notify the e-file provider about its suspension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firm either disagrees with the denial of participation letter or the suspension from participation letter, the firm must file a written protest to the department within 60 days of the date of the denial letter or the suspension letter. The written protest must be filed pursuant to rule </w:t>
      </w:r>
      <w:hyperlink r:id="rId2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During the administrative review process, the denial of the firm’s participation in or the suspension of the firm from the Iowa electronic filing program shall remain in effect.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422.68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8603B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2915C</w:t>
      </w:r>
      <w:r>
        <w:rPr>
          <w:rFonts w:ascii="Times New Roman" w:hAnsi="Times New Roman"/>
          <w:b w:val="false"/>
          <w:i w:val="false"/>
          <w:color w:val="000000"/>
          <w:sz w:val="16"/>
        </w:rPr>
        <w:t>, IAB 1/18/17, effective 2/22/17</w:t>
      </w:r>
      <w:r>
        <w:rPr>
          <w:rFonts w:ascii="Times New Roman" w:hAnsi="Times New Roman"/>
          <w:b w:val="false"/>
          <w:i w:val="false"/>
          <w:color w:val="000000"/>
          <w:sz w:val="16"/>
        </w:rPr>
        <w:t xml:space="preserve">; </w:t>
      </w:r>
      <w:r>
        <w:rPr>
          <w:rFonts w:ascii="Times New Roman" w:hAnsi="Times New Roman"/>
          <w:b/>
          <w:i w:val="false"/>
          <w:color w:val="000000"/>
          <w:sz w:val="16"/>
        </w:rPr>
        <w:t>ARC 6567C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6987C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701—8.6</w:t>
      </w:r>
      <w:r>
        <w:rPr>
          <w:rFonts w:ascii="Times New Roman" w:hAnsi="Times New Roman"/>
          <w:b/>
          <w:i w:val="false"/>
          <w:color w:val="000000"/>
          <w:sz w:val="22"/>
        </w:rPr>
        <w:t xml:space="preserve">(421) </w:t>
      </w:r>
      <w:r>
        <w:rPr>
          <w:rFonts w:ascii="Times New Roman" w:hAnsi="Times New Roman"/>
          <w:b/>
          <w:i w:val="false"/>
          <w:color w:val="000000"/>
          <w:sz w:val="22"/>
        </w:rPr>
        <w:t xml:space="preserve">Electing to receive communications in electronic format in lieu of paper. </w:t>
      </w:r>
      <w:r>
        <w:rPr>
          <w:rFonts w:ascii="Times New Roman" w:hAnsi="Times New Roman"/>
          <w:b w:val="false"/>
          <w:i w:val="false"/>
          <w:color w:val="000000"/>
          <w:sz w:val="22"/>
        </w:rPr>
        <w:t xml:space="preserve">A taxpayer that is a registered account holder in GovConnectIowa may elect to receive notices, correspondence, or other communication electronically through GovConnectIowa in lieu of receiving them by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w:t>
      </w:r>
      <w:r>
        <w:rPr>
          <w:rFonts w:ascii="Times New Roman" w:hAnsi="Times New Roman"/>
          <w:b w:val="false"/>
          <w:i w:val="false"/>
          <w:color w:val="000000"/>
          <w:sz w:val="22"/>
        </w:rPr>
        <w:t> </w:t>
      </w:r>
      <w:r>
        <w:rPr>
          <w:rFonts w:ascii="Times New Roman" w:hAnsi="Times New Roman"/>
          <w:b w:val="false"/>
          <w:i/>
          <w:color w:val="000000"/>
          <w:sz w:val="22"/>
        </w:rPr>
        <w:t xml:space="preserve">How to make the election. </w:t>
      </w:r>
      <w:r>
        <w:rPr>
          <w:rFonts w:ascii="Times New Roman" w:hAnsi="Times New Roman"/>
          <w:b w:val="false"/>
          <w:i w:val="false"/>
          <w:color w:val="000000"/>
          <w:sz w:val="22"/>
        </w:rPr>
        <w:t xml:space="preserve">The election must be made by selecting the appropriate setting on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election only exists for persons registered in GovConnectIowa.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specified elsewhere in rule, this option is limited to notices, correspondence, or other communications on tax types managed in GovConnectIowa.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department finds it beneficial to continue to send items by regular mail, the department may continue to send regular mail even if an electronic copy is also provided and even if the person elects to receive electronic mail.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w:t>
      </w:r>
      <w:r>
        <w:rPr>
          <w:rFonts w:ascii="Times New Roman" w:hAnsi="Times New Roman"/>
          <w:b w:val="false"/>
          <w:i w:val="false"/>
          <w:color w:val="000000"/>
          <w:sz w:val="22"/>
        </w:rPr>
        <w:t> </w:t>
      </w:r>
      <w:r>
        <w:rPr>
          <w:rFonts w:ascii="Times New Roman" w:hAnsi="Times New Roman"/>
          <w:b w:val="false"/>
          <w:i/>
          <w:color w:val="000000"/>
          <w:sz w:val="22"/>
        </w:rPr>
        <w:t xml:space="preserve">When service occurs. </w:t>
      </w:r>
      <w:r>
        <w:rPr>
          <w:rFonts w:ascii="Times New Roman" w:hAnsi="Times New Roman"/>
          <w:b w:val="false"/>
          <w:i w:val="false"/>
          <w:color w:val="000000"/>
          <w:sz w:val="22"/>
        </w:rPr>
        <w:t>If the department sends a notice, correspondence, or other communication by both mail and electronic communication, service occurs upon the earlier of when the communication is posted to GovConnectIowa or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w:t>
      </w:r>
      <w:r>
        <w:rPr>
          <w:rFonts w:ascii="Times New Roman" w:hAnsi="Times New Roman"/>
          <w:b w:val="false"/>
          <w:i w:val="false"/>
          <w:color w:val="000000"/>
          <w:sz w:val="22"/>
        </w:rPr>
        <w:t> </w:t>
      </w:r>
      <w:r>
        <w:rPr>
          <w:rFonts w:ascii="Times New Roman" w:hAnsi="Times New Roman"/>
          <w:b w:val="false"/>
          <w:i/>
          <w:color w:val="000000"/>
          <w:sz w:val="22"/>
        </w:rPr>
        <w:t xml:space="preserve">Taxpayer authorized representatives. </w:t>
      </w:r>
      <w:r>
        <w:rPr>
          <w:rFonts w:ascii="Times New Roman" w:hAnsi="Times New Roman"/>
          <w:b w:val="false"/>
          <w:i w:val="false"/>
          <w:color w:val="000000"/>
          <w:sz w:val="22"/>
        </w:rPr>
        <w:t xml:space="preserve">Authorized representatives as described in rule </w:t>
      </w:r>
      <w:hyperlink r:id="rId23">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 cannot opt out of paper mail for the taxpayers they represent. For each account an authorized representative represents, the authorized representative will receive paper copies of notices, correspondence, or other communication sent to the represented taxpayer. If the authorized representative creates a login and requests and is granted account access for the represented taxpayer, the authorized representative will be able to view electronic versions of the notices, correspondence, or other communication the represented taxpayer receives, but the authorized representative will still receive paper copies of those notices, correspondence, or other communication.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421.60(11)</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6550C</w:t>
      </w:r>
      <w:r>
        <w:rPr>
          <w:rFonts w:ascii="Times New Roman" w:hAnsi="Times New Roman"/>
          <w:b w:val="false"/>
          <w:i w:val="false"/>
          <w:color w:val="000000"/>
          <w:sz w:val="16"/>
        </w:rPr>
        <w:t>, IAB 10/5/22, effective 11/14/22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701—8.7</w:t>
      </w:r>
      <w:r>
        <w:rPr>
          <w:rFonts w:ascii="Times New Roman" w:hAnsi="Times New Roman"/>
          <w:b/>
          <w:i w:val="false"/>
          <w:color w:val="000000"/>
          <w:sz w:val="22"/>
        </w:rPr>
        <w:t xml:space="preserve">(422,533) </w:t>
      </w:r>
      <w:r>
        <w:rPr>
          <w:rFonts w:ascii="Times New Roman" w:hAnsi="Times New Roman"/>
          <w:b/>
          <w:i w:val="false"/>
          <w:color w:val="000000"/>
          <w:sz w:val="22"/>
        </w:rPr>
        <w:t xml:space="preserve">Mandatory electronic filing for certain taxpayers. </w:t>
      </w:r>
      <w:r>
        <w:rPr>
          <w:rFonts w:ascii="Times New Roman" w:hAnsi="Times New Roman"/>
          <w:b w:val="false"/>
          <w:i w:val="false"/>
          <w:color w:val="000000"/>
          <w:sz w:val="22"/>
        </w:rPr>
        <w:t>Iowa corporate and fiduciary income and franchise taxpayers, and pass-through entities subject to Iowa income reporting requirements, are required to file their annual returns in an electronic format approved by the department for any tax year in which certain criteria are met. This rule provides information needed to determine whether any entity is subject to this electronic filing requirement for a given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 xml:space="preserve">when used in this rule, means entities taxed as corporations, partnerships, S corporations, and financial institutions as defined in Iowa Code section </w:t>
      </w:r>
      <w:hyperlink r:id="rId25">
        <w:r>
          <w:rPr>
            <w:rStyle w:val="Hyperlink"/>
            <w:rFonts w:ascii="Times New Roman" w:hAnsi="Times New Roman"/>
            <w:b w:val="false"/>
            <w:i w:val="false"/>
            <w:color w:val="000000"/>
            <w:sz w:val="22"/>
          </w:rPr>
          <w:t>422.61(1)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“Fiduciary taxpayer” </w:t>
      </w:r>
      <w:r>
        <w:rPr>
          <w:rFonts w:ascii="Times New Roman" w:hAnsi="Times New Roman"/>
          <w:b w:val="false"/>
          <w:i w:val="false"/>
          <w:color w:val="000000"/>
          <w:sz w:val="22"/>
        </w:rPr>
        <w:t xml:space="preserve">means the same as “fiduciary” as defined in Iowa Code section </w:t>
      </w:r>
      <w:hyperlink r:id="rId26">
        <w:r>
          <w:rPr>
            <w:rStyle w:val="Hyperlink"/>
            <w:rFonts w:ascii="Times New Roman" w:hAnsi="Times New Roman"/>
            <w:b w:val="false"/>
            <w:i w:val="false"/>
            <w:color w:val="000000"/>
            <w:sz w:val="22"/>
          </w:rPr>
          <w:t>422.4(4)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means refundable and nonrefundable tax credits authorized under the Iowa Code for the tax year in which they are claimed or applied, but does not include credits for prior payments or composite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“Return,” </w:t>
      </w:r>
      <w:r>
        <w:rPr>
          <w:rFonts w:ascii="Times New Roman" w:hAnsi="Times New Roman"/>
          <w:b w:val="false"/>
          <w:i w:val="false"/>
          <w:color w:val="000000"/>
          <w:sz w:val="22"/>
        </w:rPr>
        <w:t>when used in this rule, means Form IA 1120, IA 1120S, IA 1120F, IA 1065, IA PTE-C, or IA 1041, as context requires, and includes amended returns, supporting schedules, attachments, or lists which are supplemental to or part of the filed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“Taxpayer,” </w:t>
      </w:r>
      <w:r>
        <w:rPr>
          <w:rFonts w:ascii="Times New Roman" w:hAnsi="Times New Roman"/>
          <w:b w:val="false"/>
          <w:i w:val="false"/>
          <w:color w:val="000000"/>
          <w:sz w:val="22"/>
        </w:rPr>
        <w:t>unless the context otherwise requires, means any business entity, financial institution, or fiduciary taxpayer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year” </w:t>
      </w:r>
      <w:r>
        <w:rPr>
          <w:rFonts w:ascii="Times New Roman" w:hAnsi="Times New Roman"/>
          <w:b w:val="false"/>
          <w:i w:val="false"/>
          <w:color w:val="000000"/>
          <w:sz w:val="22"/>
        </w:rPr>
        <w:t xml:space="preserve">means any period of up to 12 months, including periods of less than 12 months, for which a taxpayer subject to this rule is required to file an Iowa income tax, franchise tax, or information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gross receipts” </w:t>
      </w:r>
      <w:r>
        <w:rPr>
          <w:rFonts w:ascii="Times New Roman" w:hAnsi="Times New Roman"/>
          <w:b w:val="false"/>
          <w:i w:val="false"/>
          <w:color w:val="000000"/>
          <w:sz w:val="22"/>
        </w:rPr>
        <w:t>means gross receipts or sales from all business operations conducted within and without Iowa without any adjustment for returns and allowances, and also includes receipts from all interest, dividends, rents, and royalties; income from ordinary and capital gains; and the distributive share of income received by the taxpayer from a partnership, S corporation,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8.7(2)</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for filing. </w:t>
      </w:r>
      <w:r>
        <w:rPr>
          <w:rFonts w:ascii="Times New Roman" w:hAnsi="Times New Roman"/>
          <w:b w:val="false"/>
          <w:i w:val="false"/>
          <w:color w:val="000000"/>
          <w:sz w:val="22"/>
        </w:rPr>
        <w:t xml:space="preserve">A taxpayer that meets any of the criteria for mandatory electronic filing in </w:t>
      </w:r>
      <w:hyperlink r:id="rId27">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shall file a paperless Iowa income or franchise tax return by way of the Internal Revenue Service (IRS) Modernized e-File (MeF) program, also known as federal/state electronic filing, in a manner consistent with the requirements of rule </w:t>
      </w:r>
      <w:hyperlink r:id="rId28">
        <w:r>
          <w:rPr>
            <w:rStyle w:val="Hyperlink"/>
            <w:rFonts w:ascii="Times New Roman" w:hAnsi="Times New Roman"/>
            <w:b w:val="false"/>
            <w:i w:val="false"/>
            <w:color w:val="000000"/>
            <w:sz w:val="22"/>
          </w:rPr>
          <w:t>701—8.5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8.7(3)</w:t>
      </w:r>
      <w:r>
        <w:rPr>
          <w:rFonts w:ascii="Times New Roman" w:hAnsi="Times New Roman"/>
          <w:b w:val="false"/>
          <w:i w:val="false"/>
          <w:color w:val="000000"/>
          <w:sz w:val="22"/>
        </w:rPr>
        <w:t> </w:t>
      </w:r>
      <w:r>
        <w:rPr>
          <w:rFonts w:ascii="Times New Roman" w:hAnsi="Times New Roman"/>
          <w:b w:val="false"/>
          <w:i/>
          <w:color w:val="000000"/>
          <w:sz w:val="22"/>
        </w:rPr>
        <w:t xml:space="preserve">Criteria for mandatory electronic filing. </w:t>
      </w:r>
      <w:r>
        <w:rPr>
          <w:rFonts w:ascii="Times New Roman" w:hAnsi="Times New Roman"/>
          <w:b w:val="false"/>
          <w:i w:val="false"/>
          <w:color w:val="000000"/>
          <w:sz w:val="22"/>
        </w:rPr>
        <w:t xml:space="preserve">This subrule applies to business entities for tax years ending on or after December 31, 2022, and to fiduciary taxpayers for tax years ending on or after December 31, 2023. Every taxpayer required to file an Iowa income or franchise tax return for an applicable year must file using the electronic format specified in </w:t>
      </w:r>
      <w:hyperlink r:id="rId29">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if the taxpayer meets any of the following criteria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Gross receipts. </w:t>
      </w:r>
      <w:r>
        <w:rPr>
          <w:rFonts w:ascii="Times New Roman" w:hAnsi="Times New Roman"/>
          <w:b w:val="false"/>
          <w:i w:val="false"/>
          <w:color w:val="000000"/>
          <w:sz w:val="22"/>
        </w:rPr>
        <w:t>The taxpayer has $250,000 or more in total gross receipts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tax credits. </w:t>
      </w:r>
      <w:r>
        <w:rPr>
          <w:rFonts w:ascii="Times New Roman" w:hAnsi="Times New Roman"/>
          <w:b w:val="false"/>
          <w:i w:val="false"/>
          <w:color w:val="000000"/>
          <w:sz w:val="22"/>
        </w:rPr>
        <w:t>The taxpayer claims or applies $25,000 or more of Iowa tax credits on the return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Schedules K-1. </w:t>
      </w:r>
      <w:r>
        <w:rPr>
          <w:rFonts w:ascii="Times New Roman" w:hAnsi="Times New Roman"/>
          <w:b w:val="false"/>
          <w:i w:val="false"/>
          <w:color w:val="000000"/>
          <w:sz w:val="22"/>
        </w:rPr>
        <w:t>The taxpayer is required to issue ten or more Iowa Schedules K-1 to its partners, members, shareholders, or beneficiaries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Consolidated corporate return. </w:t>
      </w:r>
      <w:r>
        <w:rPr>
          <w:rFonts w:ascii="Times New Roman" w:hAnsi="Times New Roman"/>
          <w:b w:val="false"/>
          <w:i w:val="false"/>
          <w:color w:val="000000"/>
          <w:sz w:val="22"/>
        </w:rPr>
        <w:t xml:space="preserve">The taxpayer elects or is required to file or be included on an Iowa consolidated corporate income tax return under Iowa Code section </w:t>
      </w:r>
      <w:hyperlink r:id="rId30">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for the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8.7(4)</w:t>
      </w:r>
      <w:r>
        <w:rPr>
          <w:rFonts w:ascii="Times New Roman" w:hAnsi="Times New Roman"/>
          <w:b w:val="false"/>
          <w:i w:val="false"/>
          <w:color w:val="000000"/>
          <w:sz w:val="22"/>
        </w:rPr>
        <w:t> </w:t>
      </w:r>
      <w:r>
        <w:rPr>
          <w:rFonts w:ascii="Times New Roman" w:hAnsi="Times New Roman"/>
          <w:b w:val="false"/>
          <w:i/>
          <w:color w:val="000000"/>
          <w:sz w:val="22"/>
        </w:rPr>
        <w:t xml:space="preserve">Returns not in compliance with this rule. </w:t>
      </w:r>
      <w:r>
        <w:rPr>
          <w:rFonts w:ascii="Times New Roman" w:hAnsi="Times New Roman"/>
          <w:b w:val="false"/>
          <w:i w:val="false"/>
          <w:color w:val="000000"/>
          <w:sz w:val="22"/>
        </w:rPr>
        <w:t xml:space="preserve">Any return filed in any manner other than the manner specified in </w:t>
      </w:r>
      <w:hyperlink r:id="rId31">
        <w:r>
          <w:rPr>
            <w:rStyle w:val="Hyperlink"/>
            <w:rFonts w:ascii="Times New Roman" w:hAnsi="Times New Roman"/>
            <w:b w:val="false"/>
            <w:i w:val="false"/>
            <w:color w:val="000000"/>
            <w:sz w:val="22"/>
          </w:rPr>
          <w:t>subrule 8.7(2)</w:t>
        </w:r>
      </w:hyperlink>
      <w:r>
        <w:rPr>
          <w:rFonts w:ascii="Times New Roman" w:hAnsi="Times New Roman"/>
          <w:b w:val="false"/>
          <w:i w:val="false"/>
          <w:color w:val="000000"/>
          <w:sz w:val="22"/>
        </w:rPr>
        <w:t xml:space="preserve"> by a taxpayer that meets any of the criteria for mandatory electronic filing as described in </w:t>
      </w:r>
      <w:hyperlink r:id="rId32">
        <w:r>
          <w:rPr>
            <w:rStyle w:val="Hyperlink"/>
            <w:rFonts w:ascii="Times New Roman" w:hAnsi="Times New Roman"/>
            <w:b w:val="false"/>
            <w:i w:val="false"/>
            <w:color w:val="000000"/>
            <w:sz w:val="22"/>
          </w:rPr>
          <w:t>subrule 8.7(3)</w:t>
        </w:r>
      </w:hyperlink>
      <w:r>
        <w:rPr>
          <w:rFonts w:ascii="Times New Roman" w:hAnsi="Times New Roman"/>
          <w:b w:val="false"/>
          <w:i w:val="false"/>
          <w:color w:val="000000"/>
          <w:sz w:val="22"/>
        </w:rPr>
        <w:t xml:space="preserve"> is not a valid return. The taxpayer is a nonfiler for the tax year for which the return was required, and may be subject to the failure to file penalties as provided for in rules </w:t>
      </w:r>
      <w:hyperlink r:id="rId33">
        <w:r>
          <w:rPr>
            <w:rStyle w:val="Hyperlink"/>
            <w:rFonts w:ascii="Times New Roman" w:hAnsi="Times New Roman"/>
            <w:b w:val="false"/>
            <w:i w:val="false"/>
            <w:color w:val="000000"/>
            <w:sz w:val="22"/>
          </w:rPr>
          <w:t>701—10.6</w:t>
        </w:r>
      </w:hyperlink>
      <w:r>
        <w:rPr>
          <w:rFonts w:ascii="Times New Roman" w:hAnsi="Times New Roman"/>
          <w:b w:val="false"/>
          <w:i w:val="false"/>
          <w:color w:val="000000"/>
          <w:sz w:val="22"/>
        </w:rPr>
        <w:t xml:space="preserve">(421) and </w:t>
      </w:r>
      <w:hyperlink r:id="rId34">
        <w:r>
          <w:rPr>
            <w:rStyle w:val="Hyperlink"/>
            <w:rFonts w:ascii="Times New Roman" w:hAnsi="Times New Roman"/>
            <w:b w:val="false"/>
            <w:i w:val="false"/>
            <w:color w:val="000000"/>
            <w:sz w:val="22"/>
          </w:rPr>
          <w:t>701—10.9</w:t>
        </w:r>
      </w:hyperlink>
      <w:r>
        <w:rPr>
          <w:rFonts w:ascii="Times New Roman" w:hAnsi="Times New Roman"/>
          <w:b w:val="false"/>
          <w:i w:val="false"/>
          <w:color w:val="000000"/>
          <w:sz w:val="22"/>
        </w:rPr>
        <w:t xml:space="preserve">(421), until such time as the taxpayer files the return in the proper electronic format. This subrule shall not apply if an exception has been granted under </w:t>
      </w:r>
      <w:hyperlink r:id="rId35">
        <w:r>
          <w:rPr>
            <w:rStyle w:val="Hyperlink"/>
            <w:rFonts w:ascii="Times New Roman" w:hAnsi="Times New Roman"/>
            <w:b w:val="false"/>
            <w:i w:val="false"/>
            <w:color w:val="000000"/>
            <w:sz w:val="22"/>
          </w:rPr>
          <w:t>subrule 8.7(5)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8.7(5)</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At the department’s discretion, exceptions to the electronic filing requirement under this rule may be granted for good cause. The taxpayer bears the burden to prove that good cause exists for the failure to file electronically. Except as provided in paragraph 8.7(5)</w:t>
      </w:r>
      <w:r>
        <w:rPr>
          <w:rFonts w:ascii="Times New Roman" w:hAnsi="Times New Roman"/>
          <w:b w:val="false"/>
          <w:i/>
          <w:color w:val="000000"/>
          <w:sz w:val="22"/>
        </w:rPr>
        <w:t>“b,”</w:t>
      </w:r>
      <w:r>
        <w:rPr>
          <w:rFonts w:ascii="Times New Roman" w:hAnsi="Times New Roman"/>
          <w:b w:val="false"/>
          <w:i w:val="false"/>
          <w:color w:val="000000"/>
          <w:sz w:val="22"/>
        </w:rPr>
        <w:t xml:space="preserve"> a claim that the return preparation software purchased or licensed by a taxpayer or taxpayer’s return preparer does not include all of the features necessary to comply with the taxpayer’s Iowa filing obligations shall not be considered good cause for purposes of granting an exception to the electronic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Requests for exceptions to the electronic filing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Form of request. Requests for exceptions to the electronic filing requirement must be submitted by mail or online through GovConnectIowa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Timing of request. Requests for exceptions to the electronic filing requirement must be submitted before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Department determination. The department will notify the taxpayer in writing whether a request for an exception to the electronic filing requirement has been approved or denied. If the department does not respond to a taxpayer’s valid request for an exception to the electronic filing requirement within 90 days of the date the request is received, the request shall be deemed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Applicability of exception. An exception to the electronic filing requirement, if granted, shall only be valid for the tax year for which it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relief provided by the department. </w:t>
      </w:r>
      <w:r>
        <w:rPr>
          <w:rFonts w:ascii="Times New Roman" w:hAnsi="Times New Roman"/>
          <w:b w:val="false"/>
          <w:i w:val="false"/>
          <w:color w:val="000000"/>
          <w:sz w:val="22"/>
        </w:rPr>
        <w:t xml:space="preserve">The department may, at its discretion, offer a good-cause exception to the electronic filing requirement for filers of a specific return type or form for a specific filing period by providing such an exception in the instructions for that return type or form or by an order issued by the director. Taxpayers must comply with all instructions provided by the department in order to qualify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Temporary one-time relief. </w:t>
      </w:r>
      <w:r>
        <w:rPr>
          <w:rFonts w:ascii="Times New Roman" w:hAnsi="Times New Roman"/>
          <w:b w:val="false"/>
          <w:i w:val="false"/>
          <w:color w:val="000000"/>
          <w:sz w:val="22"/>
        </w:rPr>
        <w:t>For tax years ending on or before December 31, 2023, if the department determines a taxpayer that filed a paper return was required to file in an electronic manner as provided in this rule, the department will notify the taxpayer in writing of the requirements of this rule. If the taxpayer properly files in an electronic manner within 30 days of the date of the notification under this paragraph, the department shall grant an exception to the requirements of this rule and deem the originally filed paper return a valid return. A taxpayer shall only be granted the benefit of this paragraph for one eligible return.</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2022 Iowa Acts, House File 2552</w:t>
      </w:r>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6640C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 xml:space="preserve">; </w:t>
      </w:r>
      <w:r>
        <w:rPr>
          <w:rFonts w:ascii="Times New Roman" w:hAnsi="Times New Roman"/>
          <w:b/>
          <w:i w:val="false"/>
          <w:color w:val="000000"/>
          <w:sz w:val="16"/>
        </w:rPr>
        <w:t>ARC 6990C</w:t>
      </w:r>
      <w:r>
        <w:rPr>
          <w:rFonts w:ascii="Times New Roman" w:hAnsi="Times New Roman"/>
          <w:b w:val="false"/>
          <w:i w:val="false"/>
          <w:color w:val="000000"/>
          <w:sz w:val="16"/>
        </w:rPr>
        <w:t>, IAB 4/19/23, effective 5/24/23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7/1/75]</w:t>
      </w:r>
    </w:p>
    <w:p>
      <w:pPr>
        <w:spacing w:before="0" w:after="0"/>
        <w:ind w:left="120"/>
        <w:jc w:val="center"/>
      </w:pPr>
      <w:r>
        <w:rPr>
          <w:rFonts w:ascii="Times New Roman" w:hAnsi="Times New Roman"/>
          <w:b w:val="false"/>
          <w:i w:val="false"/>
          <w:color w:val="000000"/>
          <w:sz w:val="21"/>
        </w:rPr>
        <w:t>[Filed 3/2/79, Notice 1/24/79—published 3/21/79, effective 4/25/79]</w:t>
      </w:r>
    </w:p>
    <w:p>
      <w:pPr>
        <w:spacing w:before="0" w:after="0"/>
        <w:ind w:left="120"/>
        <w:jc w:val="center"/>
      </w:pPr>
      <w:r>
        <w:rPr>
          <w:rFonts w:ascii="Times New Roman" w:hAnsi="Times New Roman"/>
          <w:b w:val="false"/>
          <w:i w:val="false"/>
          <w:color w:val="000000"/>
          <w:sz w:val="21"/>
        </w:rPr>
        <w:t>[Filed emergency 3/2/79—published 3/21/79, effective 3/2/79]</w:t>
      </w:r>
    </w:p>
    <w:p>
      <w:pPr>
        <w:spacing w:before="0" w:after="0"/>
        <w:ind w:left="120"/>
        <w:jc w:val="center"/>
      </w:pPr>
      <w:r>
        <w:rPr>
          <w:rFonts w:ascii="Times New Roman" w:hAnsi="Times New Roman"/>
          <w:b w:val="false"/>
          <w:i w:val="false"/>
          <w:color w:val="000000"/>
          <w:sz w:val="21"/>
        </w:rPr>
        <w:t>[Filed 4/26/79, Notice 3/21/79—published 5/16/79, effective 6/20/79]</w:t>
      </w:r>
    </w:p>
    <w:p>
      <w:pPr>
        <w:spacing w:before="0" w:after="0"/>
        <w:ind w:left="120"/>
        <w:jc w:val="center"/>
      </w:pPr>
      <w:r>
        <w:rPr>
          <w:rFonts w:ascii="Times New Roman" w:hAnsi="Times New Roman"/>
          <w:b w:val="false"/>
          <w:i w:val="false"/>
          <w:color w:val="000000"/>
          <w:sz w:val="21"/>
        </w:rPr>
        <w:t>[Filed emergency 6/11/79—published 6/27/79, effective 6/27/79]</w:t>
      </w:r>
    </w:p>
    <w:p>
      <w:pPr>
        <w:spacing w:before="0" w:after="0"/>
        <w:ind w:left="120"/>
        <w:jc w:val="center"/>
      </w:pPr>
      <w:r>
        <w:rPr>
          <w:rFonts w:ascii="Times New Roman" w:hAnsi="Times New Roman"/>
          <w:b w:val="false"/>
          <w:i w:val="false"/>
          <w:color w:val="000000"/>
          <w:sz w:val="21"/>
        </w:rPr>
        <w:t>[Filed 6/22/79, Notice 5/16/79—published 7/11/79, effective 8/15/79]</w:t>
      </w:r>
    </w:p>
    <w:p>
      <w:pPr>
        <w:spacing w:before="0" w:after="0"/>
        <w:ind w:left="120"/>
        <w:jc w:val="center"/>
      </w:pPr>
      <w:r>
        <w:rPr>
          <w:rFonts w:ascii="Times New Roman" w:hAnsi="Times New Roman"/>
          <w:b w:val="false"/>
          <w:i w:val="false"/>
          <w:color w:val="000000"/>
          <w:sz w:val="21"/>
        </w:rPr>
        <w:t>[Filed 8/17/79, Notice 7/11/79—published 9/5/79, effective 10/11/79]</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1/18/80, Notice 12/12/79—published 2/6/80, effective 3/12/80]</w:t>
      </w:r>
    </w:p>
    <w:p>
      <w:pPr>
        <w:spacing w:before="0" w:after="0"/>
        <w:ind w:left="120"/>
        <w:jc w:val="center"/>
      </w:pPr>
      <w:r>
        <w:rPr>
          <w:rFonts w:ascii="Times New Roman" w:hAnsi="Times New Roman"/>
          <w:b w:val="false"/>
          <w:i w:val="false"/>
          <w:color w:val="000000"/>
          <w:sz w:val="21"/>
        </w:rPr>
        <w:t>[Filed 2/1/80, Notice 12/26/79—published 2/20/80, effective 3/26/80]</w:t>
      </w:r>
    </w:p>
    <w:p>
      <w:pPr>
        <w:spacing w:before="0" w:after="0"/>
        <w:ind w:left="120"/>
        <w:jc w:val="center"/>
      </w:pPr>
      <w:r>
        <w:rPr>
          <w:rFonts w:ascii="Times New Roman" w:hAnsi="Times New Roman"/>
          <w:b w:val="false"/>
          <w:i w:val="false"/>
          <w:color w:val="000000"/>
          <w:sz w:val="21"/>
        </w:rPr>
        <w:t>[Filed emergency 6/9/80—published 6/25/80, effective 6/9/80]</w:t>
      </w:r>
    </w:p>
    <w:p>
      <w:pPr>
        <w:spacing w:before="0" w:after="0"/>
        <w:ind w:left="120"/>
        <w:jc w:val="center"/>
      </w:pPr>
      <w:r>
        <w:rPr>
          <w:rFonts w:ascii="Times New Roman" w:hAnsi="Times New Roman"/>
          <w:b w:val="false"/>
          <w:i w:val="false"/>
          <w:color w:val="000000"/>
          <w:sz w:val="21"/>
        </w:rPr>
        <w:t>[Filed 6/6/80, Notice 4/30/80—published 6/25/80, effective 7/30/80]</w:t>
      </w:r>
    </w:p>
    <w:p>
      <w:pPr>
        <w:spacing w:before="0" w:after="0"/>
        <w:ind w:left="120"/>
        <w:jc w:val="center"/>
      </w:pPr>
      <w:r>
        <w:rPr>
          <w:rFonts w:ascii="Times New Roman" w:hAnsi="Times New Roman"/>
          <w:b w:val="false"/>
          <w:i w:val="false"/>
          <w:color w:val="000000"/>
          <w:sz w:val="21"/>
        </w:rPr>
        <w:t>[Filed 9/12/80, Notice 8/6/80—published 10/1/80, effective 11/5/80]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6/10/88, Notice 5/4/88—published 6/29/88, effective 8/3/88]</w:t>
      </w:r>
    </w:p>
    <w:p>
      <w:pPr>
        <w:spacing w:before="0" w:after="0"/>
        <w:ind w:left="120"/>
        <w:jc w:val="center"/>
      </w:pPr>
      <w:r>
        <w:rPr>
          <w:rFonts w:ascii="Times New Roman" w:hAnsi="Times New Roman"/>
          <w:b w:val="false"/>
          <w:i w:val="false"/>
          <w:color w:val="000000"/>
          <w:sz w:val="21"/>
        </w:rPr>
        <w:t>[Filed 12/22/89, Notice 11/15/89—published 1/10/90, effective 2/14/90]</w:t>
      </w:r>
    </w:p>
    <w:p>
      <w:pPr>
        <w:spacing w:before="0" w:after="0"/>
        <w:ind w:left="120"/>
        <w:jc w:val="center"/>
      </w:pPr>
      <w:r>
        <w:rPr>
          <w:rFonts w:ascii="Times New Roman" w:hAnsi="Times New Roman"/>
          <w:b w:val="false"/>
          <w:i w:val="false"/>
          <w:color w:val="000000"/>
          <w:sz w:val="21"/>
        </w:rPr>
        <w:t>[Filed 12/17/93, Notice 10/27/93—published 1/5/94, effective 2/9/94]</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11/3/95, Notice 9/27/95—published 11/22/95, effective 12/27/95]</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8603B</w:t>
      </w:r>
      <w:r>
        <w:rPr>
          <w:rFonts w:ascii="Times New Roman" w:hAnsi="Times New Roman"/>
          <w:b w:val="false"/>
          <w:i w:val="false"/>
          <w:color w:val="000000"/>
          <w:sz w:val="21"/>
        </w:rPr>
        <w:t xml:space="preserve"> (Notice ARC 8482B,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9875B</w:t>
      </w:r>
      <w:r>
        <w:rPr>
          <w:rFonts w:ascii="Times New Roman" w:hAnsi="Times New Roman"/>
          <w:b w:val="false"/>
          <w:i w:val="false"/>
          <w:color w:val="000000"/>
          <w:sz w:val="21"/>
        </w:rPr>
        <w:t xml:space="preserve"> (Notice ARC 9797B, IAB 10/5/11)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2915C</w:t>
      </w:r>
      <w:r>
        <w:rPr>
          <w:rFonts w:ascii="Times New Roman" w:hAnsi="Times New Roman"/>
          <w:b w:val="false"/>
          <w:i w:val="false"/>
          <w:color w:val="000000"/>
          <w:sz w:val="21"/>
        </w:rPr>
        <w:t xml:space="preserve"> (Notice ARC 2825C, IAB 11/23/16)</w:t>
      </w:r>
      <w:r>
        <w:rPr>
          <w:rFonts w:ascii="Times New Roman" w:hAnsi="Times New Roman"/>
          <w:b w:val="false"/>
          <w:i w:val="false"/>
          <w:color w:val="000000"/>
          <w:sz w:val="21"/>
        </w:rPr>
        <w:t>, IAB 1/18/17, effective 2/22/17]</w:t>
      </w:r>
    </w:p>
    <w:p>
      <w:pPr>
        <w:spacing w:before="0" w:after="0"/>
        <w:ind w:left="120"/>
        <w:jc w:val="center"/>
      </w:pPr>
      <w:r>
        <w:rPr>
          <w:rFonts w:ascii="Times New Roman" w:hAnsi="Times New Roman"/>
          <w:b w:val="false"/>
          <w:i w:val="false"/>
          <w:color w:val="000000"/>
          <w:sz w:val="21"/>
        </w:rPr>
        <w:t>[Filed Emergency ARC 5291C, IAB 12/2/20, effective 11/10/20]</w:t>
      </w:r>
    </w:p>
    <w:p>
      <w:pPr>
        <w:spacing w:before="0" w:after="0"/>
        <w:ind w:left="120"/>
        <w:jc w:val="center"/>
      </w:pPr>
      <w:r>
        <w:rPr>
          <w:rFonts w:ascii="Times New Roman" w:hAnsi="Times New Roman"/>
          <w:b w:val="false"/>
          <w:i w:val="false"/>
          <w:color w:val="000000"/>
          <w:sz w:val="21"/>
        </w:rPr>
        <w:t>[Filed ARC 5940C</w:t>
      </w:r>
      <w:r>
        <w:rPr>
          <w:rFonts w:ascii="Times New Roman" w:hAnsi="Times New Roman"/>
          <w:b w:val="false"/>
          <w:i w:val="false"/>
          <w:color w:val="000000"/>
          <w:sz w:val="21"/>
        </w:rPr>
        <w:t xml:space="preserve"> (Notice ARC 5849C,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6567C</w:t>
      </w:r>
      <w:r>
        <w:rPr>
          <w:rFonts w:ascii="Times New Roman" w:hAnsi="Times New Roman"/>
          <w:b w:val="false"/>
          <w:i w:val="false"/>
          <w:color w:val="000000"/>
          <w:sz w:val="21"/>
        </w:rPr>
        <w:t xml:space="preserve"> (Notice ARC 6448C, IAB 8/10/22)</w:t>
      </w:r>
      <w:r>
        <w:rPr>
          <w:rFonts w:ascii="Times New Roman" w:hAnsi="Times New Roman"/>
          <w:b w:val="false"/>
          <w:i w:val="false"/>
          <w:color w:val="000000"/>
          <w:sz w:val="21"/>
        </w:rPr>
        <w:t>, IAB 10/5/22, effective 11/9/22]</w:t>
      </w:r>
      <w:r>
        <w:br/>
      </w:r>
      <w:r>
        <w:rPr>
          <w:rFonts w:ascii="Times New Roman" w:hAnsi="Times New Roman"/>
          <w:b w:val="false"/>
          <w:i w:val="false"/>
          <w:color w:val="000000"/>
          <w:sz w:val="21"/>
        </w:rPr>
        <w:t>[Filed ARC 6550C</w:t>
      </w:r>
      <w:r>
        <w:rPr>
          <w:rFonts w:ascii="Times New Roman" w:hAnsi="Times New Roman"/>
          <w:b w:val="false"/>
          <w:i w:val="false"/>
          <w:color w:val="000000"/>
          <w:sz w:val="21"/>
        </w:rPr>
        <w:t xml:space="preserve"> (Notice ARC 6446C, IAB 8/10/22)</w:t>
      </w:r>
      <w:r>
        <w:rPr>
          <w:rFonts w:ascii="Times New Roman" w:hAnsi="Times New Roman"/>
          <w:b w:val="false"/>
          <w:i w:val="false"/>
          <w:color w:val="000000"/>
          <w:sz w:val="21"/>
        </w:rPr>
        <w:t>, IAB 10/5/22, effective 11/14/22]</w:t>
      </w:r>
    </w:p>
    <w:p>
      <w:pPr>
        <w:spacing w:before="0" w:after="0"/>
        <w:ind w:left="120"/>
        <w:jc w:val="center"/>
      </w:pPr>
      <w:r>
        <w:rPr>
          <w:rFonts w:ascii="Times New Roman" w:hAnsi="Times New Roman"/>
          <w:b w:val="false"/>
          <w:i w:val="false"/>
          <w:color w:val="000000"/>
          <w:sz w:val="21"/>
        </w:rPr>
        <w:t>[Filed ARC 6640C</w:t>
      </w:r>
      <w:r>
        <w:rPr>
          <w:rFonts w:ascii="Times New Roman" w:hAnsi="Times New Roman"/>
          <w:b w:val="false"/>
          <w:i w:val="false"/>
          <w:color w:val="000000"/>
          <w:sz w:val="21"/>
        </w:rPr>
        <w:t xml:space="preserve"> (Notice ARC 6539C,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6987C</w:t>
      </w:r>
      <w:r>
        <w:rPr>
          <w:rFonts w:ascii="Times New Roman" w:hAnsi="Times New Roman"/>
          <w:b w:val="false"/>
          <w:i w:val="false"/>
          <w:color w:val="000000"/>
          <w:sz w:val="21"/>
        </w:rPr>
        <w:t xml:space="preserve"> (Notice ARC 6882C, IAB 2/8/23)</w:t>
      </w:r>
      <w:r>
        <w:rPr>
          <w:rFonts w:ascii="Times New Roman" w:hAnsi="Times New Roman"/>
          <w:b w:val="false"/>
          <w:i w:val="false"/>
          <w:color w:val="000000"/>
          <w:sz w:val="21"/>
        </w:rPr>
        <w:t>, IAB 4/19/23, effective 5/24/23]</w:t>
      </w:r>
      <w:r>
        <w:br/>
      </w:r>
      <w:r>
        <w:rPr>
          <w:rFonts w:ascii="Times New Roman" w:hAnsi="Times New Roman"/>
          <w:b w:val="false"/>
          <w:i w:val="false"/>
          <w:color w:val="000000"/>
          <w:sz w:val="21"/>
        </w:rPr>
        <w:t>[Filed ARC 6990C</w:t>
      </w:r>
      <w:r>
        <w:rPr>
          <w:rFonts w:ascii="Times New Roman" w:hAnsi="Times New Roman"/>
          <w:b w:val="false"/>
          <w:i w:val="false"/>
          <w:color w:val="000000"/>
          <w:sz w:val="21"/>
        </w:rPr>
        <w:t xml:space="preserve"> (Notice ARC 6922C, IAB 2/22/23)</w:t>
      </w:r>
      <w:r>
        <w:rPr>
          <w:rFonts w:ascii="Times New Roman" w:hAnsi="Times New Roman"/>
          <w:b w:val="false"/>
          <w:i w:val="false"/>
          <w:color w:val="000000"/>
          <w:sz w:val="21"/>
        </w:rPr>
        <w:t>, IAB 4/19/23, effective 5/24/23]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421.14.pdf" Type="http://schemas.openxmlformats.org/officeDocument/2006/relationships/hyperlink" Id="rId6"/>
    <Relationship TargetMode="External" Target="https://tax.iowa.gov" Type="http://schemas.openxmlformats.org/officeDocument/2006/relationships/hyperlink" Id="rId7"/>
    <Relationship TargetMode="External" Target="https://iowaforms.gov/information-software-developers" Type="http://schemas.openxmlformats.org/officeDocument/2006/relationships/hyperlink" Id="rId8"/>
    <Relationship TargetMode="External" Target="https://www.legis.iowa.gov/docs/ico/chapter/17A.3.pdf" Type="http://schemas.openxmlformats.org/officeDocument/2006/relationships/hyperlink" Id="rId9"/>
    <Relationship TargetMode="External" Target="https://www.legis.iowa.gov/docs/ico/chapter/421.14.pdf" Type="http://schemas.openxmlformats.org/officeDocument/2006/relationships/hyperlink" Id="rId10"/>
    <Relationship TargetMode="External" Target="mailto:IDRSubForms@iowa.gov" Type="http://schemas.openxmlformats.org/officeDocument/2006/relationships/hyperlink" Id="rId11"/>
    <Relationship TargetMode="External" Target="http://tax.iowa.gov" Type="http://schemas.openxmlformats.org/officeDocument/2006/relationships/hyperlink" Id="rId12"/>
    <Relationship TargetMode="External" Target="mailto:IDRSubForms@iowa.gov" Type="http://schemas.openxmlformats.org/officeDocument/2006/relationships/hyperlink" Id="rId13"/>
    <Relationship TargetMode="External" Target="https://www.legis.iowa.gov/docs/ico/chapter/17A.3.pdf" Type="http://schemas.openxmlformats.org/officeDocument/2006/relationships/hyperlink" Id="rId14"/>
    <Relationship TargetMode="External" Target="https://www.legis.iowa.gov/docs/ico/chapter/421.14.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421.7.pdf" Type="http://schemas.openxmlformats.org/officeDocument/2006/relationships/hyperlink" Id="rId17"/>
    <Relationship TargetMode="External" Target="https://www.legis.iowa.gov/docs/ico/chapter/422.21.pdf" Type="http://schemas.openxmlformats.org/officeDocument/2006/relationships/hyperlink" Id="rId18"/>
    <Relationship TargetMode="External" Target="https://www.legis.iowa.gov/docs/iac/rule/701.8.5.pdf" Type="http://schemas.openxmlformats.org/officeDocument/2006/relationships/hyperlink" Id="rId19"/>
    <Relationship TargetMode="External" Target="https://www.legis.iowa.gov/docs/iac/rule/701.7.8.pdf" Type="http://schemas.openxmlformats.org/officeDocument/2006/relationships/hyperlink" Id="rId20"/>
    <Relationship TargetMode="External" Target="https://www.legis.iowa.gov/docs/ico/chapter/422.21.pdf" Type="http://schemas.openxmlformats.org/officeDocument/2006/relationships/hyperlink" Id="rId21"/>
    <Relationship TargetMode="External" Target="https://www.legis.iowa.gov/docs/ico/chapter/422.68.pdf" Type="http://schemas.openxmlformats.org/officeDocument/2006/relationships/hyperlink" Id="rId22"/>
    <Relationship TargetMode="External" Target="https://www.legis.iowa.gov/docs/iac/rule/701.7.6.pdf" Type="http://schemas.openxmlformats.org/officeDocument/2006/relationships/hyperlink" Id="rId23"/>
    <Relationship TargetMode="External" Target="https://www.legis.iowa.gov/docs/ico/chapter/421.60.pdf" Type="http://schemas.openxmlformats.org/officeDocument/2006/relationships/hyperlink" Id="rId24"/>
    <Relationship TargetMode="External" Target="https://www.legis.iowa.gov/docs/ico/chapter/422.61.pdf" Type="http://schemas.openxmlformats.org/officeDocument/2006/relationships/hyperlink" Id="rId25"/>
    <Relationship TargetMode="External" Target="https://www.legis.iowa.gov/docs/ico/chapter/422.4.pdf" Type="http://schemas.openxmlformats.org/officeDocument/2006/relationships/hyperlink" Id="rId26"/>
    <Relationship TargetMode="External" Target="https://www.legis.iowa.gov/docs/iac/rule/701.8.7.pdf" Type="http://schemas.openxmlformats.org/officeDocument/2006/relationships/hyperlink" Id="rId27"/>
    <Relationship TargetMode="External" Target="https://www.legis.iowa.gov/docs/iac/rule/701.8.5.pdf" Type="http://schemas.openxmlformats.org/officeDocument/2006/relationships/hyperlink" Id="rId28"/>
    <Relationship TargetMode="External" Target="https://www.legis.iowa.gov/docs/iac/rule/701.8.7.pdf" Type="http://schemas.openxmlformats.org/officeDocument/2006/relationships/hyperlink" Id="rId29"/>
    <Relationship TargetMode="External" Target="https://www.legis.iowa.gov/docs/ico/chapter/422.37.pdf" Type="http://schemas.openxmlformats.org/officeDocument/2006/relationships/hyperlink" Id="rId30"/>
    <Relationship TargetMode="External" Target="https://www.legis.iowa.gov/docs/iac/rule/701.8.7.pdf" Type="http://schemas.openxmlformats.org/officeDocument/2006/relationships/hyperlink" Id="rId31"/>
    <Relationship TargetMode="External" Target="https://www.legis.iowa.gov/docs/iac/rule/701.8.7.pdf" Type="http://schemas.openxmlformats.org/officeDocument/2006/relationships/hyperlink" Id="rId32"/>
    <Relationship TargetMode="External" Target="https://www.legis.iowa.gov/docs/iac/rule/701.10.6.pdf" Type="http://schemas.openxmlformats.org/officeDocument/2006/relationships/hyperlink" Id="rId33"/>
    <Relationship TargetMode="External" Target="https://www.legis.iowa.gov/docs/iac/rule/701.10.9.pdf" Type="http://schemas.openxmlformats.org/officeDocument/2006/relationships/hyperlink" Id="rId34"/>
    <Relationship TargetMode="External" Target="https://www.legis.iowa.gov/docs/iac/rule/701.8.7.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