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ORGANIZATION</w:t>
      </w:r>
    </w:p>
    <w:p>
      <w:pPr>
        <w:spacing w:before="0" w:after="0"/>
        <w:ind w:left="120"/>
        <w:jc w:val="center"/>
      </w:pPr>
      <w:r>
        <w:rPr>
          <w:rFonts w:ascii="Times New Roman" w:hAnsi="Times New Roman"/>
          <w:b w:val="false"/>
          <w:i w:val="false"/>
          <w:color w:val="000000"/>
          <w:sz w:val="14"/>
        </w:rPr>
        <w:t>[Prior to 10/7/87, see Revenue Department[730] Ch 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701—6.1</w:t>
      </w:r>
      <w:r>
        <w:rPr>
          <w:rFonts w:ascii="Times New Roman" w:hAnsi="Times New Roman"/>
          <w:b/>
          <w:i w:val="false"/>
          <w:color w:val="000000"/>
          <w:sz w:val="22"/>
        </w:rPr>
        <w:t xml:space="preserve">(17A) </w:t>
      </w:r>
      <w:r>
        <w:rPr>
          <w:rFonts w:ascii="Times New Roman" w:hAnsi="Times New Roman"/>
          <w:b/>
          <w:i w:val="false"/>
          <w:color w:val="000000"/>
          <w:sz w:val="22"/>
        </w:rPr>
        <w:t xml:space="preserve">Establishment of the department. </w:t>
      </w:r>
      <w:r>
        <w:rPr>
          <w:rFonts w:ascii="Times New Roman" w:hAnsi="Times New Roman"/>
          <w:b w:val="false"/>
          <w:i w:val="false"/>
          <w:color w:val="000000"/>
          <w:sz w:val="22"/>
        </w:rPr>
        <w:t xml:space="preserve">Iowa Code section </w:t>
      </w:r>
      <w:hyperlink r:id="rId5">
        <w:r>
          <w:rPr>
            <w:rStyle w:val="Hyperlink"/>
            <w:rFonts w:ascii="Times New Roman" w:hAnsi="Times New Roman"/>
            <w:b w:val="false"/>
            <w:i w:val="false"/>
            <w:color w:val="000000"/>
            <w:sz w:val="22"/>
          </w:rPr>
          <w:t>421.2</w:t>
        </w:r>
      </w:hyperlink>
      <w:r>
        <w:rPr>
          <w:rFonts w:ascii="Times New Roman" w:hAnsi="Times New Roman"/>
          <w:b w:val="false"/>
          <w:i w:val="false"/>
          <w:color w:val="000000"/>
          <w:sz w:val="22"/>
        </w:rPr>
        <w:t xml:space="preserve"> establishes a department of revenue to be administered by a director of revenue.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6583C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701—6.2</w:t>
      </w:r>
      <w:r>
        <w:rPr>
          <w:rFonts w:ascii="Times New Roman" w:hAnsi="Times New Roman"/>
          <w:b/>
          <w:i w:val="false"/>
          <w:color w:val="000000"/>
          <w:sz w:val="22"/>
        </w:rPr>
        <w:t xml:space="preserve">(17A) </w:t>
      </w:r>
      <w:r>
        <w:rPr>
          <w:rFonts w:ascii="Times New Roman" w:hAnsi="Times New Roman"/>
          <w:b/>
          <w:i w:val="false"/>
          <w:color w:val="000000"/>
          <w:sz w:val="22"/>
        </w:rPr>
        <w:t xml:space="preserve">Mission. </w:t>
      </w:r>
      <w:r>
        <w:rPr>
          <w:rFonts w:ascii="Times New Roman" w:hAnsi="Times New Roman"/>
          <w:b w:val="false"/>
          <w:i w:val="false"/>
          <w:color w:val="000000"/>
          <w:sz w:val="22"/>
        </w:rPr>
        <w:t>The mission of the department is to serve Iowans and to support government services in Iowa by collecting all taxes required by law, but no more.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6583C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701—6.3</w:t>
      </w:r>
      <w:r>
        <w:rPr>
          <w:rFonts w:ascii="Times New Roman" w:hAnsi="Times New Roman"/>
          <w:b/>
          <w:i w:val="false"/>
          <w:color w:val="000000"/>
          <w:sz w:val="22"/>
        </w:rPr>
        <w:t xml:space="preserve">(17A) </w:t>
      </w:r>
      <w:r>
        <w:rPr>
          <w:rFonts w:ascii="Times New Roman" w:hAnsi="Times New Roman"/>
          <w:b/>
          <w:i w:val="false"/>
          <w:color w:val="000000"/>
          <w:sz w:val="22"/>
        </w:rPr>
        <w:t xml:space="preserve">Office. </w:t>
      </w:r>
      <w:r>
        <w:rPr>
          <w:rFonts w:ascii="Times New Roman" w:hAnsi="Times New Roman"/>
          <w:b w:val="false"/>
          <w:i w:val="false"/>
          <w:color w:val="000000"/>
          <w:sz w:val="22"/>
        </w:rPr>
        <w:t>The office of the department is maintained at the seat of government in the Hoover State Office Building, 1305 East Walnut Street, P.O. Box 10460, Des Moines, Iowa 50319.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6583C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701—6.4</w:t>
      </w:r>
      <w:r>
        <w:rPr>
          <w:rFonts w:ascii="Times New Roman" w:hAnsi="Times New Roman"/>
          <w:b/>
          <w:i w:val="false"/>
          <w:color w:val="000000"/>
          <w:sz w:val="22"/>
        </w:rPr>
        <w:t xml:space="preserve">(17A) </w:t>
      </w:r>
      <w:r>
        <w:rPr>
          <w:rFonts w:ascii="Times New Roman" w:hAnsi="Times New Roman"/>
          <w:b/>
          <w:i w:val="false"/>
          <w:color w:val="000000"/>
          <w:sz w:val="22"/>
        </w:rPr>
        <w:t xml:space="preserve">Department Internet website. </w:t>
      </w:r>
      <w:r>
        <w:rPr>
          <w:rFonts w:ascii="Times New Roman" w:hAnsi="Times New Roman"/>
          <w:b w:val="false"/>
          <w:i w:val="false"/>
          <w:color w:val="000000"/>
          <w:sz w:val="22"/>
        </w:rPr>
        <w:t xml:space="preserve">The department’s Internet home page is </w:t>
      </w:r>
      <w:hyperlink r:id="rId6">
        <w:r>
          <w:rPr>
            <w:rStyle w:val="Hyperlink"/>
            <w:rFonts w:ascii="Times New Roman" w:hAnsi="Times New Roman"/>
            <w:b w:val="false"/>
            <w:i w:val="false"/>
            <w:color w:val="000000"/>
            <w:sz w:val="22"/>
            <w:u w:val="single"/>
          </w:rPr>
          <w:t>tax.iowa.gov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6583C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701—6.5</w:t>
      </w:r>
      <w:r>
        <w:rPr>
          <w:rFonts w:ascii="Times New Roman" w:hAnsi="Times New Roman"/>
          <w:b/>
          <w:i w:val="false"/>
          <w:color w:val="000000"/>
          <w:sz w:val="22"/>
        </w:rPr>
        <w:t xml:space="preserve">(17A) </w:t>
      </w:r>
      <w:r>
        <w:rPr>
          <w:rFonts w:ascii="Times New Roman" w:hAnsi="Times New Roman"/>
          <w:b/>
          <w:i w:val="false"/>
          <w:color w:val="000000"/>
          <w:sz w:val="22"/>
        </w:rPr>
        <w:t xml:space="preserve">Organization of the department. </w:t>
      </w:r>
      <w:r>
        <w:rPr>
          <w:rFonts w:ascii="Times New Roman" w:hAnsi="Times New Roman"/>
          <w:b w:val="false"/>
          <w:i w:val="false"/>
          <w:color w:val="000000"/>
          <w:sz w:val="22"/>
        </w:rPr>
        <w:t>The department consists of the director and such divisions as the director may from time to time create.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w:t>
      </w:r>
      <w:r>
        <w:rPr>
          <w:rFonts w:ascii="Times New Roman" w:hAnsi="Times New Roman"/>
          <w:b w:val="false"/>
          <w:i w:val="false"/>
          <w:color w:val="000000"/>
          <w:sz w:val="22"/>
        </w:rPr>
        <w:t> </w:t>
      </w:r>
      <w:r>
        <w:rPr>
          <w:rFonts w:ascii="Times New Roman" w:hAnsi="Times New Roman"/>
          <w:b w:val="false"/>
          <w:i/>
          <w:color w:val="000000"/>
          <w:sz w:val="22"/>
        </w:rPr>
        <w:t xml:space="preserve">The office of the director. </w:t>
      </w:r>
      <w:r>
        <w:rPr>
          <w:rFonts w:ascii="Times New Roman" w:hAnsi="Times New Roman"/>
          <w:b w:val="false"/>
          <w:i w:val="false"/>
          <w:color w:val="000000"/>
          <w:sz w:val="22"/>
        </w:rPr>
        <w:t>The essential functions of the office of the director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Overall management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Review of protest and revocation cases on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Strategic planning and coordination of the future operations and goals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Provision of financial checks and balances within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Facilitation of a working relationship between the public sector and the private sector.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w:t>
      </w:r>
      <w:r>
        <w:rPr>
          <w:rFonts w:ascii="Times New Roman" w:hAnsi="Times New Roman"/>
          <w:b w:val="false"/>
          <w:i w:val="false"/>
          <w:color w:val="000000"/>
          <w:sz w:val="22"/>
        </w:rPr>
        <w:t> </w:t>
      </w:r>
      <w:r>
        <w:rPr>
          <w:rFonts w:ascii="Times New Roman" w:hAnsi="Times New Roman"/>
          <w:b w:val="false"/>
          <w:i/>
          <w:color w:val="000000"/>
          <w:sz w:val="22"/>
        </w:rPr>
        <w:t xml:space="preserve">Divisions. </w:t>
      </w:r>
      <w:r>
        <w:rPr>
          <w:rFonts w:ascii="Times New Roman" w:hAnsi="Times New Roman"/>
          <w:b w:val="false"/>
          <w:i w:val="false"/>
          <w:color w:val="000000"/>
          <w:sz w:val="22"/>
        </w:rPr>
        <w:t>For ease of administration, the director has organized the department into divisions and, in some instances, has organized those divisions into bureaus, sections, subsections, and units. The director may from time to time reorganize the department into administrative divisions in order to more efficiently and effectively carry out the authority’s responsibilities. Reorganization may include creating new divisions, eliminating existing divisions, or combining divisions as the director deems necessary. Such divisions may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Local government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Tax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Research and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Legal services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Internal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w:t>
      </w:r>
      <w:r>
        <w:rPr>
          <w:rFonts w:ascii="Times New Roman" w:hAnsi="Times New Roman"/>
          <w:b w:val="false"/>
          <w:i w:val="false"/>
          <w:color w:val="000000"/>
          <w:sz w:val="22"/>
        </w:rPr>
        <w:t> </w:t>
      </w:r>
      <w:r>
        <w:rPr>
          <w:rFonts w:ascii="Times New Roman" w:hAnsi="Times New Roman"/>
          <w:b w:val="false"/>
          <w:i/>
          <w:color w:val="000000"/>
          <w:sz w:val="22"/>
        </w:rPr>
        <w:t xml:space="preserve">Designee. </w:t>
      </w:r>
      <w:r>
        <w:rPr>
          <w:rFonts w:ascii="Times New Roman" w:hAnsi="Times New Roman"/>
          <w:b w:val="false"/>
          <w:i w:val="false"/>
          <w:color w:val="000000"/>
          <w:sz w:val="22"/>
        </w:rPr>
        <w:t>Unless otherwise delegated in statute, in rule, or otherwise in writing by the director, only the director, deputy director, or chief legal officer may enter into contracts or agreements on behalf of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
        <w:r>
          <w:rPr>
            <w:rStyle w:val="Hyperlink"/>
            <w:rFonts w:ascii="Times New Roman" w:hAnsi="Times New Roman"/>
            <w:b w:val="false"/>
            <w:i w:val="false"/>
            <w:color w:val="000000"/>
            <w:sz w:val="22"/>
          </w:rPr>
          <w:t>421.2</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421.9</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421.14</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421.17</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422.1</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6583C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July 1, 1975]</w:t>
      </w:r>
    </w:p>
    <w:p>
      <w:pPr>
        <w:spacing w:before="0" w:after="0"/>
        <w:ind w:left="120"/>
        <w:jc w:val="center"/>
      </w:pPr>
      <w:r>
        <w:rPr>
          <w:rFonts w:ascii="Times New Roman" w:hAnsi="Times New Roman"/>
          <w:b w:val="false"/>
          <w:i w:val="false"/>
          <w:color w:val="000000"/>
          <w:sz w:val="21"/>
        </w:rPr>
        <w:t>[Filed emergency 4/28/78—published 5/17/78, effective 4/28/78]</w:t>
      </w:r>
    </w:p>
    <w:p>
      <w:pPr>
        <w:spacing w:before="0" w:after="0"/>
        <w:ind w:left="120"/>
        <w:jc w:val="center"/>
      </w:pPr>
      <w:r>
        <w:rPr>
          <w:rFonts w:ascii="Times New Roman" w:hAnsi="Times New Roman"/>
          <w:b w:val="false"/>
          <w:i w:val="false"/>
          <w:color w:val="000000"/>
          <w:sz w:val="21"/>
        </w:rPr>
        <w:t>[Filed 5/9/80, Notice 4/2/80—published 5/28/80, effective 7/2/80]</w:t>
      </w:r>
    </w:p>
    <w:p>
      <w:pPr>
        <w:spacing w:before="0" w:after="0"/>
        <w:ind w:left="120"/>
        <w:jc w:val="center"/>
      </w:pPr>
      <w:r>
        <w:rPr>
          <w:rFonts w:ascii="Times New Roman" w:hAnsi="Times New Roman"/>
          <w:b w:val="false"/>
          <w:i w:val="false"/>
          <w:color w:val="000000"/>
          <w:sz w:val="21"/>
        </w:rPr>
        <w:t>[Filed 12/5/80, Notice 10/29/80—published 12/24/80, effective 1/28/81]</w:t>
      </w:r>
    </w:p>
    <w:p>
      <w:pPr>
        <w:spacing w:before="0" w:after="0"/>
        <w:ind w:left="120"/>
        <w:jc w:val="center"/>
      </w:pPr>
      <w:r>
        <w:rPr>
          <w:rFonts w:ascii="Times New Roman" w:hAnsi="Times New Roman"/>
          <w:b w:val="false"/>
          <w:i w:val="false"/>
          <w:color w:val="000000"/>
          <w:sz w:val="21"/>
        </w:rPr>
        <w:t>[Filed 4/23/81, Notice 3/18/81—published 5/13/81, effective 6/17/81]</w:t>
      </w:r>
    </w:p>
    <w:p>
      <w:pPr>
        <w:spacing w:before="0" w:after="0"/>
        <w:ind w:left="120"/>
        <w:jc w:val="center"/>
      </w:pPr>
      <w:r>
        <w:rPr>
          <w:rFonts w:ascii="Times New Roman" w:hAnsi="Times New Roman"/>
          <w:b w:val="false"/>
          <w:i w:val="false"/>
          <w:color w:val="000000"/>
          <w:sz w:val="21"/>
        </w:rPr>
        <w:t>[Filed 7/16/82, Notice 6/9/82—published 8/4/82, effective 9/8/82]</w:t>
      </w:r>
    </w:p>
    <w:p>
      <w:pPr>
        <w:spacing w:before="0" w:after="0"/>
        <w:ind w:left="120"/>
        <w:jc w:val="center"/>
      </w:pPr>
      <w:r>
        <w:rPr>
          <w:rFonts w:ascii="Times New Roman" w:hAnsi="Times New Roman"/>
          <w:b w:val="false"/>
          <w:i w:val="false"/>
          <w:color w:val="000000"/>
          <w:sz w:val="21"/>
        </w:rPr>
        <w:t>[Filed 8/12/83, Notice 7/6/83—published 8/31/83, effective 10/5/83]</w:t>
      </w:r>
    </w:p>
    <w:p>
      <w:pPr>
        <w:spacing w:before="0" w:after="0"/>
        <w:ind w:left="120"/>
        <w:jc w:val="center"/>
      </w:pPr>
      <w:r>
        <w:rPr>
          <w:rFonts w:ascii="Times New Roman" w:hAnsi="Times New Roman"/>
          <w:b w:val="false"/>
          <w:i w:val="false"/>
          <w:color w:val="000000"/>
          <w:sz w:val="21"/>
        </w:rPr>
        <w:t>[Filed 4/5/85, Notice 2/27/85—published 4/24/85, effective 5/29/85]</w:t>
      </w:r>
    </w:p>
    <w:p>
      <w:pPr>
        <w:spacing w:before="0" w:after="0"/>
        <w:ind w:left="120"/>
        <w:jc w:val="center"/>
      </w:pPr>
      <w:r>
        <w:rPr>
          <w:rFonts w:ascii="Times New Roman" w:hAnsi="Times New Roman"/>
          <w:b w:val="false"/>
          <w:i w:val="false"/>
          <w:color w:val="000000"/>
          <w:sz w:val="21"/>
        </w:rPr>
        <w:t>[Filed 10/4/85, Notice 8/28/85—published 10/23/85, effective 11/27/85]</w:t>
      </w:r>
    </w:p>
    <w:p>
      <w:pPr>
        <w:spacing w:before="0" w:after="0"/>
        <w:ind w:left="120"/>
        <w:jc w:val="center"/>
      </w:pPr>
      <w:r>
        <w:rPr>
          <w:rFonts w:ascii="Times New Roman" w:hAnsi="Times New Roman"/>
          <w:b w:val="false"/>
          <w:i w:val="false"/>
          <w:color w:val="000000"/>
          <w:sz w:val="21"/>
        </w:rPr>
        <w:t>[Filed 9/18/87, Notice 8/12/87—published 10/7/87, effective 11/11/87]</w:t>
      </w:r>
    </w:p>
    <w:p>
      <w:pPr>
        <w:spacing w:before="0" w:after="0"/>
        <w:ind w:left="120"/>
        <w:jc w:val="center"/>
      </w:pPr>
      <w:r>
        <w:rPr>
          <w:rFonts w:ascii="Times New Roman" w:hAnsi="Times New Roman"/>
          <w:b w:val="false"/>
          <w:i w:val="false"/>
          <w:color w:val="000000"/>
          <w:sz w:val="21"/>
        </w:rPr>
        <w:t>[Filed 11/21/90, Notice 10/17/90—published 12/12/90, effective 1/16/91]</w:t>
      </w:r>
    </w:p>
    <w:p>
      <w:pPr>
        <w:spacing w:before="0" w:after="0"/>
        <w:ind w:left="120"/>
        <w:jc w:val="center"/>
      </w:pPr>
      <w:r>
        <w:rPr>
          <w:rFonts w:ascii="Times New Roman" w:hAnsi="Times New Roman"/>
          <w:b w:val="false"/>
          <w:i w:val="false"/>
          <w:color w:val="000000"/>
          <w:sz w:val="21"/>
        </w:rPr>
        <w:t>[Filed 9/27/91, Notice 8/21/91—published 10/21/91, effective 11/20/91]</w:t>
      </w:r>
    </w:p>
    <w:p>
      <w:pPr>
        <w:spacing w:before="0" w:after="0"/>
        <w:ind w:left="120"/>
        <w:jc w:val="center"/>
      </w:pPr>
      <w:r>
        <w:rPr>
          <w:rFonts w:ascii="Times New Roman" w:hAnsi="Times New Roman"/>
          <w:b w:val="false"/>
          <w:i w:val="false"/>
          <w:color w:val="000000"/>
          <w:sz w:val="21"/>
        </w:rPr>
        <w:t>[Filed 9/17/99, Notice 8/11/99—published 10/6/99, effective 11/10/99]</w:t>
      </w:r>
    </w:p>
    <w:p>
      <w:pPr>
        <w:spacing w:before="0" w:after="0"/>
        <w:ind w:left="120"/>
        <w:jc w:val="center"/>
      </w:pPr>
      <w:r>
        <w:rPr>
          <w:rFonts w:ascii="Times New Roman" w:hAnsi="Times New Roman"/>
          <w:b w:val="false"/>
          <w:i w:val="false"/>
          <w:color w:val="000000"/>
          <w:sz w:val="21"/>
        </w:rPr>
        <w:t>[Filed 11/24/99, Notice 10/20/99—published 12/15/99, effective 1/19/00]</w:t>
      </w:r>
    </w:p>
    <w:p>
      <w:pPr>
        <w:spacing w:before="0" w:after="0"/>
        <w:ind w:left="120"/>
        <w:jc w:val="center"/>
      </w:pPr>
      <w:r>
        <w:rPr>
          <w:rFonts w:ascii="Times New Roman" w:hAnsi="Times New Roman"/>
          <w:b w:val="false"/>
          <w:i w:val="false"/>
          <w:color w:val="000000"/>
          <w:sz w:val="21"/>
        </w:rPr>
        <w:t>[Filed 3/26/04, Notice 2/18/04—published 4/14/04, effective 5/19/04]</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10/31/08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12/24/08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9875B</w:t>
      </w:r>
      <w:r>
        <w:rPr>
          <w:rFonts w:ascii="Times New Roman" w:hAnsi="Times New Roman"/>
          <w:b w:val="false"/>
          <w:i w:val="false"/>
          <w:color w:val="000000"/>
          <w:sz w:val="21"/>
        </w:rPr>
        <w:t xml:space="preserve"> (Notice ARC 9797B, IAB 10/5/11)</w:t>
      </w:r>
      <w:r>
        <w:rPr>
          <w:rFonts w:ascii="Times New Roman" w:hAnsi="Times New Roman"/>
          <w:b w:val="false"/>
          <w:i w:val="false"/>
          <w:color w:val="000000"/>
          <w:sz w:val="21"/>
        </w:rPr>
        <w:t>, IAB 11/30/11, effective 1/4/12]</w:t>
      </w:r>
    </w:p>
    <w:p>
      <w:pPr>
        <w:spacing w:before="0" w:after="0"/>
        <w:ind w:left="120"/>
        <w:jc w:val="center"/>
      </w:pPr>
      <w:r>
        <w:rPr>
          <w:rFonts w:ascii="Times New Roman" w:hAnsi="Times New Roman"/>
          <w:b w:val="false"/>
          <w:i w:val="false"/>
          <w:color w:val="000000"/>
          <w:sz w:val="21"/>
        </w:rPr>
        <w:t>[Filed ARC 0251C</w:t>
      </w:r>
      <w:r>
        <w:rPr>
          <w:rFonts w:ascii="Times New Roman" w:hAnsi="Times New Roman"/>
          <w:b w:val="false"/>
          <w:i w:val="false"/>
          <w:color w:val="000000"/>
          <w:sz w:val="21"/>
        </w:rPr>
        <w:t xml:space="preserve"> (Notice ARC 0145C, IAB 5/30/12)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ARC 1303C</w:t>
      </w:r>
      <w:r>
        <w:rPr>
          <w:rFonts w:ascii="Times New Roman" w:hAnsi="Times New Roman"/>
          <w:b w:val="false"/>
          <w:i w:val="false"/>
          <w:color w:val="000000"/>
          <w:sz w:val="21"/>
        </w:rPr>
        <w:t xml:space="preserve"> (Notice ARC 1231C, IAB 12/11/13)</w:t>
      </w:r>
      <w:r>
        <w:rPr>
          <w:rFonts w:ascii="Times New Roman" w:hAnsi="Times New Roman"/>
          <w:b w:val="false"/>
          <w:i w:val="false"/>
          <w:color w:val="000000"/>
          <w:sz w:val="21"/>
        </w:rPr>
        <w:t>, IAB 2/5/14, effective 3/12/14]</w:t>
      </w:r>
    </w:p>
    <w:p>
      <w:pPr>
        <w:spacing w:before="0" w:after="0"/>
        <w:ind w:left="120"/>
        <w:jc w:val="center"/>
      </w:pPr>
      <w:r>
        <w:rPr>
          <w:rFonts w:ascii="Times New Roman" w:hAnsi="Times New Roman"/>
          <w:b w:val="false"/>
          <w:i w:val="false"/>
          <w:color w:val="000000"/>
          <w:sz w:val="21"/>
        </w:rPr>
        <w:t>[Filed ARC 2657C</w:t>
      </w:r>
      <w:r>
        <w:rPr>
          <w:rFonts w:ascii="Times New Roman" w:hAnsi="Times New Roman"/>
          <w:b w:val="false"/>
          <w:i w:val="false"/>
          <w:color w:val="000000"/>
          <w:sz w:val="21"/>
        </w:rPr>
        <w:t xml:space="preserve"> (Notice ARC 2519C, IAB 4/27/16)</w:t>
      </w:r>
      <w:r>
        <w:rPr>
          <w:rFonts w:ascii="Times New Roman" w:hAnsi="Times New Roman"/>
          <w:b w:val="false"/>
          <w:i w:val="false"/>
          <w:color w:val="000000"/>
          <w:sz w:val="21"/>
        </w:rPr>
        <w:t>, IAB 8/3/16, effective 9/7/16]</w:t>
      </w:r>
    </w:p>
    <w:p>
      <w:pPr>
        <w:spacing w:before="0" w:after="0"/>
        <w:ind w:left="120"/>
        <w:jc w:val="center"/>
      </w:pPr>
      <w:r>
        <w:rPr>
          <w:rFonts w:ascii="Times New Roman" w:hAnsi="Times New Roman"/>
          <w:b w:val="false"/>
          <w:i w:val="false"/>
          <w:color w:val="000000"/>
          <w:sz w:val="21"/>
        </w:rPr>
        <w:t>[Filed ARC 5932C</w:t>
      </w:r>
      <w:r>
        <w:rPr>
          <w:rFonts w:ascii="Times New Roman" w:hAnsi="Times New Roman"/>
          <w:b w:val="false"/>
          <w:i w:val="false"/>
          <w:color w:val="000000"/>
          <w:sz w:val="21"/>
        </w:rPr>
        <w:t xml:space="preserve"> (Notice ARC 5781C, IAB 7/14/21)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6583C</w:t>
      </w:r>
      <w:r>
        <w:rPr>
          <w:rFonts w:ascii="Times New Roman" w:hAnsi="Times New Roman"/>
          <w:b w:val="false"/>
          <w:i w:val="false"/>
          <w:color w:val="000000"/>
          <w:sz w:val="21"/>
        </w:rPr>
        <w:t xml:space="preserve"> (Notice ARC 6452C, IAB 8/10/22)</w:t>
      </w:r>
      <w:r>
        <w:rPr>
          <w:rFonts w:ascii="Times New Roman" w:hAnsi="Times New Roman"/>
          <w:b w:val="false"/>
          <w:i w:val="false"/>
          <w:color w:val="000000"/>
          <w:sz w:val="21"/>
        </w:rPr>
        <w:t>, IAB 10/5/22, effective 11/9/22]</w:t>
      </w:r>
    </w:p>
    <w:p>
      <w:pPr>
        <w:spacing w:before="0" w:after="0"/>
        <w:ind w:left="120"/>
        <w:jc w:val="center"/>
      </w:pPr>
      <w:r>
        <w:rPr>
          <w:rFonts w:ascii="Times New Roman" w:hAnsi="Times New Roman"/>
          <w:b w:val="false"/>
          <w:i w:val="false"/>
          <w:color w:val="000000"/>
          <w:sz w:val="21"/>
        </w:rPr>
        <w:t>[Editorial change: IAC Supplement 11/2/22]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1.2.pdf" Type="http://schemas.openxmlformats.org/officeDocument/2006/relationships/hyperlink" Id="rId5"/>
    <Relationship TargetMode="External" Target="http://tax.iowa.gov" Type="http://schemas.openxmlformats.org/officeDocument/2006/relationships/hyperlink" Id="rId6"/>
    <Relationship TargetMode="External" Target="https://www.legis.iowa.gov/docs/ico/chapter/421.2.pdf" Type="http://schemas.openxmlformats.org/officeDocument/2006/relationships/hyperlink" Id="rId7"/>
    <Relationship TargetMode="External" Target="https://www.legis.iowa.gov/docs/ico/chapter/421.9.pdf" Type="http://schemas.openxmlformats.org/officeDocument/2006/relationships/hyperlink" Id="rId8"/>
    <Relationship TargetMode="External" Target="https://www.legis.iowa.gov/docs/ico/chapter/421.14.pdf" Type="http://schemas.openxmlformats.org/officeDocument/2006/relationships/hyperlink" Id="rId9"/>
    <Relationship TargetMode="External" Target="https://www.legis.iowa.gov/docs/ico/chapter/421.17.pdf" Type="http://schemas.openxmlformats.org/officeDocument/2006/relationships/hyperlink" Id="rId10"/>
    <Relationship TargetMode="External" Target="https://www.legis.iowa.gov/docs/ico/chapter/422.1.pdf" Type="http://schemas.openxmlformats.org/officeDocument/2006/relationships/hyperlink" Id="rId11"/>
    <Relationship TargetMode="External" Target="https://www.legis.iowa.gov/docs/ico/chapter/422.72.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