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304</w:t>
      </w:r>
    </w:p>
    <w:p>
      <w:pPr>
        <w:spacing w:before="0" w:after="0"/>
        <w:ind w:left="120"/>
        <w:jc w:val="center"/>
      </w:pPr>
      <w:r>
        <w:rPr>
          <w:rFonts w:ascii="Times New Roman" w:hAnsi="Times New Roman"/>
          <w:b w:val="false"/>
          <w:i w:val="false"/>
          <w:color w:val="000000"/>
          <w:sz w:val="21"/>
        </w:rPr>
        <w:t>ADJUSTMENTS TO COMPUTED TAX AND TAX CREDITS</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42]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701—304.1</w:t>
      </w:r>
      <w:r>
        <w:rPr>
          <w:rFonts w:ascii="Times New Roman" w:hAnsi="Times New Roman"/>
          <w:b/>
          <w:i w:val="false"/>
          <w:color w:val="000000"/>
          <w:sz w:val="22"/>
        </w:rPr>
        <w:t xml:space="preserve">(257,422) </w:t>
      </w:r>
      <w:r>
        <w:rPr>
          <w:rFonts w:ascii="Times New Roman" w:hAnsi="Times New Roman"/>
          <w:b/>
          <w:i w:val="false"/>
          <w:color w:val="000000"/>
          <w:sz w:val="22"/>
        </w:rPr>
        <w:t xml:space="preserve">School district surtax. </w:t>
      </w:r>
      <w:r>
        <w:rPr>
          <w:rFonts w:ascii="Times New Roman" w:hAnsi="Times New Roman"/>
          <w:b w:val="false"/>
          <w:i w:val="false"/>
          <w:color w:val="000000"/>
          <w:sz w:val="22"/>
        </w:rPr>
        <w:t>Iowa law provides for the implementation of an income surtax for increasing local school district budgets. The surtax must be approved by the voters of a school district in a special election or by a resolution of the board of directors of a school district. The surtax rate is determined by the department of management on the basis of the revenue to be raised by the surtax for the particular school district with the surtax.</w:t>
      </w:r>
    </w:p>
    <w:p>
      <w:pPr>
        <w:spacing w:before="0" w:after="0"/>
        <w:ind w:left="120"/>
        <w:jc w:val="both"/>
      </w:pPr>
      <w:r>
        <w:rPr>
          <w:rFonts w:ascii="Times New Roman" w:hAnsi="Times New Roman"/>
          <w:b w:val="false"/>
          <w:i w:val="false"/>
          <w:color w:val="000000"/>
          <w:sz w:val="22"/>
        </w:rPr>
        <w:t xml:space="preserve">The school district surtax is imposed on the income tax liabilities of all taxpayers residing in the school district on the last day of the taxpayers’ tax years. For purposes of the school district surtax, income tax liability is the tax computed under Iowa Code section </w:t>
      </w:r>
      <w:hyperlink r:id="rId5">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less the nonrefundable credits against computed tax which are authorized in Iowa Code chapter </w:t>
      </w:r>
      <w:hyperlink r:id="rId6">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division II.</w:t>
      </w:r>
    </w:p>
    <w:p>
      <w:pPr>
        <w:spacing w:before="0" w:after="0"/>
        <w:ind w:left="120"/>
        <w:jc w:val="both"/>
      </w:pPr>
      <w:r>
        <w:rPr>
          <w:rFonts w:ascii="Times New Roman" w:hAnsi="Times New Roman"/>
          <w:b w:val="false"/>
          <w:i w:val="false"/>
          <w:color w:val="000000"/>
          <w:sz w:val="22"/>
        </w:rPr>
        <w:t>In a situation where an individual is residing in a school district with a surtax and the individual dies during the tax year, the individual will be considered to be subject to the surtax, since the individual was residing in the school district on the last day of the individual’s tax year.</w:t>
      </w:r>
    </w:p>
    <w:p>
      <w:pPr>
        <w:spacing w:before="0" w:after="0"/>
        <w:ind w:left="120"/>
        <w:jc w:val="both"/>
      </w:pPr>
      <w:r>
        <w:rPr>
          <w:rFonts w:ascii="Times New Roman" w:hAnsi="Times New Roman"/>
          <w:b w:val="false"/>
          <w:i w:val="false"/>
          <w:color w:val="000000"/>
          <w:sz w:val="22"/>
        </w:rPr>
        <w:t>An individual serving in the Armed Forces of the United States who maintains permanent residence in an Iowa school district with a surtax is subject to the surtax regardless of whether the individual is physically residing in the school district on the last day of the tax year.</w:t>
      </w:r>
    </w:p>
    <w:p>
      <w:pPr>
        <w:spacing w:before="0" w:after="0"/>
        <w:ind w:left="120"/>
        <w:jc w:val="both"/>
      </w:pPr>
      <w:r>
        <w:rPr>
          <w:rFonts w:ascii="Times New Roman" w:hAnsi="Times New Roman"/>
          <w:b w:val="false"/>
          <w:i w:val="false"/>
          <w:color w:val="000000"/>
          <w:sz w:val="22"/>
        </w:rPr>
        <w:t>A person who is present in the school district on the last day of the tax year on a temporary basis due to annual leave or in transit between duty stations is not subject to the surtax.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257.21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257.29</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422.15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w:t>
      </w:r>
      <w:r>
        <w:rPr>
          <w:rFonts w:ascii="Times New Roman" w:hAnsi="Times New Roman"/>
          <w:b/>
          <w:i w:val="false"/>
          <w:color w:val="000000"/>
          <w:sz w:val="22"/>
        </w:rPr>
        <w:t xml:space="preserve">(422D) </w:t>
      </w:r>
      <w:r>
        <w:rPr>
          <w:rFonts w:ascii="Times New Roman" w:hAnsi="Times New Roman"/>
          <w:b/>
          <w:i w:val="false"/>
          <w:color w:val="000000"/>
          <w:sz w:val="22"/>
        </w:rPr>
        <w:t xml:space="preserve">Emergency medical services income surtax. </w:t>
      </w:r>
      <w:r>
        <w:rPr>
          <w:rFonts w:ascii="Times New Roman" w:hAnsi="Times New Roman"/>
          <w:b w:val="false"/>
          <w:i w:val="false"/>
          <w:color w:val="000000"/>
          <w:sz w:val="22"/>
        </w:rPr>
        <w:t>Effective July 1, 1992, a county board of supervisors may offer for voter approval a local option income surtax, an ad valorem property tax, or a combination of the two taxes to generate revenues for emergency medical services. However, this rule pertains only to the local option income surtax for emergency medical services. If a majority of those voting in the election approve the emergency medical services income surtax, the income surtax will be imposed for tax years beginning on or after January 1 of the fiscal year in which the election is held. Thus, if an election is held in the 2007-2008 fiscal year (July 1, 2007, through June 30, 2008) and the income surtax is approved in the election, the income surtax will be imposed on 2008 returns for individuals filing on a calendar-year basis. In the case of individuals filing on a fiscal-year basis, the income surtax will be imposed on returns for tax years beginning in the 2008 fiscal year. If an emergency medical services income surtax is imposed for a county, it can be imposed only for a maximum period of five years. When the emergency medical income surtax is repealed because the five-year imposition has expired, the income surtax is repealed as of December 31 for tax years beginning on or after that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304.2(1)</w:t>
      </w:r>
      <w:r>
        <w:rPr>
          <w:rFonts w:ascii="Times New Roman" w:hAnsi="Times New Roman"/>
          <w:b w:val="false"/>
          <w:i w:val="false"/>
          <w:color w:val="000000"/>
          <w:sz w:val="22"/>
        </w:rPr>
        <w:t> </w:t>
      </w:r>
      <w:r>
        <w:rPr>
          <w:rFonts w:ascii="Times New Roman" w:hAnsi="Times New Roman"/>
          <w:b w:val="false"/>
          <w:i/>
          <w:color w:val="000000"/>
          <w:sz w:val="22"/>
        </w:rPr>
        <w:t xml:space="preserve">The rate of the income surtax imposed for emergency medical services. </w:t>
      </w:r>
      <w:r>
        <w:rPr>
          <w:rFonts w:ascii="Times New Roman" w:hAnsi="Times New Roman"/>
          <w:b w:val="false"/>
          <w:i w:val="false"/>
          <w:color w:val="000000"/>
          <w:sz w:val="22"/>
        </w:rPr>
        <w:t>After the income surtax is approved by an election of county voters, the board of supervisors will set the rate of tax to be imposed, which can be expressed in tenths of 1 percent or hundredths of 1 percent but cannot exceed 1 percent. In addition, because the cumulative total of the percents of income surtax imposed on any taxpayer in the county cannot exceed 20 percent, the rate of an emergency medical services income surtax may be limited, if a school district income surtax has been approved previously by a school district in the county and the surtax rate exceeds 19 percent. Therefore, assuming that a school district in the county had previously approved an income surtax rate of 19.4 percent, the medical emergency income surtax rate would be limited to six-tenths of 1 percent. If a school district income surtax and emergency medical income surtax are approved on or about the same date and the cumulative total of the income surtaxes is greater than 20 percent, the income surtax approved on the earlier of the two dates will be allowed at the rate approved and the second income surtax approved will be limited accordingly so that the cumulative rate will not exceed 20 percent. If a school district income surtax and an emergency medical income surtax are approved on the same date with a proposed cumulative rate that exceeds 20 percent, each of the surtaxes will be reduced equally so that the cumulative surtax rate will not exceed 20 percent. Assuming that a school district in a particular county approves an income surtax of 20 percent on November 4, 2008, and an emergency medical income surtax of 1 percent is approved on the same date, both surtaxes will be reduced by five-tenths of 1 percent so that the cumulative rate of the two income surtaxes does not exceed 20 percent. The department of management can provide information about any income surtaxes that have been approved for the school districts in the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304.2(2)</w:t>
      </w:r>
      <w:r>
        <w:rPr>
          <w:rFonts w:ascii="Times New Roman" w:hAnsi="Times New Roman"/>
          <w:b w:val="false"/>
          <w:i w:val="false"/>
          <w:color w:val="000000"/>
          <w:sz w:val="22"/>
        </w:rPr>
        <w:t> </w:t>
      </w:r>
      <w:r>
        <w:rPr>
          <w:rFonts w:ascii="Times New Roman" w:hAnsi="Times New Roman"/>
          <w:b w:val="false"/>
          <w:i/>
          <w:color w:val="000000"/>
          <w:sz w:val="22"/>
        </w:rPr>
        <w:t xml:space="preserve">Imposing the emergency medical income surtax. </w:t>
      </w:r>
      <w:r>
        <w:rPr>
          <w:rFonts w:ascii="Times New Roman" w:hAnsi="Times New Roman"/>
          <w:b w:val="false"/>
          <w:i w:val="false"/>
          <w:color w:val="000000"/>
          <w:sz w:val="22"/>
        </w:rPr>
        <w:t xml:space="preserve">The emergency medical income surtax will be imposed on the state income tax liability on each individual residing in the county at the end of the individual’s tax year, whether the individual’s tax year ends at the end of the calendar year or fiscal year. For purposes of the emergency medical income surtax, an individual’s income tax liability is the aggregate of the state income taxes determined in Iowa Code section </w:t>
      </w:r>
      <w:hyperlink r:id="rId10">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less the nonrefundable credits against computed income tax which are authorized in Iowa Code chapter </w:t>
      </w:r>
      <w:hyperlink r:id="rId11">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division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304.2(3)</w:t>
      </w:r>
      <w:r>
        <w:rPr>
          <w:rFonts w:ascii="Times New Roman" w:hAnsi="Times New Roman"/>
          <w:b w:val="false"/>
          <w:i w:val="false"/>
          <w:color w:val="000000"/>
          <w:sz w:val="22"/>
        </w:rPr>
        <w:t> </w:t>
      </w:r>
      <w:r>
        <w:rPr>
          <w:rFonts w:ascii="Times New Roman" w:hAnsi="Times New Roman"/>
          <w:b w:val="false"/>
          <w:i/>
          <w:color w:val="000000"/>
          <w:sz w:val="22"/>
        </w:rPr>
        <w:t xml:space="preserve">Administering the emergency medical income surtax. </w:t>
      </w:r>
      <w:r>
        <w:rPr>
          <w:rFonts w:ascii="Times New Roman" w:hAnsi="Times New Roman"/>
          <w:b w:val="false"/>
          <w:i w:val="false"/>
          <w:color w:val="000000"/>
          <w:sz w:val="22"/>
        </w:rPr>
        <w:t xml:space="preserve">The director of revenue shall administer the emergency medical income surtax in the same way as other state individual tax laws are administered. All powers and requirements related to administering the state income tax law apply to the administration of the emergency medical income surtax including, but not limited to, the provisions of Iowa Code sections </w:t>
      </w:r>
      <w:hyperlink r:id="rId12">
        <w:r>
          <w:rPr>
            <w:rStyle w:val="Hyperlink"/>
            <w:rFonts w:ascii="Times New Roman" w:hAnsi="Times New Roman"/>
            <w:b w:val="false"/>
            <w:i w:val="false"/>
            <w:color w:val="000000"/>
            <w:sz w:val="22"/>
          </w:rPr>
          <w:t>422.4</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422.20 to 422.31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422.68</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422.70</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422.72 to 422.75</w:t>
        </w:r>
      </w:hyperlink>
      <w:r>
        <w:rPr>
          <w:rFonts w:ascii="Times New Roman" w:hAnsi="Times New Roman"/>
          <w:b w:val="false"/>
          <w:i w:val="false"/>
          <w:color w:val="000000"/>
          <w:sz w:val="22"/>
        </w:rPr>
        <w:t>. The county board of supervisors and county officials shall confer with the director for assistance in drafting the ordinance imposing the emergency medical income surtax. Certified copies of the ordinance shall be filed with the department of revenue and the department of management within 30 days after the emergency medical income surtax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304.2(4)</w:t>
      </w:r>
      <w:r>
        <w:rPr>
          <w:rFonts w:ascii="Times New Roman" w:hAnsi="Times New Roman"/>
          <w:b w:val="false"/>
          <w:i w:val="false"/>
          <w:color w:val="000000"/>
          <w:sz w:val="22"/>
        </w:rPr>
        <w:t> </w:t>
      </w:r>
      <w:r>
        <w:rPr>
          <w:rFonts w:ascii="Times New Roman" w:hAnsi="Times New Roman"/>
          <w:b w:val="false"/>
          <w:i/>
          <w:color w:val="000000"/>
          <w:sz w:val="22"/>
        </w:rPr>
        <w:t xml:space="preserve">Accounting for the emergency medical income surtax and paying the surtax. </w:t>
      </w:r>
      <w:r>
        <w:rPr>
          <w:rFonts w:ascii="Times New Roman" w:hAnsi="Times New Roman"/>
          <w:b w:val="false"/>
          <w:i w:val="false"/>
          <w:color w:val="000000"/>
          <w:sz w:val="22"/>
        </w:rPr>
        <w:t>The department shall account for the emergency medical income surtax and any interest and penalties on the surtax so that there is a separate accounting for each county where the income surtax is imposed. The accounting shall be applicable to those individual income tax returns filed on or before November 1 of the calendar year following the tax year for which the tax is imposed. The emergency medical income surtax and any penalties and interest should be credited to a “local income surtax fund” established in the office of the state treasurer. On or before December 15 of the year after the tax year, the director of revenue shall certify to the state treasurer the income surtax and any interest and penalties collected from returns filed on or before November 1.</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7">
        <w:r>
          <w:rPr>
            <w:rStyle w:val="Hyperlink"/>
            <w:rFonts w:ascii="Times New Roman" w:hAnsi="Times New Roman"/>
            <w:b w:val="false"/>
            <w:i w:val="false"/>
            <w:color w:val="000000"/>
            <w:sz w:val="22"/>
          </w:rPr>
          <w:t>422D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w:t>
      </w:r>
      <w:r>
        <w:rPr>
          <w:rFonts w:ascii="Times New Roman" w:hAnsi="Times New Roman"/>
          <w:b/>
          <w:i w:val="false"/>
          <w:color w:val="000000"/>
          <w:sz w:val="22"/>
        </w:rPr>
        <w:t xml:space="preserve">(422) </w:t>
      </w:r>
      <w:r>
        <w:rPr>
          <w:rFonts w:ascii="Times New Roman" w:hAnsi="Times New Roman"/>
          <w:b/>
          <w:i w:val="false"/>
          <w:color w:val="000000"/>
          <w:sz w:val="22"/>
        </w:rPr>
        <w:t xml:space="preserve">Exemption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304.3(1)</w:t>
      </w:r>
      <w:r>
        <w:rPr>
          <w:rFonts w:ascii="Times New Roman" w:hAnsi="Times New Roman"/>
          <w:b w:val="false"/>
          <w:i w:val="false"/>
          <w:color w:val="000000"/>
          <w:sz w:val="22"/>
        </w:rPr>
        <w:t> </w:t>
      </w:r>
      <w:r>
        <w:rPr>
          <w:rFonts w:ascii="Times New Roman" w:hAnsi="Times New Roman"/>
          <w:b w:val="false"/>
          <w:i w:val="false"/>
          <w:color w:val="000000"/>
          <w:sz w:val="22"/>
        </w:rPr>
        <w:t xml:space="preserve">A single person shall deduct from the computed tax a personal exemption credit of $40. A single person is defined in </w:t>
      </w:r>
      <w:hyperlink r:id="rId18">
        <w:r>
          <w:rPr>
            <w:rStyle w:val="Hyperlink"/>
            <w:rFonts w:ascii="Times New Roman" w:hAnsi="Times New Roman"/>
            <w:b w:val="false"/>
            <w:i w:val="false"/>
            <w:color w:val="000000"/>
            <w:sz w:val="22"/>
          </w:rPr>
          <w:t>701—subrule 301.4(1)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304.3(2)</w:t>
      </w:r>
      <w:r>
        <w:rPr>
          <w:rFonts w:ascii="Times New Roman" w:hAnsi="Times New Roman"/>
          <w:b w:val="false"/>
          <w:i w:val="false"/>
          <w:color w:val="000000"/>
          <w:sz w:val="22"/>
        </w:rPr>
        <w:t> </w:t>
      </w:r>
      <w:r>
        <w:rPr>
          <w:rFonts w:ascii="Times New Roman" w:hAnsi="Times New Roman"/>
          <w:b w:val="false"/>
          <w:i w:val="false"/>
          <w:color w:val="000000"/>
          <w:sz w:val="22"/>
        </w:rPr>
        <w:t>A married person living with husband or wife at the close of the taxable year, or living with husband or wife at the time of the death of that spouse during the taxable year, shall, if a joint return is filed, deduct from the computed tax a personal exemption of $80. Where such spouse files a separate return, each spouse is entitled to deduct from the computed tax a personal exemption of $40. The personal exemption may not be divided between the spouses in any other proportion.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304.3(3)</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shall deduct from computed tax an exemption of $40 for each dependent. “Dependent” has the same meaning as provided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and the same dependents shall be claimed for Iowa income tax purposes as the taxpayer is entitled to claim for federal income tax purposes. If each spouse furnished 50 percent of the support, the spouses must elect between them which spouse is to be entitled to claim the dependent. The dividing of dependent credits applies only to the number of dependents and not to the credit amount for a particular dependent.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304.3(4)</w:t>
      </w:r>
      <w:r>
        <w:rPr>
          <w:rFonts w:ascii="Times New Roman" w:hAnsi="Times New Roman"/>
          <w:b w:val="false"/>
          <w:i w:val="false"/>
          <w:color w:val="000000"/>
          <w:sz w:val="22"/>
        </w:rPr>
        <w:t> </w:t>
      </w:r>
      <w:r>
        <w:rPr>
          <w:rFonts w:ascii="Times New Roman" w:hAnsi="Times New Roman"/>
          <w:b w:val="false"/>
          <w:i w:val="false"/>
          <w:color w:val="000000"/>
          <w:sz w:val="22"/>
        </w:rPr>
        <w:t xml:space="preserve">A head of household as defined in </w:t>
      </w:r>
      <w:hyperlink r:id="rId19">
        <w:r>
          <w:rPr>
            <w:rStyle w:val="Hyperlink"/>
            <w:rFonts w:ascii="Times New Roman" w:hAnsi="Times New Roman"/>
            <w:b w:val="false"/>
            <w:i w:val="false"/>
            <w:color w:val="000000"/>
            <w:sz w:val="22"/>
          </w:rPr>
          <w:t>701—subrule 301.4(7)</w:t>
        </w:r>
      </w:hyperlink>
      <w:r>
        <w:rPr>
          <w:rFonts w:ascii="Times New Roman" w:hAnsi="Times New Roman"/>
          <w:b w:val="false"/>
          <w:i w:val="false"/>
          <w:color w:val="000000"/>
          <w:sz w:val="22"/>
        </w:rPr>
        <w:t xml:space="preserve"> is allowed a personal exemption credit of $80.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304.3(5)</w:t>
      </w:r>
      <w:r>
        <w:rPr>
          <w:rFonts w:ascii="Times New Roman" w:hAnsi="Times New Roman"/>
          <w:b w:val="false"/>
          <w:i w:val="false"/>
          <w:color w:val="000000"/>
          <w:sz w:val="22"/>
        </w:rPr>
        <w:t> </w:t>
      </w:r>
      <w:r>
        <w:rPr>
          <w:rFonts w:ascii="Times New Roman" w:hAnsi="Times New Roman"/>
          <w:b w:val="false"/>
          <w:i w:val="false"/>
          <w:color w:val="000000"/>
          <w:sz w:val="22"/>
        </w:rPr>
        <w:t>A taxpayer who is 65 years of age on or before the first day following the end of the tax year is allowed an additional personal exemption credit of $20 in addition to any other credits allowed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304.3(6)</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who is blind, as defined in Iowa Code section </w:t>
      </w:r>
      <w:hyperlink r:id="rId20">
        <w:r>
          <w:rPr>
            <w:rStyle w:val="Hyperlink"/>
            <w:rFonts w:ascii="Times New Roman" w:hAnsi="Times New Roman"/>
            <w:b w:val="false"/>
            <w:i w:val="false"/>
            <w:color w:val="000000"/>
            <w:sz w:val="22"/>
          </w:rPr>
          <w:t>422.12(1)</w:t>
        </w:r>
        <w:r>
          <w:rPr>
            <w:rFonts w:ascii="Times New Roman" w:hAnsi="Times New Roman"/>
            <w:b w:val="false"/>
            <w:i/>
            <w:color w:val="000000"/>
            <w:sz w:val="22"/>
          </w:rPr>
          <w:t>“e,”</w:t>
        </w:r>
      </w:hyperlink>
      <w:r>
        <w:rPr>
          <w:rFonts w:ascii="Times New Roman" w:hAnsi="Times New Roman"/>
          <w:b w:val="false"/>
          <w:i w:val="false"/>
          <w:color w:val="000000"/>
          <w:sz w:val="22"/>
        </w:rPr>
        <w:t xml:space="preserve"> is allowed a personal exemption credit of $20 in addition to any other credits allowed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304.3(7)</w:t>
      </w:r>
      <w:r>
        <w:rPr>
          <w:rFonts w:ascii="Times New Roman" w:hAnsi="Times New Roman"/>
          <w:b w:val="false"/>
          <w:i w:val="false"/>
          <w:color w:val="000000"/>
          <w:sz w:val="22"/>
        </w:rPr>
        <w:t> </w:t>
      </w:r>
      <w:r>
        <w:rPr>
          <w:rFonts w:ascii="Times New Roman" w:hAnsi="Times New Roman"/>
          <w:b w:val="false"/>
          <w:i w:val="false"/>
          <w:color w:val="000000"/>
          <w:sz w:val="22"/>
        </w:rPr>
        <w:t>A nonresident taxpayer or a part-year resident taxpayer will be allowed to deduct personal exemption credits as if the nonresident taxpayer or part-year taxpayer was a resident for the entire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w:t>
      </w:r>
      <w:r>
        <w:rPr>
          <w:rFonts w:ascii="Times New Roman" w:hAnsi="Times New Roman"/>
          <w:b/>
          <w:i w:val="false"/>
          <w:color w:val="000000"/>
          <w:sz w:val="22"/>
        </w:rPr>
        <w:t xml:space="preserve">(422) </w:t>
      </w:r>
      <w:r>
        <w:rPr>
          <w:rFonts w:ascii="Times New Roman" w:hAnsi="Times New Roman"/>
          <w:b/>
          <w:i w:val="false"/>
          <w:color w:val="000000"/>
          <w:sz w:val="22"/>
        </w:rPr>
        <w:t xml:space="preserve">Tuition and textbook credit for expenses incurred for dependents attending grades kindergarten through 12 in Iowa. </w:t>
      </w:r>
      <w:r>
        <w:rPr>
          <w:rFonts w:ascii="Times New Roman" w:hAnsi="Times New Roman"/>
          <w:b w:val="false"/>
          <w:i w:val="false"/>
          <w:color w:val="000000"/>
          <w:sz w:val="22"/>
        </w:rPr>
        <w:t xml:space="preserve">Taxpayers who pay tuition and textbook expenses of dependents who attend grades kindergarten through 12 in Iowa may receive a tax credit of 25 percent of up to $2,000 ($1,000 for tax years beginning prior to January 1, 2021) of qualifying expenses for each dependent who receives private instruction, as defined in Iowa Code section </w:t>
      </w:r>
      <w:hyperlink r:id="rId22">
        <w:r>
          <w:rPr>
            <w:rStyle w:val="Hyperlink"/>
            <w:rFonts w:ascii="Times New Roman" w:hAnsi="Times New Roman"/>
            <w:b w:val="false"/>
            <w:i w:val="false"/>
            <w:color w:val="000000"/>
            <w:sz w:val="22"/>
          </w:rPr>
          <w:t>422.12(1)</w:t>
        </w:r>
        <w:r>
          <w:rPr>
            <w:rFonts w:ascii="Times New Roman" w:hAnsi="Times New Roman"/>
            <w:b w:val="false"/>
            <w:i/>
            <w:color w:val="000000"/>
            <w:sz w:val="22"/>
          </w:rPr>
          <w:t>“c,”</w:t>
        </w:r>
      </w:hyperlink>
      <w:r>
        <w:rPr>
          <w:rFonts w:ascii="Times New Roman" w:hAnsi="Times New Roman"/>
          <w:b w:val="false"/>
          <w:i w:val="false"/>
          <w:color w:val="000000"/>
          <w:sz w:val="22"/>
        </w:rPr>
        <w:t xml:space="preserve"> or attends an elementary or secondary school located in Iowa. A taxpayer whose dependent receives private instruction is only eligible for the tuition and textbook credit for tax years beginning on or after January 1, 2021.</w:t>
      </w:r>
    </w:p>
    <w:p>
      <w:pPr>
        <w:spacing w:before="0" w:after="0"/>
        <w:ind w:left="120"/>
        <w:jc w:val="both"/>
      </w:pPr>
      <w:r>
        <w:rPr>
          <w:rFonts w:ascii="Times New Roman" w:hAnsi="Times New Roman"/>
          <w:b w:val="false"/>
          <w:i w:val="false"/>
          <w:color w:val="000000"/>
          <w:sz w:val="22"/>
        </w:rPr>
        <w:t xml:space="preserve">For a taxpayer whose dependent attends an elementary or secondary school, in order for the taxpayer to qualify for the tuition and textbook credit, the elementary school or secondary school that the dependent is attending must meet the standards for accreditation of public and nonpublic schools in Iowa provided in Iowa Code section </w:t>
      </w:r>
      <w:hyperlink r:id="rId23">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 In addition, the school the dependent is attending must not be operated for profit and must adhere to the provisions of the United States Civil Rights Act of 1964, and the provisions of Iowa Code chapter </w:t>
      </w:r>
      <w:hyperlink r:id="rId24">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 xml:space="preserve">, which is known as the Iowa civil rights Act of 1965.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304.4(1)</w:t>
      </w:r>
      <w:r>
        <w:rPr>
          <w:rFonts w:ascii="Times New Roman" w:hAnsi="Times New Roman"/>
          <w:b w:val="false"/>
          <w:i w:val="false"/>
          <w:color w:val="000000"/>
          <w:sz w:val="22"/>
        </w:rPr>
        <w:t> </w:t>
      </w:r>
      <w:r>
        <w:rPr>
          <w:rFonts w:ascii="Times New Roman" w:hAnsi="Times New Roman"/>
          <w:b w:val="false"/>
          <w:i/>
          <w:color w:val="000000"/>
          <w:sz w:val="22"/>
        </w:rPr>
        <w:t xml:space="preserve">Tuition. </w:t>
      </w:r>
      <w:r>
        <w:rPr>
          <w:rFonts w:ascii="Times New Roman" w:hAnsi="Times New Roman"/>
          <w:b w:val="false"/>
          <w:i w:val="false"/>
          <w:color w:val="000000"/>
          <w:sz w:val="22"/>
        </w:rPr>
        <w:t>For purposes of the tuition and textbook tax credit, “tuition” means any charge for the expense of personnel, buildings, equipment, and materials other than textbooks, and other expenses which relate to the teaching of only those subjects that are legally and commonly taught in public elementary or secondary schools in Iowa. “Tuition” includes charges by a qualified school for summer school classes or for instruction of a child who is physically unable to attend classes at the site of the elementary or secondary school. Expenses paid by a taxpayer, including a taxpayer whose dependent receives private instruction, for equipment and materials other than textbooks must be for equipment and materials required for attendance in Iowa in order to be eligible for the tuition and textbook tax credit. The following are examples of equipment and materials that may qualify for the credit provided they are required for attendance in school or for providing private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Pocket folders and binders.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Spiral notebooks and loose-leaf paper.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Writing utensils, including pens, pencils, highlighters, colored pencils, crayons, and markers.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Backpacks.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Rulers.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Calculators.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Scissors.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Computers, including rental fees paid to a school for the use of a computer.</w:t>
      </w:r>
    </w:p>
    <w:p>
      <w:pPr>
        <w:spacing w:before="0" w:after="0"/>
        <w:ind w:left="120"/>
        <w:jc w:val="both"/>
      </w:pPr>
      <w:r>
        <w:rPr>
          <w:rFonts w:ascii="Times New Roman" w:hAnsi="Times New Roman"/>
          <w:b w:val="false"/>
          <w:i w:val="false"/>
          <w:color w:val="000000"/>
          <w:sz w:val="22"/>
        </w:rPr>
        <w:t>“Tuition” does not include charges or fees which relate to the teaching of religious tenets, doctrines, or worship in cases where the purpose of the teaching is to inculcate the religious tenets, doctrines, or worship. In addition, “tuition” does not include amounts paid to an individual or other entity for instruction that is supplementary to elementary or secondary school instruction or private instruction. Amounts paid to an elementary or secondary school or to a person providing private instruction for meals, lodging, or clothing for a dependent do not qualify for the tax credit for tuition. “Tuition” also does not include expenses for Internet services or Internet upgrades to facilitate remote learning.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304.4(2)</w:t>
      </w:r>
      <w:r>
        <w:rPr>
          <w:rFonts w:ascii="Times New Roman" w:hAnsi="Times New Roman"/>
          <w:b w:val="false"/>
          <w:i w:val="false"/>
          <w:color w:val="000000"/>
          <w:sz w:val="22"/>
        </w:rPr>
        <w:t> </w:t>
      </w:r>
      <w:r>
        <w:rPr>
          <w:rFonts w:ascii="Times New Roman" w:hAnsi="Times New Roman"/>
          <w:b w:val="false"/>
          <w:i/>
          <w:color w:val="000000"/>
          <w:sz w:val="22"/>
        </w:rPr>
        <w:t xml:space="preserve">Textbooks. </w:t>
      </w:r>
      <w:r>
        <w:rPr>
          <w:rFonts w:ascii="Times New Roman" w:hAnsi="Times New Roman"/>
          <w:b w:val="false"/>
          <w:i w:val="false"/>
          <w:color w:val="000000"/>
          <w:sz w:val="22"/>
        </w:rPr>
        <w:t>For purposes of the tuition and textbook tax credit, “textbooks” means books and other instructional materials used to teach only those subjects legally and commonly taught in public elementary and secondary schools in Iowa. “Textbooks” includes fees or charges for required supplies or materials for classes in art, home economics, shop, or similar courses. “Textbooks” also includes books and materials used for extracurricular activities, such as sporting events, musical events, dramatic events, speech activities, driver’s education, or programs of a similar nature.</w:t>
      </w:r>
    </w:p>
    <w:p>
      <w:pPr>
        <w:spacing w:before="0" w:after="0"/>
        <w:ind w:left="120"/>
        <w:jc w:val="both"/>
      </w:pPr>
      <w:r>
        <w:rPr>
          <w:rFonts w:ascii="Times New Roman" w:hAnsi="Times New Roman"/>
          <w:b w:val="false"/>
          <w:i w:val="false"/>
          <w:color w:val="000000"/>
          <w:sz w:val="22"/>
        </w:rPr>
        <w:t>“Textbooks” does not include amounts paid for books or other instructional materials used in the teaching of religious tenets, doctrines, or worship, in cases where the purpose of the teaching is to inculcate the religious tenets, doctrine, or worship. For tax years beginning before January 1, 2021, “textbooks” does not include amounts paid for books or other instructional materials used in teaching a dependent subjects in the home or outside of an elementary or secondary school. For tax years beginning on or after January 1, 2021, “textbooks” does include amounts paid for books or other instructional materials used in teaching a dependent subjects in the home or outside of an elementary or secondary school if that dependent is receiving private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304.4(3)</w:t>
      </w:r>
      <w:r>
        <w:rPr>
          <w:rFonts w:ascii="Times New Roman" w:hAnsi="Times New Roman"/>
          <w:b w:val="false"/>
          <w:i w:val="false"/>
          <w:color w:val="000000"/>
          <w:sz w:val="22"/>
        </w:rPr>
        <w:t> </w:t>
      </w:r>
      <w:r>
        <w:rPr>
          <w:rFonts w:ascii="Times New Roman" w:hAnsi="Times New Roman"/>
          <w:b w:val="false"/>
          <w:i/>
          <w:color w:val="000000"/>
          <w:sz w:val="22"/>
        </w:rPr>
        <w:t xml:space="preserve">Extracurricular activities. </w:t>
      </w:r>
      <w:r>
        <w:rPr>
          <w:rFonts w:ascii="Times New Roman" w:hAnsi="Times New Roman"/>
          <w:b w:val="false"/>
          <w:i w:val="false"/>
          <w:color w:val="000000"/>
          <w:sz w:val="22"/>
        </w:rPr>
        <w:t>For purposes of the tuition and textbook tax credit, amounts paid for dependents to participate in or to attend extracurricular activities may be claimed as part of the tuition and textbook tax credit. “Extracurricular activities” includes sporting events, musical events, dramatic events, speech activities, driver’s education, and programs of a similar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are specific examples of expenditures related to a dependent’s participation in or attendance at extracurricular activities offered by a qualifying school or offered in the course of private instruction that may qualify for the tuition and textbook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Fees for participation in sports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Fees for field trips.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Rental fees for instruments for bands or orchestras but not rental fees in rent-to-own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Driver’s education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Cost of activity tickets or admission tickets to sporting, music, and dramatic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Fees for events such as homecoming, winter formal, prom, or similar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Rental of costumes for plays.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Purchase of costumes for plays if the costumes are not suitable for street wear.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Purchase of track shoes, football shoes, or other athletic shoes with cleats, spikes, or other features that are not suitable for street wear.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Costs of tickets or other admission fees to attend banquets or buffets for academic or athletic awards.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Trumpet grease, woodwind reeds, guitar picks, violin strings, and similar types of items for maintenance of instruments used in bands or orchestras.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Band booster club or athletic booster club dues, but only if dues are for the dependent and not the parent or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Rental of a formal gown or a tuxedo for a dance or similar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Dues paid to clubs or organizations such as chess club, photography club, debate club, or similar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Amounts paid for music that will be used in music programs, including vocal music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Fees paid for required general materials for shop class, agriculture class, home economics class, or auto repair class and general fees for equivalent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Fees for a dependent’s bus trips to attend school or private instruction if paid to the school or the provider of private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Costs of band or athletic uniforms.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Costs of instrument lessons.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are specific examples of expenditures related to a dependent’s participation in or attendance at extracurricular activities offered by a school or offered in the course of private instruction that will not qualify for the tuition and textbook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Purchase of a musical instrument used in a band or orchestra.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Purchase of basketball shoes or other athletic shoes that are readily adaptable to street wear.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Amounts paid for special testing such as SAT or PSAT, and for Iowa talent search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Payments for senior trips, band trips, and other overnight activity trips which involve payment for meals and lodging.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Fees paid to K-12 schools or to a private instructor for courses for college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Amounts paid for T-shirts, sweatshirts, and similar clothing that is appropriate for street wear.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Amounts paid for special programs at universities and colleges.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Amounts paid for a yearbook, annual, or class 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Fees for special materials paid for shop class, agriculture class, auto repair class, home economics class, and similar classes. For purposes of this paragraph, “special materials” means materials used for personal projects of the dependents, such as materials to make furniture for personal use, automobile parts for family automobiles, and other materials for projects for personal or family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Purchase of a formal gown or a tuxedo for a dance or similar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Amounts paid for sports-related social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304.4(4)</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r>
        <w:rPr>
          <w:rFonts w:ascii="Times New Roman" w:hAnsi="Times New Roman"/>
          <w:b w:val="false"/>
          <w:i w:val="false"/>
          <w:color w:val="000000"/>
          <w:sz w:val="22"/>
        </w:rPr>
        <w:t xml:space="preserve">The credit can only be claimed by the spouse who claims the dependent credit on the Iowa tax return as described in subrule </w:t>
      </w:r>
      <w:hyperlink r:id="rId25">
        <w:r>
          <w:rPr>
            <w:rStyle w:val="Hyperlink"/>
            <w:rFonts w:ascii="Times New Roman" w:hAnsi="Times New Roman"/>
            <w:b w:val="false"/>
            <w:i w:val="false"/>
            <w:color w:val="000000"/>
            <w:sz w:val="22"/>
          </w:rPr>
          <w:t>304.3(3)</w:t>
        </w:r>
      </w:hyperlink>
      <w:r>
        <w:rPr>
          <w:rFonts w:ascii="Times New Roman" w:hAnsi="Times New Roman"/>
          <w:b w:val="false"/>
          <w:i w:val="false"/>
          <w:color w:val="000000"/>
          <w:sz w:val="22"/>
        </w:rPr>
        <w:t>. For example, for divorced or separated parents, only the spouse who claims the dependent credit on the Iowa return can claim the tuition and textbook credit for tuition and textbook expenses for that dependent.</w:t>
      </w:r>
    </w:p>
    <w:p>
      <w:pPr>
        <w:spacing w:before="0" w:after="0"/>
        <w:ind w:left="120"/>
        <w:jc w:val="both"/>
      </w:pPr>
      <w:r>
        <w:rPr>
          <w:rFonts w:ascii="Times New Roman" w:hAnsi="Times New Roman"/>
          <w:b w:val="false"/>
          <w:i w:val="false"/>
          <w:color w:val="000000"/>
          <w:sz w:val="22"/>
        </w:rPr>
        <w:t>In cases where married taxpayers file separately on a combined return form, the tuition and textbook credit shall be allocated between the spouses in the ratio in which the dependent credit was claimed between the spouses.</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married couple has two dependent children and claimed a tuition and textbook credit of $500 related to both children on their 2011 Iowa return. The taxpayers filed separately on a combined Iowa return form for 2011. One spouse claimed both of the dependent credits on the Iowa return. The $500 tuition and textbook credit will be claimed by the spouse who claimed the dependent credits on the Iowa return.</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married couple has three dependent children and claimed a tuition and textbook credit of $600 related to all three children on their 2011 Iowa return. The taxpayers filed separately on a combined Iowa return form for 2011. One spouse claimed one dependent credit, and the other spouse claimed two dependent credits on the Iowa return. The spouse who claimed one dependent credit will claim $200 of the tuition and textbook credit, while the spouse who claimed two dependent credits will claim $400 of the tuition and textbook credit.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9820B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6240C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w:t>
      </w:r>
      <w:r>
        <w:rPr>
          <w:rFonts w:ascii="Times New Roman" w:hAnsi="Times New Roman"/>
          <w:b/>
          <w:i w:val="false"/>
          <w:color w:val="000000"/>
          <w:sz w:val="22"/>
        </w:rPr>
        <w:t xml:space="preserve">(422) </w:t>
      </w:r>
      <w:r>
        <w:rPr>
          <w:rFonts w:ascii="Times New Roman" w:hAnsi="Times New Roman"/>
          <w:b/>
          <w:i w:val="false"/>
          <w:color w:val="000000"/>
          <w:sz w:val="22"/>
        </w:rPr>
        <w:t xml:space="preserve">Nonresident and part-year resident credit. </w:t>
      </w:r>
      <w:r>
        <w:rPr>
          <w:rFonts w:ascii="Times New Roman" w:hAnsi="Times New Roman"/>
          <w:b w:val="false"/>
          <w:i w:val="false"/>
          <w:color w:val="000000"/>
          <w:sz w:val="22"/>
        </w:rPr>
        <w:t>An individual who is a nonresident of Iowa for the entire tax year, or an individual who is an Iowa resident for a portion of the tax year, is allowed a credit against the individual’s Iowa income tax liability for the Iowa income tax on the portion of the individual’s income which was earned outside Iowa while the person was a nonresident of Iowa. This credit is computed on Schedule IA 126. The following subrules explain how the credit is computed for taxpayers who are nonresidents of Iowa and taxpayers who are part-year residents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304.5(1)</w:t>
      </w:r>
      <w:r>
        <w:rPr>
          <w:rFonts w:ascii="Times New Roman" w:hAnsi="Times New Roman"/>
          <w:b w:val="false"/>
          <w:i w:val="false"/>
          <w:color w:val="000000"/>
          <w:sz w:val="22"/>
        </w:rPr>
        <w:t> </w:t>
      </w:r>
      <w:r>
        <w:rPr>
          <w:rFonts w:ascii="Times New Roman" w:hAnsi="Times New Roman"/>
          <w:b w:val="false"/>
          <w:i/>
          <w:color w:val="000000"/>
          <w:sz w:val="22"/>
        </w:rPr>
        <w:t xml:space="preserve"> Credit calculation for nonresidents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calculation of the nonresident credit, a nonresident of Iowa shall compute taxable income in the same manner as a full-year Iowa resident. Thus, a nonresident would have the same initial Iowa income tax liability as a full-year Iowa resident taxpayer with the same taxable income before the nonresident credit is computed.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nonresident credit is computed by dividing the taxpayer’s Iowa source net income by the taxpayer’s total net income. See </w:t>
      </w:r>
      <w:hyperlink r:id="rId27">
        <w:r>
          <w:rPr>
            <w:rStyle w:val="Hyperlink"/>
            <w:rFonts w:ascii="Times New Roman" w:hAnsi="Times New Roman"/>
            <w:b w:val="false"/>
            <w:i w:val="false"/>
            <w:color w:val="000000"/>
            <w:sz w:val="22"/>
          </w:rPr>
          <w:t>701—Chapter 302</w:t>
        </w:r>
      </w:hyperlink>
      <w:r>
        <w:rPr>
          <w:rFonts w:ascii="Times New Roman" w:hAnsi="Times New Roman"/>
          <w:b w:val="false"/>
          <w:i w:val="false"/>
          <w:color w:val="000000"/>
          <w:sz w:val="22"/>
        </w:rPr>
        <w:t xml:space="preserve"> to determine a nonresident’s Iowa source net income and total net income. This Iowa income percentage is rounded to the nearest tenth of a percent (e.g., 1.2 percent) for tax years beginning before January 1, 2022, and to the nearest ten-thousandth of a percent (e.g., 1.2345 percent) for tax years beginning on or after January 1, 2022. The Iowa income percentage is then subtracted from 100 percent to arrive at the nonresident credit percentage, which represents the percentage of the individual’s total income which was earned outside Iowa. The nonresident credit percentage is multiplied by the net Iowa tax to compute the nonresident credit. For purposes of this subrule, “net Iowa tax” means the Iowa regular income tax after reduction for the nonrefundable credits provided in Iowa Code section </w:t>
      </w:r>
      <w:hyperlink r:id="rId28">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single resident of Nebraska had Iowa source net income of $15,000 in 2022 from wages earned from employment in Iowa. The rest of this person’s income was attributable to sources outside Iowa. This nonresident of Iowa had a total net income of $40,000 and a taxable income of $30,000 due to allowable deductions. The Iowa income percentage is computed by dividing the Iowa source net income of $15,000 by the taxpayer’s total net income of $40,000, which results in a percentage of 37.5000. This percentage is subtracted from 100 percent, which leaves a nonresident credit percentage of 62.5000.</w:t>
      </w:r>
    </w:p>
    <w:p>
      <w:pPr>
        <w:spacing w:before="0" w:after="0"/>
        <w:ind w:left="120"/>
        <w:jc w:val="both"/>
      </w:pPr>
      <w:r>
        <w:rPr>
          <w:rFonts w:ascii="Times New Roman" w:hAnsi="Times New Roman"/>
          <w:b w:val="false"/>
          <w:i w:val="false"/>
          <w:color w:val="000000"/>
          <w:sz w:val="22"/>
        </w:rPr>
        <w:t xml:space="preserve">The Iowa tax before reduction for the nonrefundable credits under Iowa Code section </w:t>
      </w:r>
      <w:hyperlink r:id="rId29">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is $1,508. The individual is allowed an exemption credit under Iowa Code section </w:t>
      </w:r>
      <w:hyperlink r:id="rId30">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of $40, which leaves a tax amount of $1,468 ($1,508 - $40). When $1,468 is multiplied by the nonresident credit percentage of 62.5000, a nonresident credit of $918 is computed.</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California resident, who was married, had $20,000 of Iowa source net income in 2022 from an Iowa farm. This individual had an additional $80,000 in net income that was attributable to sources outside Iowa, but the individual’s spouse had no income. The taxpayers had a total net income of $100,000 and a taxable income of $70,000 due to allowable deductions.</w:t>
      </w:r>
    </w:p>
    <w:p>
      <w:pPr>
        <w:spacing w:before="0" w:after="0"/>
        <w:ind w:left="120"/>
        <w:jc w:val="both"/>
      </w:pPr>
      <w:r>
        <w:rPr>
          <w:rFonts w:ascii="Times New Roman" w:hAnsi="Times New Roman"/>
          <w:b w:val="false"/>
          <w:i w:val="false"/>
          <w:color w:val="000000"/>
          <w:sz w:val="22"/>
        </w:rPr>
        <w:t xml:space="preserve">The taxpayers had an Iowa income tax liability of $4,583 after application of the personal exemption credits of $80 under Iowa Code section </w:t>
      </w:r>
      <w:hyperlink r:id="rId31">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The taxpayers had an Iowa source net income of $20,000 and a total net income of $100,000. Therefore, the Iowa income percentage was 20.0000. Subtracting the Iowa income percentage of 20 percent from 100 percent leaves a nonresident credit percentage of 80.0000.</w:t>
      </w:r>
    </w:p>
    <w:p>
      <w:pPr>
        <w:spacing w:before="0" w:after="0"/>
        <w:ind w:left="120"/>
        <w:jc w:val="both"/>
      </w:pPr>
      <w:r>
        <w:rPr>
          <w:rFonts w:ascii="Times New Roman" w:hAnsi="Times New Roman"/>
          <w:b w:val="false"/>
          <w:i w:val="false"/>
          <w:color w:val="000000"/>
          <w:sz w:val="22"/>
        </w:rPr>
        <w:t xml:space="preserve">When the Iowa income tax liability of $4,583 is multiplied by 80 percent, this results in a nonresident credit of $3,666.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304.5(2)</w:t>
      </w:r>
      <w:r>
        <w:rPr>
          <w:rFonts w:ascii="Times New Roman" w:hAnsi="Times New Roman"/>
          <w:b w:val="false"/>
          <w:i w:val="false"/>
          <w:color w:val="000000"/>
          <w:sz w:val="22"/>
        </w:rPr>
        <w:t> </w:t>
      </w:r>
      <w:r>
        <w:rPr>
          <w:rFonts w:ascii="Times New Roman" w:hAnsi="Times New Roman"/>
          <w:b w:val="false"/>
          <w:i/>
          <w:color w:val="000000"/>
          <w:sz w:val="22"/>
        </w:rPr>
        <w:t xml:space="preserve"> Credit calculation for part-year residents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calculation of the part-year resident credit, an individual who is a resident of Iowa for part of the tax year shall compute taxable income in the same manner as a full-year Iowa resident. Therefore, a part-year resident would have the same initial Iowa income tax liability as a full-year Iowa resident with the same taxable income before computation of the part-year resident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part-year resident credit for a part-year resident is computed by adding all the individual’s net income received while the taxpayer was a resident of Iowa and all the Iowa source net income received during the period of the tax year when the individual was a nonresident of Iowa, and dividing that sum by the taxpayer’s total net income. See </w:t>
      </w:r>
      <w:hyperlink r:id="rId32">
        <w:r>
          <w:rPr>
            <w:rStyle w:val="Hyperlink"/>
            <w:rFonts w:ascii="Times New Roman" w:hAnsi="Times New Roman"/>
            <w:b w:val="false"/>
            <w:i w:val="false"/>
            <w:color w:val="000000"/>
            <w:sz w:val="22"/>
          </w:rPr>
          <w:t>701—Chapter 302</w:t>
        </w:r>
      </w:hyperlink>
      <w:r>
        <w:rPr>
          <w:rFonts w:ascii="Times New Roman" w:hAnsi="Times New Roman"/>
          <w:b w:val="false"/>
          <w:i w:val="false"/>
          <w:color w:val="000000"/>
          <w:sz w:val="22"/>
        </w:rPr>
        <w:t xml:space="preserve"> to determine a part-year resident’s Iowa source net income and total net income. This Iowa income percentage is rounded to the nearest tenth of a percent (e.g., 1.2 percent) for tax years beginning before January 1, 2022, and to the nearest ten-thousandth of a percent (e.g., 1.2345 percent) for tax years beginning on or after January 1, 2022. The Iowa income percentage is then subtracted from 100 percent to arrive at the part-year resident credit percentage, which represents the percentage of the individual’s total income which was earned outside of Iowa while a nonresident. The part-year resident credit percentage is multiplied by the net Iowa tax to compute the part-year resident credit. For purposes of this subrule, “net Iowa tax” means the Iowa regular income tax after reduction for the nonrefundable credits provided in Iowa Code section </w:t>
      </w:r>
      <w:hyperlink r:id="rId33">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A single individual was a resident of Nebraska for the first half of 2022 and moved to Iowa on July 1, 2022, to accept a job in Des Moines. This individual earned $20,000 from wages, $200 from interest, and $4,000 from a ranch in Nebraska from January 1, 2022, through June 30, 2022. In the second half of 2022, this person had wages of $30,000, interest income of $300, and $4,000 from the Nebraska ranch. This part-year resident had $14,000 of allowable deductions.</w:t>
      </w:r>
    </w:p>
    <w:p>
      <w:pPr>
        <w:spacing w:before="0" w:after="0"/>
        <w:ind w:left="120"/>
        <w:jc w:val="both"/>
      </w:pPr>
      <w:r>
        <w:rPr>
          <w:rFonts w:ascii="Times New Roman" w:hAnsi="Times New Roman"/>
          <w:b w:val="false"/>
          <w:i w:val="false"/>
          <w:color w:val="000000"/>
          <w:sz w:val="22"/>
        </w:rPr>
        <w:t xml:space="preserve">The part-year resident’s total net income was $58,500 and the Iowa source net income was $34,300, which includes the Iowa wages, the Nebraska ranch income of $4,000 earned during the individual’s period of Iowa residence, as well as the interest income of $300 earned during that time of the tax year. The Iowa taxable income for the part-year resident for 2022 was $44,500 due to allowable deductions of $14,000 ($58,500 - $14,000). The individual’s Iowa income percentage was 58.6325, which was determined by dividing the Iowa source income of $34,300 by the total income of $58,500. Subtracting the Iowa income percentage of 58.6325 from 100 percent results in a part-year resident credit percentage of 41.3675. The Iowa tax on total income was $2,529, which was reduced to $2,489 after subtraction of the personal exemption credit of $40 under Iowa Code section </w:t>
      </w:r>
      <w:hyperlink r:id="rId34">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When $2,489 is multiplied by the part-year resident percentage of 41.3675, a part-year resident credit of $1,030 is computed for this part-year resident.</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 xml:space="preserve">A single individual moved from Minnesota to Iowa on July 1, 2022. This person earned $5,000 in income from an Iowa farm in the first half of the tax year and another $10,000 from this farm in the second half of the tax year. This person had $10,000 in wages from employment in Minnesota in the first half of the year and another $15,000 in wages from employment in Iowa in the second half of the tax year. This person had $2,000 in interest from a bank in the first half of the year and $2,000 in interest from a bank in the second half of the tax year. </w:t>
      </w:r>
    </w:p>
    <w:p>
      <w:pPr>
        <w:spacing w:before="0" w:after="0"/>
        <w:ind w:left="120"/>
        <w:jc w:val="both"/>
      </w:pPr>
      <w:r>
        <w:rPr>
          <w:rFonts w:ascii="Times New Roman" w:hAnsi="Times New Roman"/>
          <w:b w:val="false"/>
          <w:i w:val="false"/>
          <w:color w:val="000000"/>
          <w:sz w:val="22"/>
        </w:rPr>
        <w:t xml:space="preserve">The part-year resident’s total net income was $44,000 and the Iowa source net income was $32,000, which consisted of $15,000 in wages, $2,000 in interest income, and $15,000 in income from the Iowa farm. Since the farm was in Iowa, all farm income, including the income received while the individual was not a resident of Iowa, was taxable to Iowa. The individual’s Iowa taxable income was $34,250, which was computed after subtracting $9,750 in allowable deductions ($44,000 - $9,750). The taxpayer’s Iowa income tax liability was $1,757 after subtraction of a personal exemption credit of $40 under Iowa Code section </w:t>
      </w:r>
      <w:hyperlink r:id="rId35">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taxpayer’s Iowa income percentage was 72.7273, which was computed by dividing the Iowa source net income of $32,000 by the total net income of $44,000. The part-year resident credit percentage was 27.2727, which was arrived at by subtracting the Iowa income percentage of 72.7273 from 100 percent. The taxpayer’s part-year resident credit is $479. This was determined by multiplying the Iowa income tax liability after personal exemption credit amount of $1,757 by the part-year resident percentage of 27.2727.</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6031C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701—304.6</w:t>
      </w:r>
      <w:r>
        <w:rPr>
          <w:rFonts w:ascii="Times New Roman" w:hAnsi="Times New Roman"/>
          <w:b/>
          <w:i w:val="false"/>
          <w:color w:val="000000"/>
          <w:sz w:val="22"/>
        </w:rPr>
        <w:t xml:space="preserve">(422) </w:t>
      </w:r>
      <w:r>
        <w:rPr>
          <w:rFonts w:ascii="Times New Roman" w:hAnsi="Times New Roman"/>
          <w:b/>
          <w:i w:val="false"/>
          <w:color w:val="000000"/>
          <w:sz w:val="22"/>
        </w:rPr>
        <w:t xml:space="preserve">Out-of-state tax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“Foreign country” </w:t>
      </w:r>
      <w:r>
        <w:rPr>
          <w:rFonts w:ascii="Times New Roman" w:hAnsi="Times New Roman"/>
          <w:b w:val="false"/>
          <w:i w:val="false"/>
          <w:color w:val="000000"/>
          <w:sz w:val="22"/>
        </w:rPr>
        <w:t>means any country, other than the United States, and any political subdivision of that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“Income tax” </w:t>
      </w:r>
      <w:r>
        <w:rPr>
          <w:rFonts w:ascii="Times New Roman" w:hAnsi="Times New Roman"/>
          <w:b w:val="false"/>
          <w:i w:val="false"/>
          <w:color w:val="000000"/>
          <w:sz w:val="22"/>
        </w:rPr>
        <w:t>means any direct tax imposed upon a taxpayer and measured by the taxpayer’s income for a specified period of time. The out-of-state jurisdiction’s characterization of the tax is not controlling in the department’s determination of whether a tax is an income tax. Fees, penalty, and interest paid in connection with an income tax do not qualify. For purposes of this rule, the term “income tax” does not include a minimum tax imposed on preference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“Pass-through entity” </w:t>
      </w:r>
      <w:r>
        <w:rPr>
          <w:rFonts w:ascii="Times New Roman" w:hAnsi="Times New Roman"/>
          <w:b w:val="false"/>
          <w:i w:val="false"/>
          <w:color w:val="000000"/>
          <w:sz w:val="22"/>
        </w:rPr>
        <w:t xml:space="preserve">means an entity taxed as a partnership for federal tax purposes, an S corporation, an estate, or a trust other than grantor trusts.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investment company” </w:t>
      </w:r>
      <w:r>
        <w:rPr>
          <w:rFonts w:ascii="Times New Roman" w:hAnsi="Times New Roman"/>
          <w:b w:val="false"/>
          <w:i w:val="false"/>
          <w:color w:val="000000"/>
          <w:sz w:val="22"/>
        </w:rPr>
        <w:t xml:space="preserve">means any domestic corporation that meets the requirements of Section 851 of the Internal Revenue Code and that has made a valid election under Section 853 of the Internal Revenue Code to have its shareholders’ pro rata share of entity-level income tax paid by the electing corporation be deemed to have been paid by its shareholders. The term “regulated investment company” includes, but is not limited to, a mutual 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w:t>
      </w:r>
      <w:r>
        <w:rPr>
          <w:rFonts w:ascii="Times New Roman" w:hAnsi="Times New Roman"/>
          <w:b w:val="false"/>
          <w:i w:val="false"/>
          <w:color w:val="000000"/>
          <w:sz w:val="22"/>
        </w:rPr>
        <w:t xml:space="preserve">means any state of the United States, the District of Columbia, the Commonwealth of Puerto Rico, any territory or possession of the United States, and any political subdivision thereof.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“Tiered owner” </w:t>
      </w:r>
      <w:r>
        <w:rPr>
          <w:rFonts w:ascii="Times New Roman" w:hAnsi="Times New Roman"/>
          <w:b w:val="false"/>
          <w:i w:val="false"/>
          <w:color w:val="000000"/>
          <w:sz w:val="22"/>
        </w:rPr>
        <w:t xml:space="preserve">means an owner or beneficiary of a pass-through entity that is itself a pass-through entity.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304.6(2)</w:t>
      </w:r>
      <w:r>
        <w:rPr>
          <w:rFonts w:ascii="Times New Roman" w:hAnsi="Times New Roman"/>
          <w:b w:val="false"/>
          <w:i w:val="false"/>
          <w:color w:val="000000"/>
          <w:sz w:val="22"/>
        </w:rPr>
        <w:t> </w:t>
      </w:r>
      <w:r>
        <w:rPr>
          <w:rFonts w:ascii="Times New Roman" w:hAnsi="Times New Roman"/>
          <w:b w:val="false"/>
          <w:i/>
          <w:color w:val="000000"/>
          <w:sz w:val="22"/>
        </w:rPr>
        <w:t xml:space="preserve">General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Residents. </w:t>
      </w:r>
      <w:r>
        <w:rPr>
          <w:rFonts w:ascii="Times New Roman" w:hAnsi="Times New Roman"/>
          <w:b w:val="false"/>
          <w:i w:val="false"/>
          <w:color w:val="000000"/>
          <w:sz w:val="22"/>
        </w:rPr>
        <w:t xml:space="preserve">Iowa residents, including part-year residents, are allowed an out-of-state tax credit against the resident’s Iowa income tax liability for income taxes owed and paid by the resident to another state or foreign country on income for which all of the following are true: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income was derived from sources within the other state or foreign country. In determining whether income is derived from sources within that other state or foreign country, Iowa statutes and rules on the sourcing of a nonresident’s income shall govern.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income is subject to Iowa income tax. Income tax imposed by another state or foreign country on income that is not subject to Iowa income tax does not qualify for the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income was earned while the taxpayer was an Iowa resident and is included on the resident’s Iowa income tax return. The credit is allowable only if the taxpayer files an Iowa income tax return as a resident or part-year resident.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Nonresidents. </w:t>
      </w:r>
      <w:r>
        <w:rPr>
          <w:rFonts w:ascii="Times New Roman" w:hAnsi="Times New Roman"/>
          <w:b w:val="false"/>
          <w:i w:val="false"/>
          <w:color w:val="000000"/>
          <w:sz w:val="22"/>
        </w:rPr>
        <w:t xml:space="preserve">Nonresidents of Iowa shall not claim the out-of-state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304.6(3)</w:t>
      </w:r>
      <w:r>
        <w:rPr>
          <w:rFonts w:ascii="Times New Roman" w:hAnsi="Times New Roman"/>
          <w:b w:val="false"/>
          <w:i w:val="false"/>
          <w:color w:val="000000"/>
          <w:sz w:val="22"/>
        </w:rPr>
        <w:t> </w:t>
      </w:r>
      <w:r>
        <w:rPr>
          <w:rFonts w:ascii="Times New Roman" w:hAnsi="Times New Roman"/>
          <w:b w:val="false"/>
          <w:i/>
          <w:color w:val="000000"/>
          <w:sz w:val="22"/>
        </w:rPr>
        <w:t xml:space="preserve">Rule for pass-through entities.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Direct owners.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Iowa resident is a direct partner, shareholder, or beneficiary of a pass-through entity that owed and paid entity-level income tax, or income tax on a composite return basis, to another state or foreign country on income derived from sources in that state or foreign country, the resident is allowed to treat the resident’s pro rata share of that income tax as paid by the resident for purposes of the out-of-state tax credit, provided the resident’s pro rata share of that income flows through to the resident and meets the requirements of paragraph </w:t>
      </w:r>
      <w:hyperlink r:id="rId37">
        <w:r>
          <w:rPr>
            <w:rStyle w:val="Hyperlink"/>
            <w:rFonts w:ascii="Times New Roman" w:hAnsi="Times New Roman"/>
            <w:b w:val="false"/>
            <w:i w:val="false"/>
            <w:color w:val="000000"/>
            <w:sz w:val="22"/>
          </w:rPr>
          <w:t>304.6(2)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entity-level income tax or composite income tax paid to the other state or foreign country is the net state or foreign income tax actually owed and paid for the tax year on income taxed by that state or foreign country, as properly computed on the pass-through entity’s income tax return or composite return (not a withholding return) in the other state or foreign country after reduction for all nonrefundable credits provided to the pass-through entity. Paragraph </w:t>
      </w:r>
      <w:hyperlink r:id="rId38">
        <w:r>
          <w:rPr>
            <w:rStyle w:val="Hyperlink"/>
            <w:rFonts w:ascii="Times New Roman" w:hAnsi="Times New Roman"/>
            <w:b w:val="false"/>
            <w:i w:val="false"/>
            <w:color w:val="000000"/>
            <w:sz w:val="22"/>
          </w:rPr>
          <w:t>304.6(6)</w:t>
        </w:r>
      </w:hyperlink>
      <w:r>
        <w:rPr>
          <w:rFonts w:ascii="Times New Roman" w:hAnsi="Times New Roman"/>
          <w:b w:val="false"/>
          <w:i/>
          <w:color w:val="000000"/>
          <w:sz w:val="22"/>
        </w:rPr>
        <w:t>“b”</w:t>
      </w:r>
      <w:r>
        <w:rPr>
          <w:rFonts w:ascii="Times New Roman" w:hAnsi="Times New Roman"/>
          <w:b w:val="false"/>
          <w:i w:val="false"/>
          <w:color w:val="000000"/>
          <w:sz w:val="22"/>
        </w:rPr>
        <w:t xml:space="preserve"> provides an additional limitation if the Iowa resident receives a refundable credit in the other state or foreign country for the Iowa resident’s share of the income tax owed and paid by the pass-through entity. The resident’s pro rata share of entity-level income tax or composite income tax paid by the pass-through entity shall be in the same proportion as the resident’s pro rata share of income derived from sources in that state or foreign country, as properly reported on the entity’s return in the other state or foreign country.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qualify, the pass-through entity must provide to the resident a statement identifying the jurisdiction and the resident’s pro rata share of the income, income tax liability, and income tax paid in that jurisdiction.</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Partnership W earns $2,000 of income in state A, which imposes an entity-level income tax directly on the partnership. Partnership W pays $100 of income tax to state A. Partnership W is owned 50 percent by Partnership X and 50 percent by individual Y, a resident of Iowa. Individual Y receives a statement from Partnership W showing that Partnership W earned $2,000 of income and paid $100 of entity-level income tax to state A and that individual Y’s pro rata share of that income and entity-level income tax is $1,000 and $50, respectively. If that $1,000 of income from Partnership W is subject to Iowa income tax and included on individual Y’s Iowa income tax return as earned while an Iowa resident, individual Y will be entitled to treat the $50 of income tax paid by Partnership W to state A as paid by individual Y in the computation of Y’s out-of-state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Indirect owners.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Iowa resident is an indirect partner, shareholder, or beneficiary of a pass-through entity that paid entity-level income tax, or income tax on a composite return basis, to another state or foreign country on income derived from sources in that state or foreign country, the resident is allowed to treat the resident’s pro rata share of that income tax as paid by the resident for purposes of the out-of-state tax credit if both of the following requirements are satisfied: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tiered owner reduces the amount of the paying pass-through entity’s income tax that the tiered owner reports to its partners, shareholders, or beneficiaries by the amount of any credit available from that other state or foreign country to the tiered owner for the tax liability of the paying pass-through entity.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resident’s pro rata share of that income flows through one or more tiered owners to the resident and meets the requirements of paragraph </w:t>
      </w:r>
      <w:hyperlink r:id="rId39">
        <w:r>
          <w:rPr>
            <w:rStyle w:val="Hyperlink"/>
            <w:rFonts w:ascii="Times New Roman" w:hAnsi="Times New Roman"/>
            <w:b w:val="false"/>
            <w:i w:val="false"/>
            <w:color w:val="000000"/>
            <w:sz w:val="22"/>
          </w:rPr>
          <w:t>304.6(2)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entity-level income tax or composite income tax paid to the other state or foreign country is the net state or foreign income tax actually owed and paid for the tax year on income taxed by that state or foreign country, as properly computed on the pass-through entity’s income tax return or composite tax return (not a withholding return) in the other state or foreign country, after reduction for all nonrefundable credits provided to the pass-through entity, and after further reduction by a tiered owner for any credits provided by that other state or foreign country to the tiered owner for the tax liability of the paying pass-through entity. Paragraph </w:t>
      </w:r>
      <w:hyperlink r:id="rId40">
        <w:r>
          <w:rPr>
            <w:rStyle w:val="Hyperlink"/>
            <w:rFonts w:ascii="Times New Roman" w:hAnsi="Times New Roman"/>
            <w:b w:val="false"/>
            <w:i w:val="false"/>
            <w:color w:val="000000"/>
            <w:sz w:val="22"/>
          </w:rPr>
          <w:t>304.6(6)</w:t>
        </w:r>
      </w:hyperlink>
      <w:r>
        <w:rPr>
          <w:rFonts w:ascii="Times New Roman" w:hAnsi="Times New Roman"/>
          <w:b w:val="false"/>
          <w:i/>
          <w:color w:val="000000"/>
          <w:sz w:val="22"/>
        </w:rPr>
        <w:t>“b”</w:t>
      </w:r>
      <w:r>
        <w:rPr>
          <w:rFonts w:ascii="Times New Roman" w:hAnsi="Times New Roman"/>
          <w:b w:val="false"/>
          <w:i w:val="false"/>
          <w:color w:val="000000"/>
          <w:sz w:val="22"/>
        </w:rPr>
        <w:t xml:space="preserve"> provides an additional limitation if the Iowa resident receives a refundable credit in the other state or foreign country for the Iowa resident’s share of the income tax owed and paid by a pass-through entity. The resident’s pro rata share of entity-level income tax or composite income tax paid by the pass-through entity shall be in the same proportion as the resident’s pro rata share of income derived from sources in that state or foreign country, as properly reported on the entity’s return in the other state or foreign country, after flowing through one or more tiered pass-through entities to the resident.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To qualify, the paying pass-through entity must provide to the tiered owner a statement identifying the jurisdiction and the tiered owner’s pro rata share of the income, income tax liability, and income tax paid in that jurisdiction. The tiered owner, in turn, must provide the indirect partner, shareholder, or beneficiary with a statement that includes all of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jurisdiction to which income tax was paid; the paying pass-through entity and any other tiered owner through which the income flowed; and the indirect partner’s, shareholder’s, or beneficiary’s pro rata share of the paying pass-through entity’s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indirect partner’s, shareholder’s, or beneficiary’s pro rata share of the paying pass-through entity’s income tax liability and income tax paid to the other jurisdiction after reduction for any credit available to the tiered owner for the tax liability of the paying pass-through entity. If no such credit was provided to the tiered owner, the statement must include a declaration from the tiered owner to that effect. </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Assume the same facts as Example 1. Partnership X (a tiered owner) receives a statement from Partnership W which shows that W earned $2,000 of income in state A and paid $100 of entity-level income tax to state A and that Partnership X’s pro rata share of that income and entity-level income tax is $1,000 and $50, respectively. Partnership X is not eligible for a credit in state A for its share of the entity-level income tax paid by Partnership W. Partnership X is owned 50 percent by individual Z, a resident of Iowa. Individual Z then receives a statement from Partnership X indicating that Partnership X was not eligible for a credit for the tax paid by Partnership W, that Z’s pro rata share of Partnership W’s income taxed by state A is $500, and that Z’s pro rata share of Partnership W’s income tax imposed by and paid to state A is $25. If that $500 of income from Partnership W flows through Partnership X to individual Z, is subject to Iowa income tax, and is included on Z’s Iowa income tax return as earned while an Iowa resident, Z will be entitled to treat the $25 of income tax paid by Partnership W to state A as paid by Z in the computation of Z’s out-of-state tax credit. </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 xml:space="preserve">Assume the same facts as Example 2, except that Partnership X (a tiered owner) is eligible for a $50 credit in state A for its share of the entity-level income tax paid by Partnership W to state A. Partnership X must reduce its share of Partnership W’s entity-level income tax ($50) that it can report to its partners by the amount of the credit provided by state A for that tax ($50). Therefore, Partnership X cannot pass Partnership W’s entity-level income tax through to individual Z, and Z cannot treat a pro rata share of Partnership W’s entity-level income tax as paid by Z. However, if Partnership X is itself subject to and pays an entity-level income tax in state A, it may be allowed to pass through, and individual Z may be allowed to treat as paid by Z a pro rata share of the entity-level income tax paid by Partnership X in state A in the same manner as described in paragraph </w:t>
      </w:r>
      <w:hyperlink r:id="rId41">
        <w:r>
          <w:rPr>
            <w:rStyle w:val="Hyperlink"/>
            <w:rFonts w:ascii="Times New Roman" w:hAnsi="Times New Roman"/>
            <w:b w:val="false"/>
            <w:i w:val="false"/>
            <w:color w:val="000000"/>
            <w:sz w:val="22"/>
          </w:rPr>
          <w:t>304.6(3)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304.6(4)</w:t>
      </w:r>
      <w:r>
        <w:rPr>
          <w:rFonts w:ascii="Times New Roman" w:hAnsi="Times New Roman"/>
          <w:b w:val="false"/>
          <w:i w:val="false"/>
          <w:color w:val="000000"/>
          <w:sz w:val="22"/>
        </w:rPr>
        <w:t> </w:t>
      </w:r>
      <w:r>
        <w:rPr>
          <w:rFonts w:ascii="Times New Roman" w:hAnsi="Times New Roman"/>
          <w:b w:val="false"/>
          <w:i/>
          <w:color w:val="000000"/>
          <w:sz w:val="22"/>
        </w:rPr>
        <w:t xml:space="preserve">Rule for regulated investment companies. </w:t>
      </w:r>
      <w:r>
        <w:rPr>
          <w:rFonts w:ascii="Times New Roman" w:hAnsi="Times New Roman"/>
          <w:b w:val="false"/>
          <w:i w:val="false"/>
          <w:color w:val="000000"/>
          <w:sz w:val="22"/>
        </w:rPr>
        <w:t xml:space="preserve">If the Iowa resident is a shareholder of a regulated investment company making an election under Section 853 of the Internal Revenue Code, the resident shareholder is allowed an out-of-state tax credit for the resident shareholder’s pro rata share of entity-level income tax paid to a foreign country or possession of the United States by the regulated investment company and treated as paid by the resident shareholder under Section 853 of the Internal Revenue Code if the income taxed by the foreign country or possession of the United States is also subject to tax in Iowa and is included on the resident shareholder’s Iowa income tax return as earned while an Iowa resident. To qualify, the regulated investment company must provide to the resident shareholder a statement identifying the jurisdiction and the resident shareholder’s pro rata share of the income, income tax liability, and income tax paid in that jurisdiction. </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Individual D is a resident of Iowa and a shareholder of a mutual fund that paid income tax to foreign jurisdictions and that made an election under Section 853 of the Internal Revenue Code. On the annual, year-end tax statement, the mutual fund reported $2,000 of income to individual D and $10 of foreign tax paid with respect to D’s income. If that $2,000 of income from the mutual fund is subject to Iowa income tax and included on individual D’s Iowa income tax return as earned while an Iowa resident, D will be entitled to treat the $10 of income tax paid by the mutual fund to the foreign jurisdictions as paid by D in the computation of D’s out-of-state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304.6(5)</w:t>
      </w:r>
      <w:r>
        <w:rPr>
          <w:rFonts w:ascii="Times New Roman" w:hAnsi="Times New Roman"/>
          <w:b w:val="false"/>
          <w:i w:val="false"/>
          <w:color w:val="000000"/>
          <w:sz w:val="22"/>
        </w:rPr>
        <w:t> </w:t>
      </w:r>
      <w:r>
        <w:rPr>
          <w:rFonts w:ascii="Times New Roman" w:hAnsi="Times New Roman"/>
          <w:b w:val="false"/>
          <w:i/>
          <w:color w:val="000000"/>
          <w:sz w:val="22"/>
        </w:rPr>
        <w:t xml:space="preserve">Computing the out-of-state tax credit—preliminary calculation.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Required form. </w:t>
      </w:r>
      <w:r>
        <w:rPr>
          <w:rFonts w:ascii="Times New Roman" w:hAnsi="Times New Roman"/>
          <w:b w:val="false"/>
          <w:i w:val="false"/>
          <w:color w:val="000000"/>
          <w:sz w:val="22"/>
        </w:rPr>
        <w:t xml:space="preserve">The tax credit must be computed on the IA 130, Iowa Out-of-State Tax Credit Schedule. Married taxpayers filing separate Iowa returns, or filing separately on a combined Iowa return, must complete a separate IA 130 for each spouse.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Computed separately by jurisdiction. </w:t>
      </w:r>
      <w:r>
        <w:rPr>
          <w:rFonts w:ascii="Times New Roman" w:hAnsi="Times New Roman"/>
          <w:b w:val="false"/>
          <w:i w:val="false"/>
          <w:color w:val="000000"/>
          <w:sz w:val="22"/>
        </w:rPr>
        <w:t xml:space="preserve">The tax credit must be computed separately for each out-of-state jurisdiction. A separate IA 130 is required for each out-of-state jurisdiction. However, separate computations and separate IA 130s are not required for foreign income taxes paid by a regulated investment company.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Computed separately by income tax type. </w:t>
      </w:r>
      <w:r>
        <w:rPr>
          <w:rFonts w:ascii="Times New Roman" w:hAnsi="Times New Roman"/>
          <w:b w:val="false"/>
          <w:i w:val="false"/>
          <w:color w:val="000000"/>
          <w:sz w:val="22"/>
        </w:rPr>
        <w:t xml:space="preserve">The tax credit must be computed separately for regular income tax and special lump-sum distribution tax. If the taxpayer was assessed a special tax on a lump-sum distribution by another state or foreign country, compute the tax credit separately under these rules using only the lump-sum distribution and lump-sum distribution tax imposed in Iowa and imposed in the other state or foreign country. A lump-sum distribution taxed by another state or foreign country shall not be included as part of gross income. A minimum tax or income tax imposed on preference items derived from sources in another state or foreign country are not eligible for the out-of-state tax credit under this rule. For rules on the out-of-state tax credit with respect to minimum tax paid, see rule </w:t>
      </w:r>
      <w:hyperlink r:id="rId42">
        <w:r>
          <w:rPr>
            <w:rStyle w:val="Hyperlink"/>
            <w:rFonts w:ascii="Times New Roman" w:hAnsi="Times New Roman"/>
            <w:b w:val="false"/>
            <w:i w:val="false"/>
            <w:color w:val="000000"/>
            <w:sz w:val="22"/>
          </w:rPr>
          <w:t>701—304.7</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Full-year Iowa residents. </w:t>
      </w:r>
      <w:r>
        <w:rPr>
          <w:rFonts w:ascii="Times New Roman" w:hAnsi="Times New Roman"/>
          <w:b w:val="false"/>
          <w:i w:val="false"/>
          <w:color w:val="000000"/>
          <w:sz w:val="22"/>
        </w:rPr>
        <w:t>For a taxpayer who is an Iowa resident for the entire tax year, the income tax paid to the other state or foreign country is the sum of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tax treated as paid by the resident under </w:t>
      </w:r>
      <w:hyperlink r:id="rId43">
        <w:r>
          <w:rPr>
            <w:rStyle w:val="Hyperlink"/>
            <w:rFonts w:ascii="Times New Roman" w:hAnsi="Times New Roman"/>
            <w:b w:val="false"/>
            <w:i w:val="false"/>
            <w:color w:val="000000"/>
            <w:sz w:val="22"/>
          </w:rPr>
          <w:t>subrules 304.6(3)</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304.6(4)</w:t>
        </w:r>
      </w:hyperlink>
      <w:r>
        <w:rPr>
          <w:rFonts w:ascii="Times New Roman" w:hAnsi="Times New Roman"/>
          <w:b w:val="false"/>
          <w:i w:val="false"/>
          <w:color w:val="000000"/>
          <w:sz w:val="22"/>
        </w:rPr>
        <w:t xml:space="preserve">. The income tax shall be treated as paid by the resident for the tax year that the out-of-state pass-through income is considered taxable Iowa income to the resident.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net state or foreign income tax actually owed and paid by the resident for the tax year on income qualifying under </w:t>
      </w:r>
      <w:hyperlink r:id="rId45">
        <w:r>
          <w:rPr>
            <w:rStyle w:val="Hyperlink"/>
            <w:rFonts w:ascii="Times New Roman" w:hAnsi="Times New Roman"/>
            <w:b w:val="false"/>
            <w:i w:val="false"/>
            <w:color w:val="000000"/>
            <w:sz w:val="22"/>
          </w:rPr>
          <w:t>paragraph 304.6(2)</w:t>
        </w:r>
      </w:hyperlink>
      <w:r>
        <w:rPr>
          <w:rFonts w:ascii="Times New Roman" w:hAnsi="Times New Roman"/>
          <w:b w:val="false"/>
          <w:i/>
          <w:color w:val="000000"/>
          <w:sz w:val="22"/>
        </w:rPr>
        <w:t>“a,”</w:t>
      </w:r>
      <w:r>
        <w:rPr>
          <w:rFonts w:ascii="Times New Roman" w:hAnsi="Times New Roman"/>
          <w:b w:val="false"/>
          <w:i w:val="false"/>
          <w:color w:val="000000"/>
          <w:sz w:val="22"/>
        </w:rPr>
        <w:t xml:space="preserve"> as properly computed on the resident’s income tax return in the other state or foreign country, less all nonrefundable credits provided to the resident, and less any refundable credits provided to the resident for entity-level income taxes or composite income taxes paid by a pass-through entity. See Example 5 below.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Part-year Iowa residents. </w:t>
      </w:r>
      <w:r>
        <w:rPr>
          <w:rFonts w:ascii="Times New Roman" w:hAnsi="Times New Roman"/>
          <w:b w:val="false"/>
          <w:i w:val="false"/>
          <w:color w:val="000000"/>
          <w:sz w:val="22"/>
        </w:rPr>
        <w:t xml:space="preserve">A taxpayer who is a part-year resident of Iowa may only claim the out-of-state tax credit against the taxpayer’s Iowa income tax liability for income tax paid to another state or foreign country on income qualifying under </w:t>
      </w:r>
      <w:hyperlink r:id="rId46">
        <w:r>
          <w:rPr>
            <w:rStyle w:val="Hyperlink"/>
            <w:rFonts w:ascii="Times New Roman" w:hAnsi="Times New Roman"/>
            <w:b w:val="false"/>
            <w:i w:val="false"/>
            <w:color w:val="000000"/>
            <w:sz w:val="22"/>
          </w:rPr>
          <w:t>paragraph 304.6(2)</w:t>
        </w:r>
      </w:hyperlink>
      <w:r>
        <w:rPr>
          <w:rFonts w:ascii="Times New Roman" w:hAnsi="Times New Roman"/>
          <w:b w:val="false"/>
          <w:i/>
          <w:color w:val="000000"/>
          <w:sz w:val="22"/>
        </w:rPr>
        <w:t>“a”</w:t>
      </w:r>
      <w:r>
        <w:rPr>
          <w:rFonts w:ascii="Times New Roman" w:hAnsi="Times New Roman"/>
          <w:b w:val="false"/>
          <w:i w:val="false"/>
          <w:color w:val="000000"/>
          <w:sz w:val="22"/>
        </w:rPr>
        <w:t xml:space="preserve"> that is earned during the period of the tax year that the taxpayer was an Iowa resident. The income tax paid to the other state or foreign country is the sum of the following amounts: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tax treated as paid by the resident under </w:t>
      </w:r>
      <w:hyperlink r:id="rId47">
        <w:r>
          <w:rPr>
            <w:rStyle w:val="Hyperlink"/>
            <w:rFonts w:ascii="Times New Roman" w:hAnsi="Times New Roman"/>
            <w:b w:val="false"/>
            <w:i w:val="false"/>
            <w:color w:val="000000"/>
            <w:sz w:val="22"/>
          </w:rPr>
          <w:t>subrules 304.6(3)</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304.6(4)</w:t>
        </w:r>
      </w:hyperlink>
      <w:r>
        <w:rPr>
          <w:rFonts w:ascii="Times New Roman" w:hAnsi="Times New Roman"/>
          <w:b w:val="false"/>
          <w:i w:val="false"/>
          <w:color w:val="000000"/>
          <w:sz w:val="22"/>
        </w:rPr>
        <w:t xml:space="preserve"> on income earned during the period of the tax year that the taxpayer was an Iowa resident. The income tax shall be treated as paid by the resident for the tax year that the out-of-state pass-through income is considered taxable Iowa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net state or foreign income tax actually owed and paid by the taxpayer for the tax year on income qualifying under </w:t>
      </w:r>
      <w:hyperlink r:id="rId49">
        <w:r>
          <w:rPr>
            <w:rStyle w:val="Hyperlink"/>
            <w:rFonts w:ascii="Times New Roman" w:hAnsi="Times New Roman"/>
            <w:b w:val="false"/>
            <w:i w:val="false"/>
            <w:color w:val="000000"/>
            <w:sz w:val="22"/>
          </w:rPr>
          <w:t>paragraph 304.6(2)</w:t>
        </w:r>
      </w:hyperlink>
      <w:r>
        <w:rPr>
          <w:rFonts w:ascii="Times New Roman" w:hAnsi="Times New Roman"/>
          <w:b w:val="false"/>
          <w:i/>
          <w:color w:val="000000"/>
          <w:sz w:val="22"/>
        </w:rPr>
        <w:t>“a”</w:t>
      </w:r>
      <w:r>
        <w:rPr>
          <w:rFonts w:ascii="Times New Roman" w:hAnsi="Times New Roman"/>
          <w:b w:val="false"/>
          <w:i w:val="false"/>
          <w:color w:val="000000"/>
          <w:sz w:val="22"/>
        </w:rPr>
        <w:t xml:space="preserve"> that was earned during the period of the tax year that the taxpayer was an Iowa resident, as properly computed on the resident’s income tax return in the other state or foreign country, less all nonrefundable credits provided to the resident, and less any refundable credits provided to the resident for entity-level income taxes or composite income taxes paid by a pass-through entity. See Example 6 below.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304.6(6)</w:t>
      </w:r>
      <w:r>
        <w:rPr>
          <w:rFonts w:ascii="Times New Roman" w:hAnsi="Times New Roman"/>
          <w:b w:val="false"/>
          <w:i w:val="false"/>
          <w:color w:val="000000"/>
          <w:sz w:val="22"/>
        </w:rPr>
        <w:t> </w:t>
      </w:r>
      <w:r>
        <w:rPr>
          <w:rFonts w:ascii="Times New Roman" w:hAnsi="Times New Roman"/>
          <w:b w:val="false"/>
          <w:i/>
          <w:color w:val="000000"/>
          <w:sz w:val="22"/>
        </w:rPr>
        <w:t xml:space="preserve">Computing the out-of-state tax credit—additional limitations and considerations.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Maximum credit. </w:t>
      </w:r>
      <w:r>
        <w:rPr>
          <w:rFonts w:ascii="Times New Roman" w:hAnsi="Times New Roman"/>
          <w:b w:val="false"/>
          <w:i w:val="false"/>
          <w:color w:val="000000"/>
          <w:sz w:val="22"/>
        </w:rPr>
        <w:t xml:space="preserve">The out-of-state tax credit cannot exceed the amount of Iowa income tax that would have been imposed on the same income which was taxed by the other state or foreign country. The maximum out-of-state tax credit must be computed according to the formula in this paragraph. If gross income is subject to tax in a jurisdiction at more than one level (i.e., at the pass-through entity level and at the individual level), it shall only be counted once for purposes of computing the maximum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Full-year Iowa residents. Gross income qualifying under </w:t>
      </w:r>
      <w:hyperlink r:id="rId50">
        <w:r>
          <w:rPr>
            <w:rStyle w:val="Hyperlink"/>
            <w:rFonts w:ascii="Times New Roman" w:hAnsi="Times New Roman"/>
            <w:b w:val="false"/>
            <w:i w:val="false"/>
            <w:color w:val="000000"/>
            <w:sz w:val="22"/>
          </w:rPr>
          <w:t>paragraph 304.6(2)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taxed by the other state or foreign country shall be divided by the total gross income of the Iowa resident taxpayer. This quotient, multiplied by the net Iowa tax as determined on the total gross income of the taxpayer as if entirely earned in Iowa, shall be the maximum tax credit. For tax years beginning before January 1, 2022, this quotient shall be computed as a percentage rounded to the nearest tenth of a percent (e.g., 1.2 percent). For tax years beginning on or after January 1, 2022, this quotient shall be computed as a percentage rounded to the nearest ten-thousandth of a percent (e.g., 1.2345 percent). For purposes of this subparagraph, “net Iowa tax” means the Iowa regular income tax after reduction for the nonrefundable credits provided in Iowa Code section </w:t>
      </w:r>
      <w:hyperlink r:id="rId51">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EXAMPLE 5:</w:t>
      </w:r>
      <w:r>
        <w:rPr>
          <w:rFonts w:ascii="Times New Roman" w:hAnsi="Times New Roman"/>
          <w:b w:val="false"/>
          <w:i w:val="false"/>
          <w:color w:val="000000"/>
          <w:sz w:val="22"/>
        </w:rPr>
        <w:t xml:space="preserve"> Taxpayer A was an Iowa resident for the entire tax year but commuted across the border and worked in state Z. Taxpayer A had wages of $30,000 in state Z. Taxpayer A filed an income tax return in state Z reporting the $30,000 of wages and had state Z income tax liability of $500, which is A’s preliminary out-of-state credit under subrule </w:t>
      </w:r>
      <w:hyperlink r:id="rId52">
        <w:r>
          <w:rPr>
            <w:rStyle w:val="Hyperlink"/>
            <w:rFonts w:ascii="Times New Roman" w:hAnsi="Times New Roman"/>
            <w:b w:val="false"/>
            <w:i w:val="false"/>
            <w:color w:val="000000"/>
            <w:sz w:val="22"/>
          </w:rPr>
          <w:t>304.6(5)</w:t>
        </w:r>
      </w:hyperlink>
      <w:r>
        <w:rPr>
          <w:rFonts w:ascii="Times New Roman" w:hAnsi="Times New Roman"/>
          <w:b w:val="false"/>
          <w:i w:val="false"/>
          <w:color w:val="000000"/>
          <w:sz w:val="22"/>
        </w:rPr>
        <w:t>. Taxpayer A also had income of $10,000 from rental of an Iowa farm and another $10,000 in interest income from a personal savings account. Taxpayer A’s total gross income for the tax year was $50,000. Thus, 60 percent ($30,000 ÷ $50,000) of Taxpayer A’s income was earned in state Z. Taxpayer A’s net Iowa tax on total gross income was $817, which results in a maximum out-of-state credit of $490 ($817 ×.60). Therefore, the out-of-state tax credit allowed is $490, because the maximum credit of $490 was less than the preliminary credit of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Part-year Iowa residents. Gross income qualifying under </w:t>
      </w:r>
      <w:hyperlink r:id="rId53">
        <w:r>
          <w:rPr>
            <w:rStyle w:val="Hyperlink"/>
            <w:rFonts w:ascii="Times New Roman" w:hAnsi="Times New Roman"/>
            <w:b w:val="false"/>
            <w:i w:val="false"/>
            <w:color w:val="000000"/>
            <w:sz w:val="22"/>
          </w:rPr>
          <w:t>paragraph 304.6(2)</w:t>
        </w:r>
      </w:hyperlink>
      <w:r>
        <w:rPr>
          <w:rFonts w:ascii="Times New Roman" w:hAnsi="Times New Roman"/>
          <w:b w:val="false"/>
          <w:i/>
          <w:color w:val="000000"/>
          <w:sz w:val="22"/>
        </w:rPr>
        <w:t>“a”</w:t>
      </w:r>
      <w:r>
        <w:rPr>
          <w:rFonts w:ascii="Times New Roman" w:hAnsi="Times New Roman"/>
          <w:b w:val="false"/>
          <w:i w:val="false"/>
          <w:color w:val="000000"/>
          <w:sz w:val="22"/>
        </w:rPr>
        <w:t xml:space="preserve"> that was earned during the period of the tax year that the taxpayer was an Iowa resident and taxed by the other state or foreign country shall be divided by the total gross income of the Iowa taxpayer earned while an Iowa resident or otherwise sourced to Iowa. This quotient, multiplied by the net Iowa tax as determined on the total gross income of the taxpayer as if entirely earned in Iowa, shall be the maximum tax credit. For tax years beginning before January 1, 2022, this quotient shall be computed as a percentage rounded to the nearest tenth of a percent (e.g., 1.2 percent). For tax years beginning on or after January 1, 2022, this quotient shall be computed as a percentage rounded to the nearest ten-thousandth of a percent (e.g., 1.2345 percent). For purposes of this subparagraph, “net Iowa tax” means the Iowa regular income tax after reduction for the nonrefundable credits provided in Iowa Code section </w:t>
      </w:r>
      <w:hyperlink r:id="rId54">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and after reduction for the nonresident and part-year resident credit in rule </w:t>
      </w:r>
      <w:hyperlink r:id="rId55">
        <w:r>
          <w:rPr>
            <w:rStyle w:val="Hyperlink"/>
            <w:rFonts w:ascii="Times New Roman" w:hAnsi="Times New Roman"/>
            <w:b w:val="false"/>
            <w:i w:val="false"/>
            <w:color w:val="000000"/>
            <w:sz w:val="22"/>
          </w:rPr>
          <w:t>701—304.5</w:t>
        </w:r>
      </w:hyperlink>
      <w:r>
        <w:rPr>
          <w:rFonts w:ascii="Times New Roman" w:hAnsi="Times New Roman"/>
          <w:b w:val="false"/>
          <w:i w:val="false"/>
          <w:color w:val="000000"/>
          <w:sz w:val="22"/>
        </w:rPr>
        <w:t xml:space="preserve">(422). </w:t>
      </w:r>
    </w:p>
    <w:p>
      <w:pPr>
        <w:spacing w:before="0" w:after="0"/>
        <w:ind w:left="120"/>
        <w:jc w:val="both"/>
      </w:pPr>
      <w:r>
        <w:rPr>
          <w:rFonts w:ascii="Times New Roman" w:hAnsi="Times New Roman"/>
          <w:b w:val="false"/>
          <w:i w:val="false"/>
          <w:color w:val="000000"/>
          <w:sz w:val="22"/>
        </w:rPr>
        <w:t>EXAMPLE 6:</w:t>
      </w:r>
      <w:r>
        <w:rPr>
          <w:rFonts w:ascii="Times New Roman" w:hAnsi="Times New Roman"/>
          <w:b w:val="false"/>
          <w:i w:val="false"/>
          <w:color w:val="000000"/>
          <w:sz w:val="22"/>
        </w:rPr>
        <w:t xml:space="preserve"> Taxpayer B was a part-year Iowa resident for the tax year. Taxpayer B resided in state Z for the first six months of the year and moved to Iowa on July 1 but continued to commute across the border and work in state Z. Taxpayer B was employed in state Z for the entire year and had wages of $30,000 in state Z. Taxpayer B filed an income tax return in state Z reporting the $30,000 of wages and had state Z income tax liability of $1,000. The amount of gross income taxed by state Z while taxpayer B was an Iowa resident was $15,000 (50 percent of the $30,000 of state Z wages). Since 50 percent of the income earned in state Z was earned while taxpayer B was a resident of Iowa, the preliminary out-of-state credit under subrule </w:t>
      </w:r>
      <w:hyperlink r:id="rId56">
        <w:r>
          <w:rPr>
            <w:rStyle w:val="Hyperlink"/>
            <w:rFonts w:ascii="Times New Roman" w:hAnsi="Times New Roman"/>
            <w:b w:val="false"/>
            <w:i w:val="false"/>
            <w:color w:val="000000"/>
            <w:sz w:val="22"/>
          </w:rPr>
          <w:t>304.6(5)</w:t>
        </w:r>
      </w:hyperlink>
      <w:r>
        <w:rPr>
          <w:rFonts w:ascii="Times New Roman" w:hAnsi="Times New Roman"/>
          <w:b w:val="false"/>
          <w:i w:val="false"/>
          <w:color w:val="000000"/>
          <w:sz w:val="22"/>
        </w:rPr>
        <w:t xml:space="preserve"> was $500 ($1,000 ×.50). Taxpayer B also had $10,000 in farm rental income from farmland located in Iowa. Taxpayer B’s gross income earned while an Iowa resident and otherwise sourced to Iowa was $25,000 ($15,000 of wages + $10,000 farm rental income). Thus, 60 percent of the gross income was earned in state Z while an Iowa resident ($15,000 ÷ $25,000). Taxpayer B’s net Iowa tax on total gross income was $1,094, which results in a maximum out-of-state credit of $656 ($1,094 ×.60). Therefore, the out-of-state tax credit allowed is $500, because the preliminary credit of $500 was less than the maximum credit of $656.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Refund attributable to credit for entity-level income tax or composite income tax paid by a pass-through entity. </w:t>
      </w:r>
      <w:r>
        <w:rPr>
          <w:rFonts w:ascii="Times New Roman" w:hAnsi="Times New Roman"/>
          <w:b w:val="false"/>
          <w:i w:val="false"/>
          <w:color w:val="000000"/>
          <w:sz w:val="22"/>
        </w:rPr>
        <w:t xml:space="preserve">If the resident claims a refundable tax credit in another state or foreign country for entity-level income tax or composite income tax paid by a pass-through entity, that refundable credit reduces the resident’s income tax liability in that state or foreign country as described in subparagraphs </w:t>
      </w:r>
      <w:hyperlink r:id="rId57">
        <w:r>
          <w:rPr>
            <w:rStyle w:val="Hyperlink"/>
            <w:rFonts w:ascii="Times New Roman" w:hAnsi="Times New Roman"/>
            <w:b w:val="false"/>
            <w:i w:val="false"/>
            <w:color w:val="000000"/>
            <w:sz w:val="22"/>
          </w:rPr>
          <w:t>304.6(5)</w:t>
        </w:r>
      </w:hyperlink>
      <w:r>
        <w:rPr>
          <w:rFonts w:ascii="Times New Roman" w:hAnsi="Times New Roman"/>
          <w:b w:val="false"/>
          <w:i/>
          <w:color w:val="000000"/>
          <w:sz w:val="22"/>
        </w:rPr>
        <w:t>“d”</w:t>
      </w:r>
      <w:r>
        <w:rPr>
          <w:rFonts w:ascii="Times New Roman" w:hAnsi="Times New Roman"/>
          <w:b w:val="false"/>
          <w:i w:val="false"/>
          <w:color w:val="000000"/>
          <w:sz w:val="22"/>
        </w:rPr>
        <w:t xml:space="preserve">(2) and </w:t>
      </w:r>
      <w:hyperlink r:id="rId58">
        <w:r>
          <w:rPr>
            <w:rStyle w:val="Hyperlink"/>
            <w:rFonts w:ascii="Times New Roman" w:hAnsi="Times New Roman"/>
            <w:b w:val="false"/>
            <w:i w:val="false"/>
            <w:color w:val="000000"/>
            <w:sz w:val="22"/>
          </w:rPr>
          <w:t>304.6(5)</w:t>
        </w:r>
      </w:hyperlink>
      <w:r>
        <w:rPr>
          <w:rFonts w:ascii="Times New Roman" w:hAnsi="Times New Roman"/>
          <w:b w:val="false"/>
          <w:i/>
          <w:color w:val="000000"/>
          <w:sz w:val="22"/>
        </w:rPr>
        <w:t>“e”</w:t>
      </w:r>
      <w:r>
        <w:rPr>
          <w:rFonts w:ascii="Times New Roman" w:hAnsi="Times New Roman"/>
          <w:b w:val="false"/>
          <w:i w:val="false"/>
          <w:color w:val="000000"/>
          <w:sz w:val="22"/>
        </w:rPr>
        <w:t xml:space="preserve">(2). However, any refund attributable to that refundable credit also reduces the amount of income tax treated as paid by the resident under </w:t>
      </w:r>
      <w:hyperlink r:id="rId59">
        <w:r>
          <w:rPr>
            <w:rStyle w:val="Hyperlink"/>
            <w:rFonts w:ascii="Times New Roman" w:hAnsi="Times New Roman"/>
            <w:b w:val="false"/>
            <w:i w:val="false"/>
            <w:color w:val="000000"/>
            <w:sz w:val="22"/>
          </w:rPr>
          <w:t>subrules 304.6(3)</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304.6(4)</w:t>
        </w:r>
      </w:hyperlink>
      <w:r>
        <w:rPr>
          <w:rFonts w:ascii="Times New Roman" w:hAnsi="Times New Roman"/>
          <w:b w:val="false"/>
          <w:i w:val="false"/>
          <w:color w:val="000000"/>
          <w:sz w:val="22"/>
        </w:rPr>
        <w:t>. In computing this credit reduction, the refundable credit for entity-level income tax or composite income tax paid by a pass-through entity shall be applied on the other state’s or foreign country’s income tax return after all nonrefundable credits, but before any other refundable credit. The credit reduction is required whether the resident receives the refund or applies the amount to a different tax liability or tax period.</w:t>
      </w:r>
    </w:p>
    <w:p>
      <w:pPr>
        <w:spacing w:before="0" w:after="0"/>
        <w:ind w:left="120"/>
        <w:jc w:val="both"/>
      </w:pPr>
      <w:r>
        <w:rPr>
          <w:rFonts w:ascii="Times New Roman" w:hAnsi="Times New Roman"/>
          <w:b w:val="false"/>
          <w:i w:val="false"/>
          <w:color w:val="000000"/>
          <w:sz w:val="22"/>
        </w:rPr>
        <w:t>EXAMPLE 7:</w:t>
      </w:r>
      <w:r>
        <w:rPr>
          <w:rFonts w:ascii="Times New Roman" w:hAnsi="Times New Roman"/>
          <w:b w:val="false"/>
          <w:i w:val="false"/>
          <w:color w:val="000000"/>
          <w:sz w:val="22"/>
        </w:rPr>
        <w:t xml:space="preserve"> Individual B, a resident of Iowa and a 50 percent owner of Partnership P doing business in state Z, receives a statement from Partnership P in accordance with subparagraph </w:t>
      </w:r>
      <w:hyperlink r:id="rId61">
        <w:r>
          <w:rPr>
            <w:rStyle w:val="Hyperlink"/>
            <w:rFonts w:ascii="Times New Roman" w:hAnsi="Times New Roman"/>
            <w:b w:val="false"/>
            <w:i w:val="false"/>
            <w:color w:val="000000"/>
            <w:sz w:val="22"/>
          </w:rPr>
          <w:t>304.6(3)</w:t>
        </w:r>
      </w:hyperlink>
      <w:r>
        <w:rPr>
          <w:rFonts w:ascii="Times New Roman" w:hAnsi="Times New Roman"/>
          <w:b w:val="false"/>
          <w:i/>
          <w:color w:val="000000"/>
          <w:sz w:val="22"/>
        </w:rPr>
        <w:t>“a”</w:t>
      </w:r>
      <w:r>
        <w:rPr>
          <w:rFonts w:ascii="Times New Roman" w:hAnsi="Times New Roman"/>
          <w:b w:val="false"/>
          <w:i w:val="false"/>
          <w:color w:val="000000"/>
          <w:sz w:val="22"/>
        </w:rPr>
        <w:t xml:space="preserve">(3) showing that P earned income in and paid entity-level income tax to state Z and individual B’s pro rata share of that income and that entity-level income tax is $5,000 and $250, respectively. However, individual B also receives a $250 refundable credit from state Z for B’s share of the entity-level income tax paid by Partnership P. Individual B files an individual income tax return in state Z to report B’s pro rata share of income from Partnership P and calculates a tentative income tax of $200, before application of the refundable credit. Individual B applies the refundable tax credit against that tentative income tax and calculates an income tax liability of $0 and a refund of $50 from state Z. Therefore, individual B must reduce the $250 of entity-level income tax treated as paid by B under subrule </w:t>
      </w:r>
      <w:hyperlink r:id="rId62">
        <w:r>
          <w:rPr>
            <w:rStyle w:val="Hyperlink"/>
            <w:rFonts w:ascii="Times New Roman" w:hAnsi="Times New Roman"/>
            <w:b w:val="false"/>
            <w:i w:val="false"/>
            <w:color w:val="000000"/>
            <w:sz w:val="22"/>
          </w:rPr>
          <w:t>304.6(3)</w:t>
        </w:r>
      </w:hyperlink>
      <w:r>
        <w:rPr>
          <w:rFonts w:ascii="Times New Roman" w:hAnsi="Times New Roman"/>
          <w:b w:val="false"/>
          <w:i w:val="false"/>
          <w:color w:val="000000"/>
          <w:sz w:val="22"/>
        </w:rPr>
        <w:t xml:space="preserve"> to $200 ($250 - $50). Individual B files an Iowa income tax return which includes the $5,000 of income from Partnership P earned in state Z and calculates a preliminary out-of-state tax credit under subrule </w:t>
      </w:r>
      <w:hyperlink r:id="rId63">
        <w:r>
          <w:rPr>
            <w:rStyle w:val="Hyperlink"/>
            <w:rFonts w:ascii="Times New Roman" w:hAnsi="Times New Roman"/>
            <w:b w:val="false"/>
            <w:i w:val="false"/>
            <w:color w:val="000000"/>
            <w:sz w:val="22"/>
          </w:rPr>
          <w:t>304.6(5)</w:t>
        </w:r>
      </w:hyperlink>
      <w:r>
        <w:rPr>
          <w:rFonts w:ascii="Times New Roman" w:hAnsi="Times New Roman"/>
          <w:b w:val="false"/>
          <w:i w:val="false"/>
          <w:color w:val="000000"/>
          <w:sz w:val="22"/>
        </w:rPr>
        <w:t xml:space="preserve"> of $200.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Taxpayers claiming the S corporation apportionment tax credit. </w:t>
      </w:r>
      <w:r>
        <w:rPr>
          <w:rFonts w:ascii="Times New Roman" w:hAnsi="Times New Roman"/>
          <w:b w:val="false"/>
          <w:i w:val="false"/>
          <w:color w:val="000000"/>
          <w:sz w:val="22"/>
        </w:rPr>
        <w:t xml:space="preserve">A taxpayer who is a shareholder of an S corporation and who has income that was apportioned outside of Iowa through a claim to the S corporation apportionment tax credit is not permitted to claim the out-of-state tax credit on the same S corporation income. Income tax paid by the resident or a pass-through entity with respect to the S corporation income shall not be included in the resident’s preliminary credit calculation in </w:t>
      </w:r>
      <w:hyperlink r:id="rId64">
        <w:r>
          <w:rPr>
            <w:rStyle w:val="Hyperlink"/>
            <w:rFonts w:ascii="Times New Roman" w:hAnsi="Times New Roman"/>
            <w:b w:val="false"/>
            <w:i w:val="false"/>
            <w:color w:val="000000"/>
            <w:sz w:val="22"/>
          </w:rPr>
          <w:t>paragraph 304.6(5)</w:t>
        </w:r>
      </w:hyperlink>
      <w:r>
        <w:rPr>
          <w:rFonts w:ascii="Times New Roman" w:hAnsi="Times New Roman"/>
          <w:b w:val="false"/>
          <w:i/>
          <w:color w:val="000000"/>
          <w:sz w:val="22"/>
        </w:rPr>
        <w:t>“d”</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Gross income from the S corporation shall not be included in the resident’s maximum credit calculation in </w:t>
      </w:r>
      <w:hyperlink r:id="rId65">
        <w:r>
          <w:rPr>
            <w:rStyle w:val="Hyperlink"/>
            <w:rFonts w:ascii="Times New Roman" w:hAnsi="Times New Roman"/>
            <w:b w:val="false"/>
            <w:i w:val="false"/>
            <w:color w:val="000000"/>
            <w:sz w:val="22"/>
          </w:rPr>
          <w:t>paragraph 304.6(6)</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Married taxpayers using a different filing status in the other state or foreign country. </w:t>
      </w:r>
      <w:r>
        <w:rPr>
          <w:rFonts w:ascii="Times New Roman" w:hAnsi="Times New Roman"/>
          <w:b w:val="false"/>
          <w:i w:val="false"/>
          <w:color w:val="000000"/>
          <w:sz w:val="22"/>
        </w:rPr>
        <w:t>If married taxpayers use a separate filing status in the other state or foreign country, but file jointly for Iowa tax purposes, the taxpayers must combine both spouses’ income and income tax paid in the other state or foreign country for purposes of computing the out-of-state tax credit. If married taxpayers file jointly in the other state or foreign country, but file separate Iowa returns, or separately on a combined Iowa return, the taxpayers must prorate the income tax paid in the other state or foreign country according to each spouse’s respective gross income earned in that state or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Tax on income that does not flow through to resident. </w:t>
      </w:r>
      <w:r>
        <w:rPr>
          <w:rFonts w:ascii="Times New Roman" w:hAnsi="Times New Roman"/>
          <w:b w:val="false"/>
          <w:i w:val="false"/>
          <w:color w:val="000000"/>
          <w:sz w:val="22"/>
        </w:rPr>
        <w:t xml:space="preserve">Entity-level income tax or composite income tax paid by a pass-through entity on income that does not flow through to the Iowa resident and meet the requirements of </w:t>
      </w:r>
      <w:hyperlink r:id="rId66">
        <w:r>
          <w:rPr>
            <w:rStyle w:val="Hyperlink"/>
            <w:rFonts w:ascii="Times New Roman" w:hAnsi="Times New Roman"/>
            <w:b w:val="false"/>
            <w:i w:val="false"/>
            <w:color w:val="000000"/>
            <w:sz w:val="22"/>
          </w:rPr>
          <w:t>paragraph 304.6(2)</w:t>
        </w:r>
      </w:hyperlink>
      <w:r>
        <w:rPr>
          <w:rFonts w:ascii="Times New Roman" w:hAnsi="Times New Roman"/>
          <w:b w:val="false"/>
          <w:i/>
          <w:color w:val="000000"/>
          <w:sz w:val="22"/>
        </w:rPr>
        <w:t>“a”</w:t>
      </w:r>
      <w:r>
        <w:rPr>
          <w:rFonts w:ascii="Times New Roman" w:hAnsi="Times New Roman"/>
          <w:b w:val="false"/>
          <w:i w:val="false"/>
          <w:color w:val="000000"/>
          <w:sz w:val="22"/>
        </w:rPr>
        <w:t xml:space="preserve"> does not qualify for the out-of-state tax credit. For example, a LIFO recapture tax installment paid by an S corporation in another state would not qualify because that tax is measured by the income of the entity in the last tax year it was a C corporation, when such income did not flow through to the shareholders. Also, income tax paid by a trust in another state on income not distributed to the beneficiaries would not qualify because that income did not flow through to the beneficiaries. These examples are not intended to be exhaustive.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Recalculating credit following adjustments in the other jurisdiction. </w:t>
      </w:r>
      <w:r>
        <w:rPr>
          <w:rFonts w:ascii="Times New Roman" w:hAnsi="Times New Roman"/>
          <w:b w:val="false"/>
          <w:i w:val="false"/>
          <w:color w:val="000000"/>
          <w:sz w:val="22"/>
        </w:rPr>
        <w:t xml:space="preserve">If the taxpayer or the taxpayer’s pass-through entity amends the amount of income or income tax liability reported and paid to the other state or foreign country, either through an amended return, audit, or otherwise, the taxpayer shall file an amended Iowa return and recalculate the allowable out-of-state tax credit. Any refund must be requested by the later of three years after the due date of the return, or one year after payment of the tax, as prescribed in Iowa Code section </w:t>
      </w:r>
      <w:hyperlink r:id="rId67">
        <w:r>
          <w:rPr>
            <w:rStyle w:val="Hyperlink"/>
            <w:rFonts w:ascii="Times New Roman" w:hAnsi="Times New Roman"/>
            <w:b w:val="false"/>
            <w:i w:val="false"/>
            <w:color w:val="000000"/>
            <w:sz w:val="22"/>
          </w:rPr>
          <w:t>422.73(2)</w:t>
        </w:r>
      </w:hyperlink>
      <w:r>
        <w:rPr>
          <w:rFonts w:ascii="Times New Roman" w:hAnsi="Times New Roman"/>
          <w:b w:val="false"/>
          <w:i/>
          <w:color w:val="000000"/>
          <w:sz w:val="22"/>
        </w:rPr>
        <w:t>“a.”</w:t>
      </w:r>
      <w:r>
        <w:rPr>
          <w:rFonts w:ascii="Times New Roman" w:hAnsi="Times New Roman"/>
          <w:b w:val="false"/>
          <w:i w:val="false"/>
          <w:color w:val="000000"/>
          <w:sz w:val="22"/>
        </w:rPr>
        <w:t xml:space="preserve"> Iowa law does not provide additional time to request a refund following an audit by another state or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Nonrefundable and nontransferable. </w:t>
      </w:r>
      <w:r>
        <w:rPr>
          <w:rFonts w:ascii="Times New Roman" w:hAnsi="Times New Roman"/>
          <w:b w:val="false"/>
          <w:i w:val="false"/>
          <w:color w:val="000000"/>
          <w:sz w:val="22"/>
        </w:rPr>
        <w:t xml:space="preserve">The out-of-state tax credit cannot exceed the resident’s tax liability; thus, no amount is eligible to be carried forward to any future tax year. The credit may not be transferred to any other person.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304.6(7)</w:t>
      </w:r>
      <w:r>
        <w:rPr>
          <w:rFonts w:ascii="Times New Roman" w:hAnsi="Times New Roman"/>
          <w:b w:val="false"/>
          <w:i w:val="false"/>
          <w:color w:val="000000"/>
          <w:sz w:val="22"/>
        </w:rPr>
        <w:t> </w:t>
      </w:r>
      <w:r>
        <w:rPr>
          <w:rFonts w:ascii="Times New Roman" w:hAnsi="Times New Roman"/>
          <w:b w:val="false"/>
          <w:i/>
          <w:color w:val="000000"/>
          <w:sz w:val="22"/>
        </w:rPr>
        <w:t xml:space="preserve">Claiming the out-of-state tax credit—supporting documentation. </w:t>
      </w:r>
      <w:r>
        <w:rPr>
          <w:rFonts w:ascii="Times New Roman" w:hAnsi="Times New Roman"/>
          <w:b w:val="false"/>
          <w:i w:val="false"/>
          <w:color w:val="000000"/>
          <w:sz w:val="22"/>
        </w:rPr>
        <w:t xml:space="preserve">To claim the out-of-state tax credit, the taxpayer claiming the credit must submit the following to the department with the return or upon request as indicated below: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Out-of-state tax return. </w:t>
      </w:r>
      <w:r>
        <w:rPr>
          <w:rFonts w:ascii="Times New Roman" w:hAnsi="Times New Roman"/>
          <w:b w:val="false"/>
          <w:i w:val="false"/>
          <w:color w:val="000000"/>
          <w:sz w:val="22"/>
        </w:rPr>
        <w:t>A copy of the income tax return filed with the other state or foreign country must be submitted. The department may further request a copy of the return which has been certified by the tax authority of that state or foreign country and showing thereon that the income tax assessed has been paid to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Iowa income tax return. </w:t>
      </w:r>
      <w:r>
        <w:rPr>
          <w:rFonts w:ascii="Times New Roman" w:hAnsi="Times New Roman"/>
          <w:b w:val="false"/>
          <w:i w:val="false"/>
          <w:color w:val="000000"/>
          <w:sz w:val="22"/>
        </w:rPr>
        <w:t xml:space="preserve">To claim the out-of-state tax credit, a taxpayer must file an Iowa income tax return for the tax year for which the credit is claimed. A taxpayer must file an Iowa income tax return to claim the out-of-state tax credit even if the taxpayer would not otherwise have an obligation to file an Iowa income tax return for the year for which the credit is claimed.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Iowa out-of-state tax credit schedule. </w:t>
      </w:r>
      <w:r>
        <w:rPr>
          <w:rFonts w:ascii="Times New Roman" w:hAnsi="Times New Roman"/>
          <w:b w:val="false"/>
          <w:i w:val="false"/>
          <w:color w:val="000000"/>
          <w:sz w:val="22"/>
        </w:rPr>
        <w:t xml:space="preserve">An IA 130, Iowa Out-of-State Tax Credit Schedule, must be submitted for the tax year for which the credit is claimed.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Pass-through entity statements. </w:t>
      </w:r>
      <w:r>
        <w:rPr>
          <w:rFonts w:ascii="Times New Roman" w:hAnsi="Times New Roman"/>
          <w:b w:val="false"/>
          <w:i w:val="false"/>
          <w:color w:val="000000"/>
          <w:sz w:val="22"/>
        </w:rPr>
        <w:t xml:space="preserve">A taxpayer who is claiming an out-of-state tax credit for entity-level income tax or composite income tax paid by a pass-through entity must submit a statement from the pass-through entity that meets the requirements of </w:t>
      </w:r>
      <w:hyperlink r:id="rId68">
        <w:r>
          <w:rPr>
            <w:rStyle w:val="Hyperlink"/>
            <w:rFonts w:ascii="Times New Roman" w:hAnsi="Times New Roman"/>
            <w:b w:val="false"/>
            <w:i w:val="false"/>
            <w:color w:val="000000"/>
            <w:sz w:val="22"/>
          </w:rPr>
          <w:t>subrule 304.6(3)</w:t>
        </w:r>
      </w:hyperlink>
      <w:r>
        <w:rPr>
          <w:rFonts w:ascii="Times New Roman" w:hAnsi="Times New Roman"/>
          <w:b w:val="false"/>
          <w:i w:val="false"/>
          <w:color w:val="000000"/>
          <w:sz w:val="22"/>
        </w:rPr>
        <w:t xml:space="preserve">. The pass-through entity’s actual income tax returns must be submitted to the department upon request. A taxpayer who is claiming an out-of-state tax credit for entity-level income tax paid by a regulated investment company must submit a statement from the regulated investment company that meets the requirements of </w:t>
      </w:r>
      <w:hyperlink r:id="rId69">
        <w:r>
          <w:rPr>
            <w:rStyle w:val="Hyperlink"/>
            <w:rFonts w:ascii="Times New Roman" w:hAnsi="Times New Roman"/>
            <w:b w:val="false"/>
            <w:i w:val="false"/>
            <w:color w:val="000000"/>
            <w:sz w:val="22"/>
          </w:rPr>
          <w:t>subrule 304.6(4)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Additional foreign income tax documentation. </w:t>
      </w:r>
      <w:r>
        <w:rPr>
          <w:rFonts w:ascii="Times New Roman" w:hAnsi="Times New Roman"/>
          <w:b w:val="false"/>
          <w:i w:val="false"/>
          <w:color w:val="000000"/>
          <w:sz w:val="22"/>
        </w:rPr>
        <w:t>A taxpayer who is claiming the out-of-state tax credit for income taxes paid to a foreign country must provide the department with a copy of federal Form 1116, Foreign Tax Credit, if that form was required to be submitted with the taxpayer’s federal income tax return. This submission requirement does not mean that all amounts on federal Form 1116 qualify for the Iowa out-of-state tax credit. Additionally, if the income tax was paid in foreign currency, the taxpayer shall include a detailed explanation of how the taxpayer figured the conversion rate. The conversion rate is the rate of exchange in effect on the day the taxpayer paid the foreign income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Proof of payment. </w:t>
      </w:r>
      <w:r>
        <w:rPr>
          <w:rFonts w:ascii="Times New Roman" w:hAnsi="Times New Roman"/>
          <w:b w:val="false"/>
          <w:i w:val="false"/>
          <w:color w:val="000000"/>
          <w:sz w:val="22"/>
        </w:rPr>
        <w:t>Upon request, the taxpayer must provide the department with a photocopy, or other similar reproduction, of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receipt issued by the other state or foreign country for payment of the tax,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canceled check (both sides) with which the tax was paid to the other state or foreign country together with a statement of the amount and kind (e.g., wage or salary income, rental income, business income) of total income on which such tax was paid.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0">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6029C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701—304.7</w:t>
      </w:r>
      <w:r>
        <w:rPr>
          <w:rFonts w:ascii="Times New Roman" w:hAnsi="Times New Roman"/>
          <w:b/>
          <w:i w:val="false"/>
          <w:color w:val="000000"/>
          <w:sz w:val="22"/>
        </w:rPr>
        <w:t xml:space="preserve">(422) </w:t>
      </w:r>
      <w:r>
        <w:rPr>
          <w:rFonts w:ascii="Times New Roman" w:hAnsi="Times New Roman"/>
          <w:b/>
          <w:i w:val="false"/>
          <w:color w:val="000000"/>
          <w:sz w:val="22"/>
        </w:rPr>
        <w:t xml:space="preserve">Out-of-state tax credit for minimum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304.7(1)</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Iowa residents are allowed an out-of-state tax credit for minimum taxes or income taxes paid to another state or foreign country on preference items derived from sources outside of Iowa. Part-year residents who pay minimum tax to another state or foreign country on preference items derived from sources outside Iowa will be allowed an out-of-state tax credit only to the extent that the minimum tax paid to the other state or foreign country relates to preference items that occurred during the period the taxpayer was an Iowa resident. Taxpayers who were nonresidents of Iowa for the entire tax year are not eligible for an out-of-state tax credit on their Iowa returns for minimum taxes paid to another state or foreign country on preference items.</w:t>
      </w:r>
    </w:p>
    <w:p>
      <w:pPr>
        <w:spacing w:before="0" w:after="0"/>
        <w:ind w:left="120"/>
        <w:jc w:val="both"/>
      </w:pPr>
      <w:r>
        <w:rPr>
          <w:rFonts w:ascii="Times New Roman" w:hAnsi="Times New Roman"/>
          <w:b w:val="false"/>
          <w:i w:val="false"/>
          <w:color w:val="000000"/>
          <w:sz w:val="22"/>
        </w:rPr>
        <w:t xml:space="preserve">If the Iowa resident is a partner, shareholder, member, or beneficiary of a partnership, S corporation, limited liability company, or trust which files a composite income tax return and pays minimum tax in another state on behalf of the partners, shareholders, members or beneficiaries, the out-of-state tax credit will be allowed for the Iowa resident. The Iowa resident must provide a schedule of the resident’s share of the minimum tax paid to another state on a composite basis, and the out-of-state tax credit is limited based upon the calculation set forth in subrule </w:t>
      </w:r>
      <w:hyperlink r:id="rId71">
        <w:r>
          <w:rPr>
            <w:rStyle w:val="Hyperlink"/>
            <w:rFonts w:ascii="Times New Roman" w:hAnsi="Times New Roman"/>
            <w:b w:val="false"/>
            <w:i w:val="false"/>
            <w:color w:val="000000"/>
            <w:sz w:val="22"/>
          </w:rPr>
          <w:t>304.7(2)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However, if the partnership, S corporation, limited liability company, or trust is directly subject to minimum tax in another state and the minimum tax is not directly imposed on the resident taxpayer, then the out-of-state tax credit is not allowed for the Iowa resident on the minimum tax directly imposed on the partnership, S corporation, limited liability company, or trust. For example, if another state does not recognize the S corporation election for state tax purposes and a corporation income tax is imposed directly on the S corporation which includes minimum tax, then the out-of-state tax credit is not allowed for the Iowa resident shareholder on the corporation income tax, including minimum tax, paid to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304.7(2)</w:t>
      </w:r>
      <w:r>
        <w:rPr>
          <w:rFonts w:ascii="Times New Roman" w:hAnsi="Times New Roman"/>
          <w:b w:val="false"/>
          <w:i w:val="false"/>
          <w:color w:val="000000"/>
          <w:sz w:val="22"/>
        </w:rPr>
        <w:t> </w:t>
      </w:r>
      <w:r>
        <w:rPr>
          <w:rFonts w:ascii="Times New Roman" w:hAnsi="Times New Roman"/>
          <w:b w:val="false"/>
          <w:i/>
          <w:color w:val="000000"/>
          <w:sz w:val="22"/>
        </w:rPr>
        <w:t xml:space="preserve">Limitation of out-of-state tax credit for minimum tax. </w:t>
      </w:r>
      <w:r>
        <w:rPr>
          <w:rFonts w:ascii="Times New Roman" w:hAnsi="Times New Roman"/>
          <w:b w:val="false"/>
          <w:i w:val="false"/>
          <w:color w:val="000000"/>
          <w:sz w:val="22"/>
        </w:rPr>
        <w:t>The limitation on the out-of-state tax credit for minimum tax is that the credit shall not exceed the Iowa minimum tax that would have been computed on the same preference items which were taxed by the other state or foreign country. The limitation may be determined according to the following formula: The total of preference items earned outside of Iowa and taxed by another state or foreign country shall be divided by the total of preference items of the resident taxpayer. This quotient, multiplied by the state minimum tax on the total of preference items as if entirely earned in Iowa, shall be the maximum credit against the Iowa minimum tax. However, if the minimum tax imposed by the other state or foreign country is less than the minimum tax computed under the limitation formula, the out-of-state credit for minimum tax will not exceed the minimum tax imposed by the other state or foreign country.</w:t>
      </w:r>
    </w:p>
    <w:p>
      <w:pPr>
        <w:spacing w:before="0" w:after="0"/>
        <w:ind w:left="120"/>
        <w:jc w:val="both"/>
      </w:pPr>
      <w:r>
        <w:rPr>
          <w:rFonts w:ascii="Times New Roman" w:hAnsi="Times New Roman"/>
          <w:b w:val="false"/>
          <w:i w:val="false"/>
          <w:color w:val="000000"/>
          <w:sz w:val="22"/>
        </w:rPr>
        <w:t xml:space="preserve">No out-of-state credit will be allowed on the Iowa return for minimum tax paid to another state or foreign country to the extent that the minimum tax of the other state or foreign country is imposed on items of tax preference not subject to the Iowa minimum tax. In addition, no out-of-state credit will be allowed for minimum tax paid to another state or foreign country of capital gains or losses from distressed sales which are excluded from the Iowa minimum tax. Capital gains or losses from distressed sales are described in rule </w:t>
      </w:r>
      <w:hyperlink r:id="rId72">
        <w:r>
          <w:rPr>
            <w:rStyle w:val="Hyperlink"/>
            <w:rFonts w:ascii="Times New Roman" w:hAnsi="Times New Roman"/>
            <w:b w:val="false"/>
            <w:i w:val="false"/>
            <w:color w:val="000000"/>
            <w:sz w:val="22"/>
          </w:rPr>
          <w:t>701—302.27</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304.7(3)</w:t>
      </w:r>
      <w:r>
        <w:rPr>
          <w:rFonts w:ascii="Times New Roman" w:hAnsi="Times New Roman"/>
          <w:b w:val="false"/>
          <w:i w:val="false"/>
          <w:color w:val="000000"/>
          <w:sz w:val="22"/>
        </w:rPr>
        <w:t> </w:t>
      </w:r>
      <w:r>
        <w:rPr>
          <w:rFonts w:ascii="Times New Roman" w:hAnsi="Times New Roman"/>
          <w:b w:val="false"/>
          <w:i/>
          <w:color w:val="000000"/>
          <w:sz w:val="22"/>
        </w:rPr>
        <w:t xml:space="preserve">Proof of claim for out-of-state tax credit for minimum tax. </w:t>
      </w:r>
      <w:r>
        <w:rPr>
          <w:rFonts w:ascii="Times New Roman" w:hAnsi="Times New Roman"/>
          <w:b w:val="false"/>
          <w:i w:val="false"/>
          <w:color w:val="000000"/>
          <w:sz w:val="22"/>
        </w:rPr>
        <w:t>The out-of-state credit for minimum tax may be claimed on the return of a taxpayer if proof of payment of minimum tax to the state or foreign country is included with the return. Documents needed for proof of payment are a photocopy of the minimum tax form of the state or country to which minimum tax was paid as well as instructions from the minimum tax form or other information which specifies how the minimum tax is imposed and what preference items are subject to the minimum tax of that state or foreign country.</w:t>
      </w:r>
    </w:p>
    <w:p>
      <w:pPr>
        <w:spacing w:before="0" w:after="0"/>
        <w:ind w:left="120"/>
        <w:jc w:val="both"/>
      </w:pPr>
      <w:r>
        <w:rPr>
          <w:rFonts w:ascii="Times New Roman" w:hAnsi="Times New Roman"/>
          <w:b w:val="false"/>
          <w:i w:val="false"/>
          <w:color w:val="000000"/>
          <w:sz w:val="22"/>
        </w:rPr>
        <w:t>In the case of audit by the department of a taxpayer claiming an out-of-state tax credit for minimum tax paid, the department may require additional proof of payment of the out-of-state tax credit. The department will accept any of the following documents as verification of payment of the minimum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photocopy, or other similar reproduction, of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receipt issued by the other state or foreign country for payment of the tax, including the minimum tax,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canceled check (both sides) which was used for payment of the minimum tax to the other state or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return filed with the other state or foreign country which has been certified by the tax authority of that state or foreign country and which shows that the income tax, including the minimum tax, has been paid.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3">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701—304.8</w:t>
      </w:r>
      <w:r>
        <w:rPr>
          <w:rFonts w:ascii="Times New Roman" w:hAnsi="Times New Roman"/>
          <w:b/>
          <w:i w:val="false"/>
          <w:color w:val="000000"/>
          <w:sz w:val="22"/>
        </w:rPr>
        <w:t xml:space="preserve">(422) </w:t>
      </w:r>
      <w:r>
        <w:rPr>
          <w:rFonts w:ascii="Times New Roman" w:hAnsi="Times New Roman"/>
          <w:b/>
          <w:i w:val="false"/>
          <w:color w:val="000000"/>
          <w:sz w:val="22"/>
        </w:rPr>
        <w:t xml:space="preserve">Withholding and estimated tax credits. </w:t>
      </w:r>
      <w:r>
        <w:rPr>
          <w:rFonts w:ascii="Times New Roman" w:hAnsi="Times New Roman"/>
          <w:b w:val="false"/>
          <w:i w:val="false"/>
          <w:color w:val="000000"/>
          <w:sz w:val="22"/>
        </w:rPr>
        <w:t>An employee from whose wages tax is withheld shall claim credit for the tax withheld on the employee’s income tax return for the year during which the tax was withheld. Credit will be allowed only if a copy of the withholding statement is attached to the return. Taxpayers who have made estimated income tax payments shall claim credit for the estimated tax paid for the taxable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4">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701—304.9</w:t>
      </w:r>
      <w:r>
        <w:rPr>
          <w:rFonts w:ascii="Times New Roman" w:hAnsi="Times New Roman"/>
          <w:b/>
          <w:i w:val="false"/>
          <w:color w:val="000000"/>
          <w:sz w:val="22"/>
        </w:rPr>
        <w:t xml:space="preserve">(422) </w:t>
      </w:r>
      <w:r>
        <w:rPr>
          <w:rFonts w:ascii="Times New Roman" w:hAnsi="Times New Roman"/>
          <w:b/>
          <w:i w:val="false"/>
          <w:color w:val="000000"/>
          <w:sz w:val="22"/>
        </w:rPr>
        <w:t xml:space="preserve">Motor fuel credit. </w:t>
      </w:r>
      <w:r>
        <w:rPr>
          <w:rFonts w:ascii="Times New Roman" w:hAnsi="Times New Roman"/>
          <w:b w:val="false"/>
          <w:i w:val="false"/>
          <w:color w:val="000000"/>
          <w:sz w:val="22"/>
        </w:rPr>
        <w:t xml:space="preserve">An individual, partnership, limited liability company, or S corporation may elect to receive an income tax credit in lieu of the motor fuel tax refund provided by Iowa Code chapter </w:t>
      </w:r>
      <w:hyperlink r:id="rId75">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An individual, partnership, limited liability company, or S corporation which holds a motor fuel tax refund permit under Iowa Code section </w:t>
      </w:r>
      <w:hyperlink r:id="rId76">
        <w:r>
          <w:rPr>
            <w:rStyle w:val="Hyperlink"/>
            <w:rFonts w:ascii="Times New Roman" w:hAnsi="Times New Roman"/>
            <w:b w:val="false"/>
            <w:i w:val="false"/>
            <w:color w:val="000000"/>
            <w:sz w:val="22"/>
          </w:rPr>
          <w:t>452A.18</w:t>
        </w:r>
      </w:hyperlink>
      <w:r>
        <w:rPr>
          <w:rFonts w:ascii="Times New Roman" w:hAnsi="Times New Roman"/>
          <w:b w:val="false"/>
          <w:i w:val="false"/>
          <w:color w:val="000000"/>
          <w:sz w:val="22"/>
        </w:rPr>
        <w:t xml:space="preserve"> when it makes this election must cancel the permit within 30 days after the first day of the tax year. However, if the refund permit is not canceled within this period, the permit becomes invalid at the time the election to receive an income tax credit is made. The election will continue for subsequent tax years unless a new motor fuel tax refund permit is obtained.</w:t>
      </w:r>
    </w:p>
    <w:p>
      <w:pPr>
        <w:spacing w:before="0" w:after="0"/>
        <w:ind w:left="120"/>
        <w:jc w:val="both"/>
      </w:pPr>
      <w:r>
        <w:rPr>
          <w:rFonts w:ascii="Times New Roman" w:hAnsi="Times New Roman"/>
          <w:b w:val="false"/>
          <w:i w:val="false"/>
          <w:color w:val="000000"/>
          <w:sz w:val="22"/>
        </w:rPr>
        <w:t xml:space="preserve">The motor fuel income tax credit must be the amount of Iowa motor fuel tax paid on qualifying fuel purchases as determined by Iowa Code chapter </w:t>
      </w:r>
      <w:hyperlink r:id="rId77">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and Iowa Code section </w:t>
      </w:r>
      <w:hyperlink r:id="rId78">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 xml:space="preserve"> less any state sales tax as determined by </w:t>
      </w:r>
      <w:hyperlink r:id="rId79">
        <w:r>
          <w:rPr>
            <w:rStyle w:val="Hyperlink"/>
            <w:rFonts w:ascii="Times New Roman" w:hAnsi="Times New Roman"/>
            <w:b w:val="false"/>
            <w:i w:val="false"/>
            <w:color w:val="000000"/>
            <w:sz w:val="22"/>
          </w:rPr>
          <w:t>701—subrule 220.2(2)</w:t>
        </w:r>
      </w:hyperlink>
      <w:r>
        <w:rPr>
          <w:rFonts w:ascii="Times New Roman" w:hAnsi="Times New Roman"/>
          <w:b w:val="false"/>
          <w:i w:val="false"/>
          <w:color w:val="000000"/>
          <w:sz w:val="22"/>
        </w:rPr>
        <w:t>. The credit must be claimed on the tax return covering the tax year in which the motor fuel tax was paid. If the motor fuel credit results in an overpayment of income tax, the overpayment may be refunded or may be credited to income tax due in the subsequent tax year.</w:t>
      </w:r>
    </w:p>
    <w:p>
      <w:pPr>
        <w:spacing w:before="0" w:after="0"/>
        <w:ind w:left="120"/>
        <w:jc w:val="both"/>
      </w:pPr>
      <w:r>
        <w:rPr>
          <w:rFonts w:ascii="Times New Roman" w:hAnsi="Times New Roman"/>
          <w:b w:val="false"/>
          <w:i w:val="false"/>
          <w:color w:val="000000"/>
          <w:sz w:val="22"/>
        </w:rPr>
        <w:t>The motor fuel tax credits for fuel taxes paid by partnerships, limited liability companies, and S corporations are not claimed on returns filed for the partnerships, limited liability companies, and S corporations. Instead, the pro rata shares of the motor fuel tax credits are allocated to the partners, members, and shareholders in the same ratio as incomes are allocated to the partners, members, and shareholders. A schedule must be attached to the individual’s returns showing the distribution of gallons and the amount of credit claimed by each partner, member, or shareholder.</w:t>
      </w:r>
    </w:p>
    <w:p>
      <w:pPr>
        <w:spacing w:before="0" w:after="0"/>
        <w:ind w:left="120"/>
        <w:jc w:val="both"/>
      </w:pPr>
      <w:r>
        <w:rPr>
          <w:rFonts w:ascii="Times New Roman" w:hAnsi="Times New Roman"/>
          <w:b w:val="false"/>
          <w:i w:val="false"/>
          <w:color w:val="000000"/>
          <w:sz w:val="22"/>
        </w:rPr>
        <w:t>The partnership, limited liability company, or S corporation must attach to its return a schedule showing the allocation to each partner, member, or shareholder of the motor fuel purchased by the partnership, limited liability company, or S corporation which qualifies for the credit.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0">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422.111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701—304.10</w:t>
      </w:r>
      <w:r>
        <w:rPr>
          <w:rFonts w:ascii="Times New Roman" w:hAnsi="Times New Roman"/>
          <w:b/>
          <w:i w:val="false"/>
          <w:color w:val="000000"/>
          <w:sz w:val="22"/>
        </w:rPr>
        <w:t xml:space="preserve">(422) </w:t>
      </w:r>
      <w:r>
        <w:rPr>
          <w:rFonts w:ascii="Times New Roman" w:hAnsi="Times New Roman"/>
          <w:b/>
          <w:i w:val="false"/>
          <w:color w:val="000000"/>
          <w:sz w:val="22"/>
        </w:rPr>
        <w:t xml:space="preserve">Alternative minimum tax credit for minimum tax paid in a prior tax year. </w:t>
      </w:r>
      <w:r>
        <w:rPr>
          <w:rFonts w:ascii="Times New Roman" w:hAnsi="Times New Roman"/>
          <w:b w:val="false"/>
          <w:i w:val="false"/>
          <w:color w:val="000000"/>
          <w:sz w:val="22"/>
        </w:rPr>
        <w:t>Minimum tax paid in prior tax years commencing with tax years beginning on or after January 1, 1987, by a taxpayer can be claimed as a tax credit against the taxpayer’s regular income tax liability in a subsequent tax year. Therefore, 1988 is the first tax year that the minimum tax credit is available, and the credit is based on the minimum tax paid by the taxpayer for 1987. The minimum tax credit may only be used against regular income tax for a tax year to the extent that the regular tax is greater than the minimum tax for the tax year. If the minimum tax credit is not used against the regular tax for a tax year, the remaining credit is carried over to the following tax year to be applied against the regular income tax liability for that period. The minimum tax credit is computed on Form IA 8801.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304.10(1)</w:t>
      </w:r>
      <w:r>
        <w:rPr>
          <w:rFonts w:ascii="Times New Roman" w:hAnsi="Times New Roman"/>
          <w:b w:val="false"/>
          <w:i w:val="false"/>
          <w:color w:val="000000"/>
          <w:sz w:val="22"/>
        </w:rPr>
        <w:t> </w:t>
      </w:r>
      <w:r>
        <w:rPr>
          <w:rFonts w:ascii="Times New Roman" w:hAnsi="Times New Roman"/>
          <w:b w:val="false"/>
          <w:i/>
          <w:color w:val="000000"/>
          <w:sz w:val="22"/>
        </w:rPr>
        <w:t xml:space="preserve">Examples of computation of the minimum tax credit and carryover of the credit. </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The taxpayers reported $5,000 of minimum tax for 2007. For 2008, the taxpayers reported regular tax of $8,000, and the minimum tax liability is $6,000. The minimum tax credit is $2,000 for 2008 because, although the taxpayers had an $8,000 regular tax liability, the credit is allowed only to the extent that the regular tax exceeds the minimum tax. Since only $2,000 of the carryover credit from 2007 was used, there is a $3,000 minimum tax carryover credit to 2009.</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The taxpayers reported $2,500 of minimum tax for 2007. For 2008, the taxpayers reported regular tax of $8,000, and the minimum tax liability is $5,000. The minimum tax credit is $2,500 for 2008 because, although the regular tax exceeded the minimum tax by $3,000, the credit is allowed only to the extent of minimum tax paid for prior tax years. There is no minimum tax carryover credit to 2009.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304.10(2)</w:t>
      </w:r>
      <w:r>
        <w:rPr>
          <w:rFonts w:ascii="Times New Roman" w:hAnsi="Times New Roman"/>
          <w:b w:val="false"/>
          <w:i w:val="false"/>
          <w:color w:val="000000"/>
          <w:sz w:val="22"/>
        </w:rPr>
        <w:t> </w:t>
      </w:r>
      <w:r>
        <w:rPr>
          <w:rFonts w:ascii="Times New Roman" w:hAnsi="Times New Roman"/>
          <w:b w:val="false"/>
          <w:i/>
          <w:color w:val="000000"/>
          <w:sz w:val="22"/>
        </w:rPr>
        <w:t xml:space="preserve">Minimum tax credit for nonresidents and part-year residents. </w:t>
      </w:r>
      <w:r>
        <w:rPr>
          <w:rFonts w:ascii="Times New Roman" w:hAnsi="Times New Roman"/>
          <w:b w:val="false"/>
          <w:i w:val="false"/>
          <w:color w:val="000000"/>
          <w:sz w:val="22"/>
        </w:rPr>
        <w:t>Nonresident and part-year resident taxpayers who paid Iowa minimum tax in tax years beginning on or after January 1, 1987, are eligible for the minimum tax credit to the extent that the minimum tax they paid was attributable to tax preferences and adjustments. Therefore, if a nonresident or part-year resident taxpayer had Iowa source tax preferences or adjustments, then all the minimum tax that was paid would qualify for the minimum tax credit.</w:t>
      </w:r>
    </w:p>
    <w:p>
      <w:pPr>
        <w:spacing w:before="0" w:after="0"/>
        <w:ind w:left="120"/>
        <w:jc w:val="both"/>
      </w:pPr>
      <w:r>
        <w:rPr>
          <w:rFonts w:ascii="Times New Roman" w:hAnsi="Times New Roman"/>
          <w:b w:val="false"/>
          <w:i w:val="false"/>
          <w:color w:val="000000"/>
          <w:sz w:val="22"/>
        </w:rPr>
        <w:t>The minimum tax credit for a tax year as computed above applies to the regular income tax liability less the nonresident part-year credit to the extent this regular tax amount exceeds the minimum tax for the tax year. To the extent the credit is not used, the credit can be carried over to the next tax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2">
        <w:r>
          <w:rPr>
            <w:rStyle w:val="Hyperlink"/>
            <w:rFonts w:ascii="Times New Roman" w:hAnsi="Times New Roman"/>
            <w:b w:val="false"/>
            <w:i w:val="false"/>
            <w:color w:val="000000"/>
            <w:sz w:val="22"/>
          </w:rPr>
          <w:t>422.11B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2829C</w:t>
      </w:r>
      <w:r>
        <w:rPr>
          <w:rFonts w:ascii="Times New Roman" w:hAnsi="Times New Roman"/>
          <w:b w:val="false"/>
          <w:i w:val="false"/>
          <w:color w:val="000000"/>
          <w:sz w:val="16"/>
        </w:rPr>
        <w:t>, IAB 11/23/16,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701—304.11</w:t>
      </w:r>
      <w:r>
        <w:rPr>
          <w:rFonts w:ascii="Times New Roman" w:hAnsi="Times New Roman"/>
          <w:b/>
          <w:i w:val="false"/>
          <w:color w:val="000000"/>
          <w:sz w:val="22"/>
        </w:rPr>
        <w:t xml:space="preserve">(15,422) </w:t>
      </w:r>
      <w:r>
        <w:rPr>
          <w:rFonts w:ascii="Times New Roman" w:hAnsi="Times New Roman"/>
          <w:b/>
          <w:i w:val="false"/>
          <w:color w:val="000000"/>
          <w:sz w:val="22"/>
        </w:rPr>
        <w:t xml:space="preserve">Research activities credit. </w:t>
      </w:r>
      <w:r>
        <w:rPr>
          <w:rFonts w:ascii="Times New Roman" w:hAnsi="Times New Roman"/>
          <w:b w:val="false"/>
          <w:i w:val="false"/>
          <w:color w:val="000000"/>
          <w:sz w:val="22"/>
        </w:rPr>
        <w:t xml:space="preserve">The taxes imposed on individual income shall be reduced by a state tax credit for increasing research activities in this state. For individual income tax, the requirements of the research activities credit are described in Iowa Code section </w:t>
      </w:r>
      <w:hyperlink r:id="rId83">
        <w:r>
          <w:rPr>
            <w:rStyle w:val="Hyperlink"/>
            <w:rFonts w:ascii="Times New Roman" w:hAnsi="Times New Roman"/>
            <w:b w:val="false"/>
            <w:i w:val="false"/>
            <w:color w:val="000000"/>
            <w:sz w:val="22"/>
          </w:rPr>
          <w:t>422.10</w:t>
        </w:r>
      </w:hyperlink>
      <w:r>
        <w:rPr>
          <w:rFonts w:ascii="Times New Roman" w:hAnsi="Times New Roman"/>
          <w:b w:val="false"/>
          <w:i w:val="false"/>
          <w:color w:val="000000"/>
          <w:sz w:val="22"/>
        </w:rPr>
        <w:t>. This rule explains terms not defined in the statute and procedures for claiming the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“Accountant” </w:t>
      </w:r>
      <w:r>
        <w:rPr>
          <w:rFonts w:ascii="Times New Roman" w:hAnsi="Times New Roman"/>
          <w:b w:val="false"/>
          <w:i w:val="false"/>
          <w:color w:val="000000"/>
          <w:sz w:val="22"/>
        </w:rPr>
        <w:t xml:space="preserve">means a person authorized under Iowa Code chapter </w:t>
      </w:r>
      <w:hyperlink r:id="rId84">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to engage in the practice of public accounting in Iowa as defined in Iowa Code section </w:t>
      </w:r>
      <w:hyperlink r:id="rId85">
        <w:r>
          <w:rPr>
            <w:rStyle w:val="Hyperlink"/>
            <w:rFonts w:ascii="Times New Roman" w:hAnsi="Times New Roman"/>
            <w:b w:val="false"/>
            <w:i w:val="false"/>
            <w:color w:val="000000"/>
            <w:sz w:val="22"/>
          </w:rPr>
          <w:t>542.3(23)</w:t>
        </w:r>
      </w:hyperlink>
      <w:r>
        <w:rPr>
          <w:rFonts w:ascii="Times New Roman" w:hAnsi="Times New Roman"/>
          <w:b w:val="false"/>
          <w:i w:val="false"/>
          <w:color w:val="000000"/>
          <w:sz w:val="22"/>
        </w:rPr>
        <w:t xml:space="preserve"> or authorized to engage in such practice in another state under a similar law of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“Architect” </w:t>
      </w:r>
      <w:r>
        <w:rPr>
          <w:rFonts w:ascii="Times New Roman" w:hAnsi="Times New Roman"/>
          <w:b w:val="false"/>
          <w:i w:val="false"/>
          <w:color w:val="000000"/>
          <w:sz w:val="22"/>
        </w:rPr>
        <w:t xml:space="preserve">means a person licensed under Iowa Code chapter </w:t>
      </w:r>
      <w:hyperlink r:id="rId86">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or a similar law of another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“Aviation and aerospace” </w:t>
      </w:r>
      <w:r>
        <w:rPr>
          <w:rFonts w:ascii="Times New Roman" w:hAnsi="Times New Roman"/>
          <w:b w:val="false"/>
          <w:i w:val="false"/>
          <w:color w:val="000000"/>
          <w:sz w:val="22"/>
        </w:rPr>
        <w:t>means the design, development or production of aircraft, rockets, missiles, spacecraft and other machinery and equipment that operate in aerospace.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“Collection agency” </w:t>
      </w:r>
      <w:r>
        <w:rPr>
          <w:rFonts w:ascii="Times New Roman" w:hAnsi="Times New Roman"/>
          <w:b w:val="false"/>
          <w:i w:val="false"/>
          <w:color w:val="000000"/>
          <w:sz w:val="22"/>
        </w:rPr>
        <w:t xml:space="preserve">means a person primarily engaged in the business of collecting debt, including but not limited to consumer debt collection subject to the provisions of the federal Fair Debt Collections Practices Act in 15 U.S.C. §1692 et seq., the Iowa debt collection practices Act in Iowa Code sections </w:t>
      </w:r>
      <w:hyperlink r:id="rId87">
        <w:r>
          <w:rPr>
            <w:rStyle w:val="Hyperlink"/>
            <w:rFonts w:ascii="Times New Roman" w:hAnsi="Times New Roman"/>
            <w:b w:val="false"/>
            <w:i w:val="false"/>
            <w:color w:val="000000"/>
            <w:sz w:val="22"/>
          </w:rPr>
          <w:t>537.7101 through 537.7103</w:t>
        </w:r>
      </w:hyperlink>
      <w:r>
        <w:rPr>
          <w:rFonts w:ascii="Times New Roman" w:hAnsi="Times New Roman"/>
          <w:b w:val="false"/>
          <w:i w:val="false"/>
          <w:color w:val="000000"/>
          <w:sz w:val="22"/>
        </w:rPr>
        <w:t>, or other similar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“Finance or investment company” </w:t>
      </w:r>
      <w:r>
        <w:rPr>
          <w:rFonts w:ascii="Times New Roman" w:hAnsi="Times New Roman"/>
          <w:b w:val="false"/>
          <w:i w:val="false"/>
          <w:color w:val="000000"/>
          <w:sz w:val="22"/>
        </w:rPr>
        <w:t xml:space="preserve">means a person primarily engaged in finance or investment activities broadly consisting of the holding, depositing, or management of a customer’s money or assets for investment purposes, or the provision of loans or other similar financing or credit to customers. “Finance or investment company” includes but is not limited to a person organized or licensed under Iowa Code chapter </w:t>
      </w:r>
      <w:hyperlink r:id="rId88">
        <w:r>
          <w:rPr>
            <w:rStyle w:val="Hyperlink"/>
            <w:rFonts w:ascii="Times New Roman" w:hAnsi="Times New Roman"/>
            <w:b w:val="false"/>
            <w:i w:val="false"/>
            <w:color w:val="000000"/>
            <w:sz w:val="22"/>
          </w:rPr>
          <w:t>524</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or </w:t>
      </w:r>
      <w:hyperlink r:id="rId90">
        <w:r>
          <w:rPr>
            <w:rStyle w:val="Hyperlink"/>
            <w:rFonts w:ascii="Times New Roman" w:hAnsi="Times New Roman"/>
            <w:b w:val="false"/>
            <w:i w:val="false"/>
            <w:color w:val="000000"/>
            <w:sz w:val="22"/>
          </w:rPr>
          <w:t>533D</w:t>
        </w:r>
      </w:hyperlink>
      <w:r>
        <w:rPr>
          <w:rFonts w:ascii="Times New Roman" w:hAnsi="Times New Roman"/>
          <w:b w:val="false"/>
          <w:i w:val="false"/>
          <w:color w:val="000000"/>
          <w:sz w:val="22"/>
        </w:rPr>
        <w:t xml:space="preserve"> or other similar state or federal law, or an investment company as defined in 15 U.S.C. §80a-3.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“Life sciences” </w:t>
      </w:r>
      <w:r>
        <w:rPr>
          <w:rFonts w:ascii="Times New Roman" w:hAnsi="Times New Roman"/>
          <w:b w:val="false"/>
          <w:i w:val="false"/>
          <w:color w:val="000000"/>
          <w:sz w:val="22"/>
        </w:rPr>
        <w:t>means the sciences concerned with the study of living organisms, including agriscience, biology, botany, zoology, microbiology, physiology, biochemistry, and related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“Manufacturing”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2018 Iowa Acts, Senate File 2417</w:t>
      </w:r>
      <w:r>
        <w:rPr>
          <w:rFonts w:ascii="Times New Roman" w:hAnsi="Times New Roman"/>
          <w:b w:val="false"/>
          <w:i w:val="false"/>
          <w:color w:val="000000"/>
          <w:sz w:val="22"/>
        </w:rPr>
        <w:t>, section 183.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“Publisher” </w:t>
      </w:r>
      <w:r>
        <w:rPr>
          <w:rFonts w:ascii="Times New Roman" w:hAnsi="Times New Roman"/>
          <w:b w:val="false"/>
          <w:i w:val="false"/>
          <w:color w:val="000000"/>
          <w:sz w:val="22"/>
        </w:rPr>
        <w:t>means a person whose primary business is the publishing of books, periodicals, newspapers, music, or other works for sale in any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“Real estate company” </w:t>
      </w:r>
      <w:r>
        <w:rPr>
          <w:rFonts w:ascii="Times New Roman" w:hAnsi="Times New Roman"/>
          <w:b w:val="false"/>
          <w:i w:val="false"/>
          <w:color w:val="000000"/>
          <w:sz w:val="22"/>
        </w:rPr>
        <w:t xml:space="preserve">means a person licensed under Iowa Code chapter </w:t>
      </w:r>
      <w:hyperlink r:id="rId91">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or otherwise primarily engaged in acts constituting dealing in real estate as described in Iowa Code section </w:t>
      </w:r>
      <w:hyperlink r:id="rId92">
        <w:r>
          <w:rPr>
            <w:rStyle w:val="Hyperlink"/>
            <w:rFonts w:ascii="Times New Roman" w:hAnsi="Times New Roman"/>
            <w:b w:val="false"/>
            <w:i w:val="false"/>
            <w:color w:val="000000"/>
            <w:sz w:val="22"/>
          </w:rPr>
          <w:t>543B.6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“Retailer” </w:t>
      </w:r>
      <w:r>
        <w:rPr>
          <w:rFonts w:ascii="Times New Roman" w:hAnsi="Times New Roman"/>
          <w:b w:val="false"/>
          <w:i w:val="false"/>
          <w:color w:val="000000"/>
          <w:sz w:val="22"/>
        </w:rPr>
        <w:t xml:space="preserve">means a person that primarily engages in sales of personal property as defined in </w:t>
      </w:r>
      <w:r>
        <w:rPr>
          <w:rFonts w:ascii="Times New Roman" w:hAnsi="Times New Roman"/>
          <w:b w:val="false"/>
          <w:i w:val="false"/>
          <w:color w:val="000000"/>
          <w:sz w:val="22"/>
        </w:rPr>
        <w:t>2018 Iowa Acts, Senate File 2417</w:t>
      </w:r>
      <w:r>
        <w:rPr>
          <w:rFonts w:ascii="Times New Roman" w:hAnsi="Times New Roman"/>
          <w:b w:val="false"/>
          <w:i w:val="false"/>
          <w:color w:val="000000"/>
          <w:sz w:val="22"/>
        </w:rPr>
        <w:t xml:space="preserve">, section 158, or services directly to an ultimate consumer. A business that primarily makes sales for resale is not a retailer.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“Software engineering” </w:t>
      </w:r>
      <w:r>
        <w:rPr>
          <w:rFonts w:ascii="Times New Roman" w:hAnsi="Times New Roman"/>
          <w:b w:val="false"/>
          <w:i w:val="false"/>
          <w:color w:val="000000"/>
          <w:sz w:val="22"/>
        </w:rPr>
        <w:t xml:space="preserve">means the detailed study of the design, development, operation, and maintenance of software.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“Transportation company” </w:t>
      </w:r>
      <w:r>
        <w:rPr>
          <w:rFonts w:ascii="Times New Roman" w:hAnsi="Times New Roman"/>
          <w:b w:val="false"/>
          <w:i w:val="false"/>
          <w:color w:val="000000"/>
          <w:sz w:val="22"/>
        </w:rPr>
        <w:t xml:space="preserve">means a person whose primary business is the transportation of persons or property from one place to another.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“Wholesaler” </w:t>
      </w:r>
      <w:r>
        <w:rPr>
          <w:rFonts w:ascii="Times New Roman" w:hAnsi="Times New Roman"/>
          <w:b w:val="false"/>
          <w:i w:val="false"/>
          <w:color w:val="000000"/>
          <w:sz w:val="22"/>
        </w:rPr>
        <w:t>means a person that primarily engages in buying large quantities of goods and reselling them in smaller quantities to retailers or other merchants who in turn sell those goods to the ultimate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304.11(2)</w:t>
      </w:r>
      <w:r>
        <w:rPr>
          <w:rFonts w:ascii="Times New Roman" w:hAnsi="Times New Roman"/>
          <w:b w:val="false"/>
          <w:i w:val="false"/>
          <w:color w:val="000000"/>
          <w:sz w:val="22"/>
        </w:rPr>
        <w:t> </w:t>
      </w:r>
      <w:r>
        <w:rPr>
          <w:rFonts w:ascii="Times New Roman" w:hAnsi="Times New Roman"/>
          <w:b w:val="false"/>
          <w:i/>
          <w:color w:val="000000"/>
          <w:sz w:val="22"/>
        </w:rPr>
        <w:t xml:space="preserve">Requirement that the business claim and be allowed the federal credit. </w:t>
      </w:r>
      <w:r>
        <w:rPr>
          <w:rFonts w:ascii="Times New Roman" w:hAnsi="Times New Roman"/>
          <w:b w:val="false"/>
          <w:i w:val="false"/>
          <w:color w:val="000000"/>
          <w:sz w:val="22"/>
        </w:rPr>
        <w:t xml:space="preserve">To claim this credit, a taxpayer’s business must claim and be allowed a research credit for such qualified research expenses under Section 41 of the Internal Revenue Code for the same taxable year as the taxpayer’s business is claiming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Being “allowed” the federal credit. </w:t>
      </w:r>
      <w:r>
        <w:rPr>
          <w:rFonts w:ascii="Times New Roman" w:hAnsi="Times New Roman"/>
          <w:b w:val="false"/>
          <w:i w:val="false"/>
          <w:color w:val="000000"/>
          <w:sz w:val="22"/>
        </w:rPr>
        <w:t xml:space="preserve">For purposes of this subrule, a federal credit is “allowed” if the taxpayer meets all requirements to claim the credit under Section 41 of the Internal Revenue Code and any applicable federal regulation and Internal Revenue Service guidance and such credit has not been disallowed by the Internal Revenue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requirement to pass-throughs. </w:t>
      </w:r>
      <w:r>
        <w:rPr>
          <w:rFonts w:ascii="Times New Roman" w:hAnsi="Times New Roman"/>
          <w:b w:val="false"/>
          <w:i w:val="false"/>
          <w:color w:val="000000"/>
          <w:sz w:val="22"/>
        </w:rPr>
        <w:t xml:space="preserve">If the individual received the Iowa credit through a pass-through entity, the pass-through entity that conducted the research must have claimed and been allowed the federal credit in order for the individual to claim the Iowa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Impact of federal audit. </w:t>
      </w:r>
      <w:r>
        <w:rPr>
          <w:rFonts w:ascii="Times New Roman" w:hAnsi="Times New Roman"/>
          <w:b w:val="false"/>
          <w:i w:val="false"/>
          <w:color w:val="000000"/>
          <w:sz w:val="22"/>
        </w:rPr>
        <w:t>If the Internal Revenue Service audits or otherwise reviews the return and disallows the credit, the taxpayer shall file an amended Iowa return along with supporting schedules, including an amended federal return or a copy of the federal revenue agent’s report and notification of final federal adjustments, to add back the Iowa credit to the extent not previously disallowed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Authority of the department. </w:t>
      </w:r>
      <w:r>
        <w:rPr>
          <w:rFonts w:ascii="Times New Roman" w:hAnsi="Times New Roman"/>
          <w:b w:val="false"/>
          <w:i w:val="false"/>
          <w:color w:val="000000"/>
          <w:sz w:val="22"/>
        </w:rPr>
        <w:t xml:space="preserve">Nothing in this subrule shall limit the department’s authority to review, examine, audit, or otherwise challenge an Iowa tax credit claim under Iowa Code section </w:t>
      </w:r>
      <w:hyperlink r:id="rId93">
        <w:r>
          <w:rPr>
            <w:rStyle w:val="Hyperlink"/>
            <w:rFonts w:ascii="Times New Roman" w:hAnsi="Times New Roman"/>
            <w:b w:val="false"/>
            <w:i w:val="false"/>
            <w:color w:val="000000"/>
            <w:sz w:val="22"/>
          </w:rPr>
          <w:t>422.10</w:t>
        </w:r>
      </w:hyperlink>
      <w:r>
        <w:rPr>
          <w:rFonts w:ascii="Times New Roman" w:hAnsi="Times New Roman"/>
          <w:b w:val="false"/>
          <w:i w:val="false"/>
          <w:color w:val="000000"/>
          <w:sz w:val="22"/>
        </w:rPr>
        <w:t xml:space="preserve">, regardless of inaction, a settlement, or a determination by the Internal Revenue Service under Section 41 of the Internal Revenue Code.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304.11(3)</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credit. </w:t>
      </w:r>
      <w:r>
        <w:rPr>
          <w:rFonts w:ascii="Times New Roman" w:hAnsi="Times New Roman"/>
          <w:b w:val="false"/>
          <w:i w:val="false"/>
          <w:color w:val="000000"/>
          <w:sz w:val="22"/>
        </w:rPr>
        <w:t xml:space="preserve">For information on how the credit is calculated, see Iowa Code section </w:t>
      </w:r>
      <w:hyperlink r:id="rId94">
        <w:r>
          <w:rPr>
            <w:rStyle w:val="Hyperlink"/>
            <w:rFonts w:ascii="Times New Roman" w:hAnsi="Times New Roman"/>
            <w:b w:val="false"/>
            <w:i w:val="false"/>
            <w:color w:val="000000"/>
            <w:sz w:val="22"/>
          </w:rPr>
          <w:t>422.10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304.11(4)</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The credit must be claimed on the forms provided on the department’s website and must include all information required by the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Allocation to the individual owners of an entity or beneficiaries of an estate or trust. </w:t>
      </w:r>
      <w:r>
        <w:rPr>
          <w:rFonts w:ascii="Times New Roman" w:hAnsi="Times New Roman"/>
          <w:b w:val="false"/>
          <w:i w:val="false"/>
          <w:color w:val="000000"/>
          <w:sz w:val="22"/>
        </w:rPr>
        <w:t>An individual may claim a research activities credit incurred by a partnership, S corporation, limited liability company, estate, or trust electing to have the income of the business entity taxed to the individual. The amount claimed by an individual from the business entity shall be based upon the pro rata share of the individual’s earnings from a partnership, S corporation,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 xml:space="preserve">Any research credit in excess of the individual’s tax liability, less the nonrefundable credits authorized in Iowa Code chapter </w:t>
      </w:r>
      <w:hyperlink r:id="rId95">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division II, may be refunded to the individual or may be credited to the individual’s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Tax credit certificates shall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Enterprise zone claimants. </w:t>
      </w:r>
      <w:r>
        <w:rPr>
          <w:rFonts w:ascii="Times New Roman" w:hAnsi="Times New Roman"/>
          <w:b w:val="false"/>
          <w:i w:val="false"/>
          <w:color w:val="000000"/>
          <w:sz w:val="22"/>
        </w:rPr>
        <w:t xml:space="preserve">The enterprise zone program was repealed on July 1, 2014. However, any supplemental research activities credit earned by businesses pursuant to Iowa Code section </w:t>
      </w:r>
      <w:hyperlink r:id="rId96">
        <w:r>
          <w:rPr>
            <w:rStyle w:val="Hyperlink"/>
            <w:rFonts w:ascii="Times New Roman" w:hAnsi="Times New Roman"/>
            <w:b w:val="false"/>
            <w:i w:val="false"/>
            <w:color w:val="000000"/>
            <w:sz w:val="22"/>
          </w:rPr>
          <w:t>15.335</w:t>
        </w:r>
      </w:hyperlink>
      <w:r>
        <w:rPr>
          <w:rFonts w:ascii="Times New Roman" w:hAnsi="Times New Roman"/>
          <w:b w:val="false"/>
          <w:i w:val="false"/>
          <w:color w:val="000000"/>
          <w:sz w:val="22"/>
        </w:rPr>
        <w:t xml:space="preserve"> and approved under the enterprise zone program prior to July 1, 2014, remains valid and can be claimed on tax returns filed after July 1, 2014.</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7">
        <w:r>
          <w:rPr>
            <w:rStyle w:val="Hyperlink"/>
            <w:rFonts w:ascii="Times New Roman" w:hAnsi="Times New Roman"/>
            <w:b w:val="false"/>
            <w:i w:val="false"/>
            <w:color w:val="000000"/>
            <w:sz w:val="22"/>
          </w:rPr>
          <w:t>15.335</w:t>
        </w:r>
      </w:hyperlink>
      <w:r>
        <w:rPr>
          <w:rFonts w:ascii="Times New Roman" w:hAnsi="Times New Roman"/>
          <w:b w:val="false"/>
          <w:i w:val="false"/>
          <w:color w:val="000000"/>
          <w:sz w:val="22"/>
        </w:rPr>
        <w:t xml:space="preserve"> and </w:t>
      </w:r>
      <w:hyperlink r:id="rId98">
        <w:r>
          <w:rPr>
            <w:rStyle w:val="Hyperlink"/>
            <w:rFonts w:ascii="Times New Roman" w:hAnsi="Times New Roman"/>
            <w:b w:val="false"/>
            <w:i w:val="false"/>
            <w:color w:val="000000"/>
            <w:sz w:val="22"/>
          </w:rPr>
          <w:t>422.10</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2018 Iowa Acts, Senate File 2417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9820B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i w:val="false"/>
          <w:color w:val="000000"/>
          <w:sz w:val="16"/>
        </w:rPr>
        <w:t>ARC 1101C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1545C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4143C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701—304.12</w:t>
      </w:r>
      <w:r>
        <w:rPr>
          <w:rFonts w:ascii="Times New Roman" w:hAnsi="Times New Roman"/>
          <w:b/>
          <w:i w:val="false"/>
          <w:color w:val="000000"/>
          <w:sz w:val="22"/>
        </w:rPr>
        <w:t xml:space="preserve">(422) </w:t>
      </w:r>
      <w:r>
        <w:rPr>
          <w:rFonts w:ascii="Times New Roman" w:hAnsi="Times New Roman"/>
          <w:b/>
          <w:i w:val="false"/>
          <w:color w:val="000000"/>
          <w:sz w:val="22"/>
        </w:rPr>
        <w:t xml:space="preserve">New jobs credit. </w:t>
      </w:r>
      <w:r>
        <w:rPr>
          <w:rFonts w:ascii="Times New Roman" w:hAnsi="Times New Roman"/>
          <w:b w:val="false"/>
          <w:i w:val="false"/>
          <w:color w:val="000000"/>
          <w:sz w:val="22"/>
        </w:rPr>
        <w:t xml:space="preserve">A tax credit is available to an individual who has entered into an agreement under Iowa Code chapter </w:t>
      </w:r>
      <w:hyperlink r:id="rId99">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and has increased employment by at least 10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“new jobs” means those jobs directly resulting from a project covered by an agreement authorized by Iowa Code chapter </w:t>
      </w:r>
      <w:hyperlink r:id="rId100">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(Iowa industrial new jobs training Act) but does not include jobs of recalled workers or replacement jobs or other jobs that formerly existed in the industry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term “jobs directly related to new jobs” means those jobs which directly support the new jobs but do not include in-state employees transferred to a position which would be considered to be a job directly related to new jobs unless the transferred employee’s vacant position is filled by a new employee. The burden of proof that a job is directly related to new jobs is on the taxpayer.</w:t>
      </w:r>
    </w:p>
    <w:p>
      <w:pPr>
        <w:spacing w:before="0" w:after="0"/>
        <w:ind w:left="120"/>
        <w:jc w:val="both"/>
      </w:pPr>
      <w:r>
        <w:rPr>
          <w:rFonts w:ascii="Times New Roman" w:hAnsi="Times New Roman"/>
          <w:b w:val="false"/>
          <w:i w:val="false"/>
          <w:color w:val="000000"/>
          <w:sz w:val="22"/>
        </w:rPr>
        <w:t xml:space="preserve">EXAMPLE A. </w:t>
      </w:r>
      <w:r>
        <w:rPr>
          <w:rFonts w:ascii="Times New Roman" w:hAnsi="Times New Roman"/>
          <w:b w:val="false"/>
          <w:i w:val="false"/>
          <w:color w:val="000000"/>
          <w:sz w:val="22"/>
        </w:rPr>
        <w:t xml:space="preserve">A taxpayer who has entered into a chapter </w:t>
      </w:r>
      <w:hyperlink r:id="rId101">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agreement to train new employees for a new product line, transfers an in-state employee to be foreman of the new product line but does not fill the transferred employee’s position. The new foreman’s position would not be considered a job directly related to new jobs even though it directly supports the new jobs because the transferred employee’s old position was not refilled.</w:t>
      </w:r>
    </w:p>
    <w:p>
      <w:pPr>
        <w:spacing w:before="0" w:after="0"/>
        <w:ind w:left="120"/>
        <w:jc w:val="both"/>
      </w:pPr>
      <w:r>
        <w:rPr>
          <w:rFonts w:ascii="Times New Roman" w:hAnsi="Times New Roman"/>
          <w:b w:val="false"/>
          <w:i w:val="false"/>
          <w:color w:val="000000"/>
          <w:sz w:val="22"/>
        </w:rPr>
        <w:t xml:space="preserve">EXAMPLE B. </w:t>
      </w:r>
      <w:r>
        <w:rPr>
          <w:rFonts w:ascii="Times New Roman" w:hAnsi="Times New Roman"/>
          <w:b w:val="false"/>
          <w:i w:val="false"/>
          <w:color w:val="000000"/>
          <w:sz w:val="22"/>
        </w:rPr>
        <w:t xml:space="preserve">A taxpayer who has entered into a chapter </w:t>
      </w:r>
      <w:hyperlink r:id="rId102">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agreement to train new employees for a new product line transfers an in-state employee to be foreman of the new product line and fills the transferred employee’s position with a new employee. The new foreman’s position would be considered a job directly related to new jobs because it directly supports the new jobs and the transferred employee’s old position was filled by a new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“taxable wages” means those wages upon which an employer is required to contribute to the state unemployment fund as defined in Iowa Code section </w:t>
      </w:r>
      <w:hyperlink r:id="rId103">
        <w:r>
          <w:rPr>
            <w:rStyle w:val="Hyperlink"/>
            <w:rFonts w:ascii="Times New Roman" w:hAnsi="Times New Roman"/>
            <w:b w:val="false"/>
            <w:i w:val="false"/>
            <w:color w:val="000000"/>
            <w:sz w:val="22"/>
          </w:rPr>
          <w:t>96.1A(36)</w:t>
        </w:r>
      </w:hyperlink>
      <w:r>
        <w:rPr>
          <w:rFonts w:ascii="Times New Roman" w:hAnsi="Times New Roman"/>
          <w:b w:val="false"/>
          <w:i w:val="false"/>
          <w:color w:val="000000"/>
          <w:sz w:val="22"/>
        </w:rPr>
        <w:t xml:space="preserve"> for the year in which the taxpayer elects to take the new jobs tax credit. For fiscal year taxpayers, “taxable wages” shall not be greater than the maximum wage upon which an employer is required to contribute to the state unemployment fund for the calendar year in which the taxpayer’s fiscal year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“agreement” means an agreement entered into under Iowa Code chapter </w:t>
      </w:r>
      <w:hyperlink r:id="rId104">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after July 1, 1985, an amendment to that agreement, or an amendment to an agreement entered into before July 1, 1985, if the amendment sets forth the base employment level as of the date of the amendment. The term “agreement” also includes a preliminary agreement entered into under Iowa Code chapter </w:t>
      </w:r>
      <w:hyperlink r:id="rId105">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provided the preliminary agreement contains all the elements of a contract and includes the necessary elements and commitments relating to training programs and new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“base employment level” means the number of full-time jobs an industry employs at a plant site which is covered by an agreement under Iowa Code chapter </w:t>
      </w:r>
      <w:hyperlink r:id="rId106">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on the date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“project” means a training arrangement which is the subject of an agreement entered into under Iowa Code chapter </w:t>
      </w:r>
      <w:hyperlink r:id="rId107">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term “industry” means a business engaged in interstate or intrastate commerce for the purpose of manufacturing, processing, or assembling products, conducting research and development, or providing services in interstate commerce, but excludes retail, health, and professional services. “Industry” does not include a business which closes or substantially reduces its operations in one area of the state and relocates substantially the same operation in another area of the state. “Industry” is a business engaged in the above-listed activities rather than the generic definition encompassing all businesses in the state engaged in the same activities. For example, in the meat-packing business, an industry is considered to be a single corporate entity or operating division, rather than the entire meat-packing business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term “new employees” means the same as new jobs or jobs directly related to new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term “full-time job” means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employment position requiring an average work week of 35 or more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employment position for which compensation is paid on a salaried full-time basis without regard to hours worked;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aggregation of any number of part-time or job-sharing employment positions which equal one full-time employment position. For purposes of this subrule, each part-time or job-sharing employment position shall be categorized with regard to the average number of hours worked each week as one-quarter, half, three-quarters, or full-time position, as set forth in the following table:</w:t>
      </w:r>
    </w:p>
    <w:tbl>
      <w:tblPr>
        <w:tblW w:w="5000" w:type="pct"/>
        <w:tblCellSpacing w:w="0" w:type="auto"/>
        <w:tblBorders>
          <w:top w:val="none"/>
          <w:left w:val="none"/>
          <w:bottom w:val="none"/>
          <w:right w:val="none"/>
          <w:insideH w:val="none"/>
          <w:insideV w:val="none"/>
        </w:tblBorders>
        <w:tblLayout w:type="fixed"/>
      </w:tblPr>
      <w:tblGrid>
        <w:gridCol w:w="6555"/>
        <w:gridCol w:w="4635"/>
      </w:tblGrid>
      <w:tr>
        <w:trPr>
          <w:trHeight w:val="210"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Average Number of Weekly Hours</w:t>
            </w:r>
          </w:p>
        </w:tc>
        <w:tc>
          <w:tcPr>
            <w:tcW w:w="4635"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Category</w:t>
            </w:r>
          </w:p>
        </w:tc>
      </w:tr>
      <w:tr>
        <w:trPr>
          <w:trHeight w:val="210"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0 but less than 15</w:t>
            </w:r>
          </w:p>
        </w:tc>
        <w:tc>
          <w:tcPr>
            <w:tcW w:w="463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¼</w:t>
            </w:r>
          </w:p>
        </w:tc>
      </w:tr>
      <w:tr>
        <w:trPr>
          <w:trHeight w:val="210"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 or more but less than 25</w:t>
            </w:r>
          </w:p>
        </w:tc>
        <w:tc>
          <w:tcPr>
            <w:tcW w:w="463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½</w:t>
            </w:r>
          </w:p>
        </w:tc>
      </w:tr>
      <w:tr>
        <w:trPr>
          <w:trHeight w:val="210"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 or more but less than 35</w:t>
            </w:r>
          </w:p>
        </w:tc>
        <w:tc>
          <w:tcPr>
            <w:tcW w:w="463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¾</w:t>
            </w:r>
          </w:p>
        </w:tc>
      </w:tr>
      <w:tr>
        <w:trPr>
          <w:trHeight w:val="210"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35 or more</w:t>
            </w:r>
          </w:p>
        </w:tc>
        <w:tc>
          <w:tcPr>
            <w:tcW w:w="463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(full-time)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304.12(2)</w:t>
      </w:r>
      <w:r>
        <w:rPr>
          <w:rFonts w:ascii="Times New Roman" w:hAnsi="Times New Roman"/>
          <w:b w:val="false"/>
          <w:i w:val="false"/>
          <w:color w:val="000000"/>
          <w:sz w:val="22"/>
        </w:rPr>
        <w:t> </w:t>
      </w:r>
      <w:r>
        <w:rPr>
          <w:rFonts w:ascii="Times New Roman" w:hAnsi="Times New Roman"/>
          <w:b w:val="false"/>
          <w:i/>
          <w:color w:val="000000"/>
          <w:sz w:val="22"/>
        </w:rPr>
        <w:t xml:space="preserve">How to compute the credit. </w:t>
      </w:r>
      <w:r>
        <w:rPr>
          <w:rFonts w:ascii="Times New Roman" w:hAnsi="Times New Roman"/>
          <w:b w:val="false"/>
          <w:i w:val="false"/>
          <w:color w:val="000000"/>
          <w:sz w:val="22"/>
        </w:rPr>
        <w:t>The credit is 6 percent of the taxable wages paid to employees in new jobs or jobs directly related to new jobs for the taxable year in which the taxpayer elects to take the credit.</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enters into an agreement to increase employment by 20 new employees which is greater than 10 percent of the taxpayer’s base employment level of 100 employees. In year one of the agreement, the taxpayer hires 20 new employees but elects not to take the credit in that year. In year two of the agreement, only 18 of the new employees hired in year one are still employed and the taxpayer elects to take the credit. The credit would be 6 percent of the taxable wages of the 18 remaining new employees. In year three of the agreement, the taxpayer hires two additional new employees under the agreement to replace the two employees that left in year two and elects to take the credit. The credit would be 6 percent of the taxable wages paid to the two replacement employees. In year four of the agreement, three of the employees for which a credit had been taken left employment and three additional employees were hired. No credit is available for these employees. A credit can only be taken one time for each new job or job directly related to a new job.</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 xml:space="preserve">A taxpayer operating two plants in Iowa enters into a chapter </w:t>
      </w:r>
      <w:hyperlink r:id="rId108">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agreement to train new employees for a new product line at one of the taxpayer’s plants. The base employment level on the date of the agreement at plant A is 300 and at plant B is 100. Under the agreement, 20 new employees will be trained for plant B which is greater than a 10 percent increase of the base employment level for plant B. In the year in which the taxpayer elects to take the credit, the employment level at plant A is 290 and at plant B is 120. The credit would be 6 percent of the wages of 10 new employees at plant B as 10 new jobs were created by the industry in the state. A credit for the remaining 10 employees can be taken if the employment level at plant A increases back to 300 during the period of time that the credit can be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304.12(3)</w:t>
      </w:r>
      <w:r>
        <w:rPr>
          <w:rFonts w:ascii="Times New Roman" w:hAnsi="Times New Roman"/>
          <w:b w:val="false"/>
          <w:i w:val="false"/>
          <w:color w:val="000000"/>
          <w:sz w:val="22"/>
        </w:rPr>
        <w:t> </w:t>
      </w:r>
      <w:r>
        <w:rPr>
          <w:rFonts w:ascii="Times New Roman" w:hAnsi="Times New Roman"/>
          <w:b w:val="false"/>
          <w:i/>
          <w:color w:val="000000"/>
          <w:sz w:val="22"/>
        </w:rPr>
        <w:t xml:space="preserve">When the credit can be taken. </w:t>
      </w:r>
      <w:r>
        <w:rPr>
          <w:rFonts w:ascii="Times New Roman" w:hAnsi="Times New Roman"/>
          <w:b w:val="false"/>
          <w:i w:val="false"/>
          <w:color w:val="000000"/>
          <w:sz w:val="22"/>
        </w:rPr>
        <w:t>The taxpayer may elect to take the credit in any tax year which either begins or ends during the period beginning with the date of the agreement and ending with the date by which the project is to be completed under the agreement. However, the taxpayer may not take the credit until the base employment level has been exceeded by at least 10 percent.</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taxpayer enters into an agreement to increase employment from a base employment level of 200 employees to 225 employees. In year one of the agreement, the taxpayer hires 20 new employees which is a 10 percent increase over the base employment level but elects not to take the credit. In year two of the agreement, two of the new employees leave employment. The taxpayer elects to take the credit which would be 6 percent of the taxable wages of the 18 employees currently employed. In year three, the taxpayer hires 7 new employees and elects to take the credit. The credit would be 6 percent of the taxable wages of the 7 new employees.</w:t>
      </w:r>
    </w:p>
    <w:p>
      <w:pPr>
        <w:spacing w:before="0" w:after="0"/>
        <w:ind w:left="120"/>
        <w:jc w:val="both"/>
      </w:pPr>
      <w:r>
        <w:rPr>
          <w:rFonts w:ascii="Times New Roman" w:hAnsi="Times New Roman"/>
          <w:b w:val="false"/>
          <w:i w:val="false"/>
          <w:color w:val="000000"/>
          <w:sz w:val="22"/>
        </w:rPr>
        <w:t>A taxpayer may claim on the taxpayer’s individual income tax return the pro rata share of the Iowa new jobs credit from a partnership, subchapter S corporation, estate or trust. The portion of the credit claimed by the individual shall be in the same ratio as the individual’s pro rata share of the earnings of the partnership, subchapter S corporation, or estate or trust. All partners in a partnership, shareholders in a subchapter S corporation and beneficiaries in an estate or trust shall elect to take the Iowa new jobs credit the same year.</w:t>
      </w:r>
    </w:p>
    <w:p>
      <w:pPr>
        <w:spacing w:before="0" w:after="0"/>
        <w:ind w:left="120"/>
        <w:jc w:val="both"/>
      </w:pPr>
      <w:r>
        <w:rPr>
          <w:rFonts w:ascii="Times New Roman" w:hAnsi="Times New Roman"/>
          <w:b w:val="false"/>
          <w:i w:val="false"/>
          <w:color w:val="000000"/>
          <w:sz w:val="22"/>
        </w:rPr>
        <w:t xml:space="preserve">For tax years beginning prior to January 1, 2007, any Iowa new jobs credit in excess of the individual’s tax liability less the credits authorized in Iowa Code sections </w:t>
      </w:r>
      <w:hyperlink r:id="rId109">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and </w:t>
      </w:r>
      <w:hyperlink r:id="rId110">
        <w:r>
          <w:rPr>
            <w:rStyle w:val="Hyperlink"/>
            <w:rFonts w:ascii="Times New Roman" w:hAnsi="Times New Roman"/>
            <w:b w:val="false"/>
            <w:i w:val="false"/>
            <w:color w:val="000000"/>
            <w:sz w:val="22"/>
          </w:rPr>
          <w:t>422.12B</w:t>
        </w:r>
      </w:hyperlink>
      <w:r>
        <w:rPr>
          <w:rFonts w:ascii="Times New Roman" w:hAnsi="Times New Roman"/>
          <w:b w:val="false"/>
          <w:i w:val="false"/>
          <w:color w:val="000000"/>
          <w:sz w:val="22"/>
        </w:rPr>
        <w:t xml:space="preserve"> may be carried forward for ten years or until it is used, whichever is the earlier. For tax years beginning on or after January 1, 2007, any Iowa new jobs credit in excess of the individual’s tax liability less the credits authorized in Iowa Code section </w:t>
      </w:r>
      <w:hyperlink r:id="rId111">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may be carried forward for ten years or until it is used, whichever is the earlier.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2">
        <w:r>
          <w:rPr>
            <w:rStyle w:val="Hyperlink"/>
            <w:rFonts w:ascii="Times New Roman" w:hAnsi="Times New Roman"/>
            <w:b w:val="false"/>
            <w:i w:val="false"/>
            <w:color w:val="000000"/>
            <w:sz w:val="22"/>
          </w:rPr>
          <w:t>422.11A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701—304.13</w:t>
      </w:r>
      <w:r>
        <w:rPr>
          <w:rFonts w:ascii="Times New Roman" w:hAnsi="Times New Roman"/>
          <w:b/>
          <w:i w:val="false"/>
          <w:color w:val="000000"/>
          <w:sz w:val="22"/>
        </w:rPr>
        <w:t xml:space="preserve">(422) </w:t>
      </w:r>
      <w:r>
        <w:rPr>
          <w:rFonts w:ascii="Times New Roman" w:hAnsi="Times New Roman"/>
          <w:b/>
          <w:i w:val="false"/>
          <w:color w:val="000000"/>
          <w:sz w:val="22"/>
        </w:rPr>
        <w:t xml:space="preserve">Earned income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304.13(1)</w:t>
      </w:r>
      <w:r>
        <w:rPr>
          <w:rFonts w:ascii="Times New Roman" w:hAnsi="Times New Roman"/>
          <w:b w:val="false"/>
          <w:i w:val="false"/>
          <w:color w:val="000000"/>
          <w:sz w:val="22"/>
        </w:rPr>
        <w:t> </w:t>
      </w:r>
      <w:r>
        <w:rPr>
          <w:rFonts w:ascii="Times New Roman" w:hAnsi="Times New Roman"/>
          <w:b w:val="false"/>
          <w:i/>
          <w:color w:val="000000"/>
          <w:sz w:val="22"/>
        </w:rPr>
        <w:t xml:space="preserve">Tax years beginning before January 1, 2007. </w:t>
      </w:r>
      <w:r>
        <w:rPr>
          <w:rFonts w:ascii="Times New Roman" w:hAnsi="Times New Roman"/>
          <w:b w:val="false"/>
          <w:i w:val="false"/>
          <w:color w:val="000000"/>
          <w:sz w:val="22"/>
        </w:rPr>
        <w:t xml:space="preserve">Effective for tax years beginning on or after January 1, 1990, an individual is allowed an Iowa earned income credit equal to a percentage of the earned income credit to which the taxpayer is entitled on the taxpayer’s federal income tax return as authorized in </w:t>
      </w:r>
      <w:r>
        <w:rPr>
          <w:rFonts w:ascii="Times New Roman" w:hAnsi="Times New Roman"/>
          <w:b w:val="false"/>
          <w:i w:val="false"/>
          <w:color w:val="000000"/>
          <w:sz w:val="22"/>
        </w:rPr>
        <w:t>Section 32 of the Internal Revenue Code</w:t>
      </w:r>
      <w:r>
        <w:rPr>
          <w:rFonts w:ascii="Times New Roman" w:hAnsi="Times New Roman"/>
          <w:b w:val="false"/>
          <w:i w:val="false"/>
          <w:color w:val="000000"/>
          <w:sz w:val="22"/>
        </w:rPr>
        <w:t>. The Iowa earned income credit is nonrefundable; therefore, the credit may not exceed the remaining income tax liability of the taxpayer after the personal exemption credits and the other nonrefundable credits are deducted. The percentage of the earned income credit for tax years beginning in the 1990 calendar year is 5 percent. The percentage of the earned income credit for tax years beginning on or after January 1, 1991, is 6.5 percent.</w:t>
      </w:r>
    </w:p>
    <w:p>
      <w:pPr>
        <w:spacing w:before="0" w:after="0"/>
        <w:ind w:left="120"/>
        <w:jc w:val="both"/>
      </w:pPr>
      <w:r>
        <w:rPr>
          <w:rFonts w:ascii="Times New Roman" w:hAnsi="Times New Roman"/>
          <w:b w:val="false"/>
          <w:i w:val="false"/>
          <w:color w:val="000000"/>
          <w:sz w:val="22"/>
        </w:rPr>
        <w:t xml:space="preserve">For federal income tax purposes, the earned income credit is available for a low-income worker who maintains a household in the United States that is the principal place of abode of the worker and a child or children for more than one-half of the tax year or the worker must have provided a home for the entire tax year for a dependent parent. In addition, the worker must be (1) a married person who files a joint return and is entitled to a dependency exemption for a son or daughter, adopted child or stepchild; (2) a surviving spouse; or (3) an individual who qualifies as a head of household as described in </w:t>
      </w:r>
      <w:r>
        <w:rPr>
          <w:rFonts w:ascii="Times New Roman" w:hAnsi="Times New Roman"/>
          <w:b w:val="false"/>
          <w:i w:val="false"/>
          <w:color w:val="000000"/>
          <w:sz w:val="22"/>
        </w:rPr>
        <w:t>Section 2(b) of the Internal Revenue Code</w:t>
      </w:r>
      <w:r>
        <w:rPr>
          <w:rFonts w:ascii="Times New Roman" w:hAnsi="Times New Roman"/>
          <w:b w:val="false"/>
          <w:i w:val="false"/>
          <w:color w:val="000000"/>
          <w:sz w:val="22"/>
        </w:rPr>
        <w:t>. The federal earned income credit for a taxpayer is determined by computing the taxpayer’s earned income on a worksheet provided in the federal income tax return instructions and determining the allowable credit from a table included in the instructions for the 1040 or 1040A. For purposes of the credit, a taxpayer’s earned income includes wages, salaries, tips, or other compensation plus net income from self-employment.</w:t>
      </w:r>
    </w:p>
    <w:p>
      <w:pPr>
        <w:spacing w:before="0" w:after="0"/>
        <w:ind w:left="120"/>
        <w:jc w:val="both"/>
      </w:pPr>
      <w:r>
        <w:rPr>
          <w:rFonts w:ascii="Times New Roman" w:hAnsi="Times New Roman"/>
          <w:b w:val="false"/>
          <w:i w:val="false"/>
          <w:color w:val="000000"/>
          <w:sz w:val="22"/>
        </w:rPr>
        <w:t>In the case of married taxpayers who filed a joint federal return and who elected to file separate state returns or separately on the combined return form, the Iowa earned income credit is allocated between the spouses in the ratio that each spouse’s earned income relates to the earned income of both spouses.</w:t>
      </w:r>
    </w:p>
    <w:p>
      <w:pPr>
        <w:spacing w:before="0" w:after="0"/>
        <w:ind w:left="120"/>
        <w:jc w:val="both"/>
      </w:pPr>
      <w:r>
        <w:rPr>
          <w:rFonts w:ascii="Times New Roman" w:hAnsi="Times New Roman"/>
          <w:b w:val="false"/>
          <w:i w:val="false"/>
          <w:color w:val="000000"/>
          <w:sz w:val="22"/>
        </w:rPr>
        <w:t>Nonresidents and part-year residents of Iowa are allowed the same earned income credits as resident taxpayers.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304.13(2)</w:t>
      </w:r>
      <w:r>
        <w:rPr>
          <w:rFonts w:ascii="Times New Roman" w:hAnsi="Times New Roman"/>
          <w:b w:val="false"/>
          <w:i w:val="false"/>
          <w:color w:val="000000"/>
          <w:sz w:val="22"/>
        </w:rPr>
        <w:t> </w:t>
      </w:r>
      <w:r>
        <w:rPr>
          <w:rFonts w:ascii="Times New Roman" w:hAnsi="Times New Roman"/>
          <w:b w:val="false"/>
          <w:i/>
          <w:color w:val="000000"/>
          <w:sz w:val="22"/>
        </w:rPr>
        <w:t xml:space="preserve">Tax years beginning on or after January 1, 2007. </w:t>
      </w:r>
      <w:r>
        <w:rPr>
          <w:rFonts w:ascii="Times New Roman" w:hAnsi="Times New Roman"/>
          <w:b w:val="false"/>
          <w:i w:val="false"/>
          <w:color w:val="000000"/>
          <w:sz w:val="22"/>
        </w:rPr>
        <w:t xml:space="preserve">Effective for tax years beginning on or after January 1, 2007, but beginning before January 1, 2013, an individual is allowed an Iowa earned income credit equal to 7 percent of the earned income credit to which the taxpayer is entitled on the taxpayer’s federal income tax return as authorized in </w:t>
      </w:r>
      <w:r>
        <w:rPr>
          <w:rFonts w:ascii="Times New Roman" w:hAnsi="Times New Roman"/>
          <w:b w:val="false"/>
          <w:i w:val="false"/>
          <w:color w:val="000000"/>
          <w:sz w:val="22"/>
        </w:rPr>
        <w:t>Section 32 of the Internal Revenue Code</w:t>
      </w:r>
      <w:r>
        <w:rPr>
          <w:rFonts w:ascii="Times New Roman" w:hAnsi="Times New Roman"/>
          <w:b w:val="false"/>
          <w:i w:val="false"/>
          <w:color w:val="000000"/>
          <w:sz w:val="22"/>
        </w:rPr>
        <w:t xml:space="preserve">. For tax years beginning on or after January 1, 2013, but beginning before January 1, 2014, an individual is allowed an Iowa earned income tax credit equal to 14 percent of the earned income credit to which the taxpayer is entitled on the taxpayer’s federal income tax return as authorized in </w:t>
      </w:r>
      <w:r>
        <w:rPr>
          <w:rFonts w:ascii="Times New Roman" w:hAnsi="Times New Roman"/>
          <w:b w:val="false"/>
          <w:i w:val="false"/>
          <w:color w:val="000000"/>
          <w:sz w:val="22"/>
        </w:rPr>
        <w:t>Section 32 of the Internal Revenue Code</w:t>
      </w:r>
      <w:r>
        <w:rPr>
          <w:rFonts w:ascii="Times New Roman" w:hAnsi="Times New Roman"/>
          <w:b w:val="false"/>
          <w:i w:val="false"/>
          <w:color w:val="000000"/>
          <w:sz w:val="22"/>
        </w:rPr>
        <w:t xml:space="preserve">. For tax years beginning on or after January 1, 2014, an individual is allowed an Iowa earned income tax credit equal to 15 percent of the earned income credit to which the taxpayer is entitled on the taxpayer’s federal income tax return as authorized in </w:t>
      </w:r>
      <w:r>
        <w:rPr>
          <w:rFonts w:ascii="Times New Roman" w:hAnsi="Times New Roman"/>
          <w:b w:val="false"/>
          <w:i w:val="false"/>
          <w:color w:val="000000"/>
          <w:sz w:val="22"/>
        </w:rPr>
        <w:t>Section 32 of the Internal Revenue Code</w:t>
      </w:r>
      <w:r>
        <w:rPr>
          <w:rFonts w:ascii="Times New Roman" w:hAnsi="Times New Roman"/>
          <w:b w:val="false"/>
          <w:i w:val="false"/>
          <w:color w:val="000000"/>
          <w:sz w:val="22"/>
        </w:rPr>
        <w:t>. The Iowa earned income credit is refundable; therefore, the credit may exceed the remaining income tax liability of the taxpayer after the personal exemption credits and other nonrefundable credits are deducted.</w:t>
      </w:r>
    </w:p>
    <w:p>
      <w:pPr>
        <w:spacing w:before="0" w:after="0"/>
        <w:ind w:left="120"/>
        <w:jc w:val="both"/>
      </w:pPr>
      <w:r>
        <w:rPr>
          <w:rFonts w:ascii="Times New Roman" w:hAnsi="Times New Roman"/>
          <w:b w:val="false"/>
          <w:i w:val="false"/>
          <w:color w:val="000000"/>
          <w:sz w:val="22"/>
        </w:rPr>
        <w:t>In the case of married taxpayers who filed a joint federal return and who elected to file separate state returns or separately on the combined return form, the Iowa earned income credit is allocated between the spouses in the ratio that each spouse’s earned income relates to the earned income of both spouses.</w:t>
      </w:r>
    </w:p>
    <w:p>
      <w:pPr>
        <w:spacing w:before="0" w:after="0"/>
        <w:ind w:left="120"/>
        <w:jc w:val="both"/>
      </w:pPr>
      <w:r>
        <w:rPr>
          <w:rFonts w:ascii="Times New Roman" w:hAnsi="Times New Roman"/>
          <w:b w:val="false"/>
          <w:i w:val="false"/>
          <w:color w:val="000000"/>
          <w:sz w:val="22"/>
        </w:rPr>
        <w:t>Nonresidents or part-year residents of Iowa must determine the Iowa earned income tax credit in the ratio of their Iowa source net income to their total source net income. In addition, if nonresidents or part-year residents of Iowa are married and elect to file separate returns or separately on the combined return form, the Iowa earned income credit must be allocated between the spouses in the ratio of each spouse’s Iowa source net income to the combined Iowa source net income.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married couple lives in Omaha, Nebraska. One spouse worked in Iowa in 2007 and had wages and other income from Iowa sources of $12,000. That spouse had a federal adjusted gross income from all sources of $15,000. The other spouse had no Iowa source net income and had a federal adjusted gross income from all sources of $10,000. The taxpayers had a federal earned income credit of $2,800.</w:t>
      </w:r>
    </w:p>
    <w:p>
      <w:pPr>
        <w:spacing w:before="0" w:after="0"/>
        <w:ind w:left="120"/>
        <w:jc w:val="both"/>
      </w:pPr>
      <w:r>
        <w:rPr>
          <w:rFonts w:ascii="Times New Roman" w:hAnsi="Times New Roman"/>
          <w:b w:val="false"/>
          <w:i w:val="false"/>
          <w:color w:val="000000"/>
          <w:sz w:val="22"/>
        </w:rPr>
        <w:t>The federal earned income credit of $2,800 multiplied by 7 percent equals $196. The ratio of Iowa source net income of $12,000 divided by total source net income of $25,000 equals 48 percent. The Iowa earned income tax credit equals $196 multiplied by 48 percent, or $94.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3">
        <w:r>
          <w:rPr>
            <w:rStyle w:val="Hyperlink"/>
            <w:rFonts w:ascii="Times New Roman" w:hAnsi="Times New Roman"/>
            <w:b w:val="false"/>
            <w:i w:val="false"/>
            <w:color w:val="000000"/>
            <w:sz w:val="22"/>
          </w:rPr>
          <w:t>422.12B</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Senate File 295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701—304.14</w:t>
      </w:r>
      <w:r>
        <w:rPr>
          <w:rFonts w:ascii="Times New Roman" w:hAnsi="Times New Roman"/>
          <w:b/>
          <w:i w:val="false"/>
          <w:color w:val="000000"/>
          <w:sz w:val="22"/>
        </w:rPr>
        <w:t xml:space="preserve">(15) </w:t>
      </w:r>
      <w:r>
        <w:rPr>
          <w:rFonts w:ascii="Times New Roman" w:hAnsi="Times New Roman"/>
          <w:b/>
          <w:i w:val="false"/>
          <w:color w:val="000000"/>
          <w:sz w:val="22"/>
        </w:rPr>
        <w:t xml:space="preserve">Investment tax credit—new jobs and income program and enterprise zone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304.14(1)</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 xml:space="preserve">An investment tax credit of up to 10 percent of the new investment which is directly related to new jobs created by the location or expansion of an eligible business is available for businesses approved by the economic development authority under the new jobs and income program and the enterprise zone program. The new jobs and income program was repealed on July 1, 2005, and has been replaced with the high quality job creation program. See rule </w:t>
      </w:r>
      <w:hyperlink r:id="rId114">
        <w:r>
          <w:rPr>
            <w:rStyle w:val="Hyperlink"/>
            <w:rFonts w:ascii="Times New Roman" w:hAnsi="Times New Roman"/>
            <w:b w:val="false"/>
            <w:i w:val="false"/>
            <w:color w:val="000000"/>
            <w:sz w:val="22"/>
          </w:rPr>
          <w:t>701—304.29</w:t>
        </w:r>
      </w:hyperlink>
      <w:r>
        <w:rPr>
          <w:rFonts w:ascii="Times New Roman" w:hAnsi="Times New Roman"/>
          <w:b w:val="false"/>
          <w:i w:val="false"/>
          <w:color w:val="000000"/>
          <w:sz w:val="22"/>
        </w:rPr>
        <w:t xml:space="preserve">(15) for information on the investment tax credit under the high quality job creation program. Any investment tax credit earned by businesses approved under the new jobs and income program prior to July 1, 2005, remains valid and can be claimed on tax returns filed after July 1, 2005. The credit is available for machinery and equipment or improvements to real property placed in service after May 1, 1994. The credit shall be taken in the year the qualifying asset is placed in service. The enterprise zone program was repealed on July 1, 2014. Any investment tax credit earned by businesses approved under the enterprise zone program prior to July 1, 2014, remains valid and can be claimed on tax returns filed after July 1, 2014. For business applications received by the economic development authority on or after July 1, 1999, purchases of real property made in conjunction with the location or expansion of an eligible business, the cost of land and any buildings and structures located on the land will be considered to be new investment which is directly related to new jobs for purposes of determining the amount of new investment upon which an investment tax credit may be taken. For projects approved on or after July 1, 2005, under the enterprise zone program, the investment tax credit will be amortized over a five-year period, as described in subrule </w:t>
      </w:r>
      <w:hyperlink r:id="rId115">
        <w:r>
          <w:rPr>
            <w:rStyle w:val="Hyperlink"/>
            <w:rFonts w:ascii="Times New Roman" w:hAnsi="Times New Roman"/>
            <w:b w:val="false"/>
            <w:i w:val="false"/>
            <w:color w:val="000000"/>
            <w:sz w:val="22"/>
          </w:rPr>
          <w:t>304.29(2)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For eligible businesses approved by the Iowa department of economic development on or after March 17, 2004, certain lease payments made by eligible businesses to a third-party developer will be considered to be new investment for purposes of computing the investment tax credit. The eligible business shall enter into a lease agreement with the third-party developer for a minimum of ten years. The investment tax credit is based on the annual base rent paid to a third-party developer by the eligible business for a period not to exceed ten years. The total costs of the annual base rent payments for the ten-year period cannot exceed the cost of the land and the third-party developer’s cost to build or renovate the building used by the eligible business. The annual base rent is defined as the total lease payment less taxes, insurance and operating and maintenance expenses.</w:t>
      </w:r>
    </w:p>
    <w:p>
      <w:pPr>
        <w:spacing w:before="0" w:after="0"/>
        <w:ind w:left="120"/>
        <w:jc w:val="both"/>
      </w:pPr>
      <w:r>
        <w:rPr>
          <w:rFonts w:ascii="Times New Roman" w:hAnsi="Times New Roman"/>
          <w:b w:val="false"/>
          <w:i w:val="false"/>
          <w:color w:val="000000"/>
          <w:sz w:val="22"/>
        </w:rPr>
        <w:t>Any credit in excess of the tax liability for the tax year may be carried forward seven years or until used, whichever is the earlier.</w:t>
      </w:r>
    </w:p>
    <w:p>
      <w:pPr>
        <w:spacing w:before="0" w:after="0"/>
        <w:ind w:left="120"/>
        <w:jc w:val="both"/>
      </w:pPr>
      <w:r>
        <w:rPr>
          <w:rFonts w:ascii="Times New Roman" w:hAnsi="Times New Roman"/>
          <w:b w:val="false"/>
          <w:i w:val="false"/>
          <w:color w:val="000000"/>
          <w:sz w:val="22"/>
        </w:rPr>
        <w:t>If the business is a partnership, S corporation, limited liability company, or an estate or trust electing to have the income taxed directly to an individual, an individual may claim the credit. The amount of the credit claimed by the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304.14(2)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credit—value-added agricultural products or biotechnology-related processes. </w:t>
      </w:r>
      <w:r>
        <w:rPr>
          <w:rFonts w:ascii="Times New Roman" w:hAnsi="Times New Roman"/>
          <w:b w:val="false"/>
          <w:i w:val="false"/>
          <w:color w:val="000000"/>
          <w:sz w:val="22"/>
        </w:rPr>
        <w:t xml:space="preserve">For tax years beginning on or after July 1, 2001, an eligible business whose project primarily involves the production of value-added agricultural products may elect to receive a refund for all or a portion of an unused investment tax credit. For tax years beginning on or after July 1, 2001, but before July 1, 2003, an eligible business includes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not required to file an Iowa corporation income tax return and whose project primarily involves the production of ethanol. For tax years beginning on or after July 1, 2003, an eligible business includes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not required to file an Iowa corporation income tax return. For tax years ending on or after July 1, 2005, an eligible business approved under the enterprise zone program whose project primarily involves biotechnology-related processes may elect to receive a refund for all or a portion of an unused investment tax credit.</w:t>
      </w:r>
    </w:p>
    <w:p>
      <w:pPr>
        <w:spacing w:before="0" w:after="0"/>
        <w:ind w:left="120"/>
        <w:jc w:val="both"/>
      </w:pPr>
      <w:r>
        <w:rPr>
          <w:rFonts w:ascii="Times New Roman" w:hAnsi="Times New Roman"/>
          <w:b w:val="false"/>
          <w:i w:val="false"/>
          <w:color w:val="000000"/>
          <w:sz w:val="22"/>
        </w:rPr>
        <w:t xml:space="preserve">Eligible businesses shall apply to the Iowa department of economic development for tax credit certificates between May 1 and May 15 of each fiscal year through the fiscal year ending June 30, 2009. The election to receive a refund of all or a portion of an unused investment tax credit is no longer available beginning with the fiscal year ending June 30, 2010. Only those businesses that have completed projects before the May 1 filing date may apply for a tax credit certificate. The Iowa department of economic development will not issue tax credit certificates for more than $4 million during a fiscal year for this program and eligible businesses described in subrule </w:t>
      </w:r>
      <w:hyperlink r:id="rId116">
        <w:r>
          <w:rPr>
            <w:rStyle w:val="Hyperlink"/>
            <w:rFonts w:ascii="Times New Roman" w:hAnsi="Times New Roman"/>
            <w:b w:val="false"/>
            <w:i w:val="false"/>
            <w:color w:val="000000"/>
            <w:sz w:val="22"/>
          </w:rPr>
          <w:t>304.29(2)</w:t>
        </w:r>
      </w:hyperlink>
      <w:r>
        <w:rPr>
          <w:rFonts w:ascii="Times New Roman" w:hAnsi="Times New Roman"/>
          <w:b w:val="false"/>
          <w:i w:val="false"/>
          <w:color w:val="000000"/>
          <w:sz w:val="22"/>
        </w:rPr>
        <w:t>. If applications are received for more than $4 million, the applicants shall receive certificates for a prorated amount.</w:t>
      </w:r>
    </w:p>
    <w:p>
      <w:pPr>
        <w:spacing w:before="0" w:after="0"/>
        <w:ind w:left="120"/>
        <w:jc w:val="both"/>
      </w:pPr>
      <w:r>
        <w:rPr>
          <w:rFonts w:ascii="Times New Roman" w:hAnsi="Times New Roman"/>
          <w:b w:val="false"/>
          <w:i w:val="false"/>
          <w:color w:val="000000"/>
          <w:sz w:val="22"/>
        </w:rPr>
        <w:t xml:space="preserve">The economic development authority will issue tax credit certificates within a reasonable period of time. Tax credit certificates are valid for the tax year following project completion. The tax credit certificate must be included with the tax return for the tax year during which the tax credit is claimed. The tax credit certificate shall not be transferred, except for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required to file an Iowa corporation income tax return and whose project primarily involves the production of ethanol for tax years beginning on or after January 1, 2002, or for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required to file an Iowa corporation income tax return for tax years beginning on or after July 1, 2003.</w:t>
      </w:r>
    </w:p>
    <w:p>
      <w:pPr>
        <w:spacing w:before="0" w:after="0"/>
        <w:ind w:left="120"/>
        <w:jc w:val="both"/>
      </w:pPr>
      <w:r>
        <w:rPr>
          <w:rFonts w:ascii="Times New Roman" w:hAnsi="Times New Roman"/>
          <w:b w:val="false"/>
          <w:i w:val="false"/>
          <w:color w:val="000000"/>
          <w:sz w:val="22"/>
        </w:rPr>
        <w:t>For value-added agricultural projects, for a cooperative that is not required to file an Iowa income tax return because it is exempt from federal income tax, the cooperative must submit a list of its members and the share of each member’s interest in the cooperative. The Iowa department of economic development will issue a tax credit certificate to each member on the list.</w:t>
      </w:r>
    </w:p>
    <w:p>
      <w:pPr>
        <w:spacing w:before="0" w:after="0"/>
        <w:ind w:left="120"/>
        <w:jc w:val="both"/>
      </w:pPr>
      <w:r>
        <w:rPr>
          <w:rFonts w:ascii="Times New Roman" w:hAnsi="Times New Roman"/>
          <w:b w:val="false"/>
          <w:i w:val="false"/>
          <w:color w:val="000000"/>
          <w:sz w:val="22"/>
        </w:rPr>
        <w:t xml:space="preserve">See </w:t>
      </w:r>
      <w:hyperlink r:id="rId117">
        <w:r>
          <w:rPr>
            <w:rStyle w:val="Hyperlink"/>
            <w:rFonts w:ascii="Times New Roman" w:hAnsi="Times New Roman"/>
            <w:b w:val="false"/>
            <w:i w:val="false"/>
            <w:color w:val="000000"/>
            <w:sz w:val="22"/>
          </w:rPr>
          <w:t>701—subrule 501.10(4)</w:t>
        </w:r>
      </w:hyperlink>
      <w:r>
        <w:rPr>
          <w:rFonts w:ascii="Times New Roman" w:hAnsi="Times New Roman"/>
          <w:b w:val="false"/>
          <w:i w:val="false"/>
          <w:color w:val="000000"/>
          <w:sz w:val="22"/>
        </w:rPr>
        <w:t xml:space="preserve"> for examples illustrating how this subrule is applied.</w:t>
      </w:r>
    </w:p>
    <w:p>
      <w:pPr>
        <w:spacing w:before="0" w:after="0"/>
        <w:ind w:left="120"/>
        <w:jc w:val="both"/>
      </w:pPr>
      <w:r>
        <w:rPr>
          <w:rFonts w:ascii="Times New Roman" w:hAnsi="Times New Roman"/>
          <w:b w:val="false"/>
          <w:i w:val="false"/>
          <w:color w:val="000000"/>
          <w:sz w:val="22"/>
        </w:rPr>
        <w:t xml:space="preserve">For tax years beginning on or after January 1, 2002, but before July 1, 2003,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required to file an Iowa corporation income tax return and whose project primarily involves the production of ethanol may elect to transfer all or a portion of its tax credit to its members. For tax years beginning on or after July 1, 2003,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required to file an Iowa corporation income tax return may elect to transfer all or a portion of its tax credit to its members. The amount of tax credit transferred and claimed by a member shall be based upon the pro rata share of the member’s earnings in the cooperative. The economic development authority will issue a tax credit certificate to each member of the cooperative to whom the credit was transferred provided that tax credit certificates which total no more than $4 million are issued during a fiscal year. The tax credit certificate must be included with the tax return for the tax year during which the tax credit is claimed.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304.14(3)</w:t>
      </w:r>
      <w:r>
        <w:rPr>
          <w:rFonts w:ascii="Times New Roman" w:hAnsi="Times New Roman"/>
          <w:b w:val="false"/>
          <w:i w:val="false"/>
          <w:color w:val="000000"/>
          <w:sz w:val="22"/>
        </w:rPr>
        <w:t> </w:t>
      </w:r>
      <w:r>
        <w:rPr>
          <w:rFonts w:ascii="Times New Roman" w:hAnsi="Times New Roman"/>
          <w:b w:val="false"/>
          <w:i/>
          <w:color w:val="000000"/>
          <w:sz w:val="22"/>
        </w:rPr>
        <w:t xml:space="preserve">Repayment of credits. </w:t>
      </w:r>
      <w:r>
        <w:rPr>
          <w:rFonts w:ascii="Times New Roman" w:hAnsi="Times New Roman"/>
          <w:b w:val="false"/>
          <w:i w:val="false"/>
          <w:color w:val="000000"/>
          <w:sz w:val="22"/>
        </w:rPr>
        <w:t xml:space="preserve">If an eligible business fails to maintain the requirements of the new jobs and income program or the enterprise zone program, the taxpayer may be required to repay all or a portion of the tax incentives taken on Iowa returns. Irrespective of the fact that the statute of limitations to assess the taxpayer for repayment of the tax credits may have expired, the department may proceed to collect the tax incentives forfeited by failure to maintain the requirements of the new jobs and income program or the enterprise zone program because this repayment is a recovery of an incentive, rather than an adjustment to the taxpayer’s tax liability. Details on the calculation of the repayment can be found in </w:t>
      </w:r>
      <w:hyperlink r:id="rId118">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If the eligible business, within five years of purchase, sells, disposes of, razes, or otherwise renders unusable all or a part of the land, buildings, or other existing structures for which a tax credit was claimed under this rule, the income tax liability of the eligible business for the year in which all or part of the property is sold, disposed of, razed, or otherwise rendered unusable shall be increased by one of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hundred percent of the investment tax credit claimed if the property ceases to be eligible for the tax credit within one full year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Eighty percent of the investment tax credit claimed if the property ceases to be eligible for the tax credit within two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Sixty percent of the investment tax credit claimed if the property ceases to be eligible for the tax credit within three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Forty percent of the investment tax credit claimed if the property ceases to be eligible for the tax credit within four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Twenty percent of the investment tax credit claimed if the property ceases to be eligible for the tax credit within five full years after being placed in service.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9">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Senate File 2380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701—304.15</w:t>
      </w:r>
      <w:r>
        <w:rPr>
          <w:rFonts w:ascii="Times New Roman" w:hAnsi="Times New Roman"/>
          <w:b/>
          <w:i w:val="false"/>
          <w:color w:val="000000"/>
          <w:sz w:val="22"/>
        </w:rPr>
        <w:t xml:space="preserve">(422) </w:t>
      </w:r>
      <w:r>
        <w:rPr>
          <w:rFonts w:ascii="Times New Roman" w:hAnsi="Times New Roman"/>
          <w:b/>
          <w:i w:val="false"/>
          <w:color w:val="000000"/>
          <w:sz w:val="22"/>
        </w:rPr>
        <w:t xml:space="preserve">Child and dependent care credit. </w:t>
      </w:r>
      <w:r>
        <w:rPr>
          <w:rFonts w:ascii="Times New Roman" w:hAnsi="Times New Roman"/>
          <w:b w:val="false"/>
          <w:i w:val="false"/>
          <w:color w:val="000000"/>
          <w:sz w:val="22"/>
        </w:rPr>
        <w:t xml:space="preserve">There is a child and dependent care credit which is refundable to the extent the amount of the credit exceeds the taxpayer’s income tax liability less other applicable income tax credits. If a taxpayer claims the child and dependent care credit, the taxpayer cannot claim the early childhood development credit described in rule </w:t>
      </w:r>
      <w:hyperlink r:id="rId120">
        <w:r>
          <w:rPr>
            <w:rStyle w:val="Hyperlink"/>
            <w:rFonts w:ascii="Times New Roman" w:hAnsi="Times New Roman"/>
            <w:b w:val="false"/>
            <w:i w:val="false"/>
            <w:color w:val="000000"/>
            <w:sz w:val="22"/>
          </w:rPr>
          <w:t>701—304.31</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304.15(1)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Iowa child and dependent care credit. </w:t>
      </w:r>
      <w:r>
        <w:rPr>
          <w:rFonts w:ascii="Times New Roman" w:hAnsi="Times New Roman"/>
          <w:b w:val="false"/>
          <w:i w:val="false"/>
          <w:color w:val="000000"/>
          <w:sz w:val="22"/>
        </w:rPr>
        <w:t xml:space="preserve">The Iowa child and dependent care credit is computed as a percentage of the child and dependent care credit which is allowed for federal income tax purposes under </w:t>
      </w:r>
      <w:r>
        <w:rPr>
          <w:rFonts w:ascii="Times New Roman" w:hAnsi="Times New Roman"/>
          <w:b w:val="false"/>
          <w:i w:val="false"/>
          <w:color w:val="000000"/>
          <w:sz w:val="22"/>
        </w:rPr>
        <w:t>Section 21 of the Internal Revenue Code</w:t>
      </w:r>
      <w:r>
        <w:rPr>
          <w:rFonts w:ascii="Times New Roman" w:hAnsi="Times New Roman"/>
          <w:b w:val="false"/>
          <w:i w:val="false"/>
          <w:color w:val="000000"/>
          <w:sz w:val="22"/>
        </w:rPr>
        <w:t>. For tax years beginning on or after January 1, 2015, the Iowa credit is computed without regard to whether or not the federal credit was limited to the taxpayer’s federal tax liability. In addition, for tax years beginning on or after January 1, 2015, the Iowa credit will be allowed even if the taxpayer’s federal adjusted gross income is below $0. The credit is computed so that taxpayers with lower net incomes are allowed higher percentages of their federal child care credit than taxpayers with higher net incomes. The following is a schedule showing the percentages of federal child and dependent care credits allowed on the taxpayers’ Iowa returns on the basis of the net incomes of the taxpayers.</w:t>
      </w:r>
    </w:p>
    <w:tbl>
      <w:tblPr>
        <w:tblW w:w="5000" w:type="pct"/>
        <w:tblCellSpacing w:w="0" w:type="auto"/>
        <w:tblBorders>
          <w:top w:val="none"/>
          <w:left w:val="none"/>
          <w:bottom w:val="none"/>
          <w:right w:val="none"/>
          <w:insideH w:val="none"/>
          <w:insideV w:val="none"/>
        </w:tblBorders>
        <w:tblLayout w:type="fixed"/>
      </w:tblPr>
      <w:tblGrid>
        <w:gridCol w:w="4370"/>
        <w:gridCol w:w="3410"/>
        <w:gridCol w:w="3410"/>
      </w:tblGrid>
      <w:tr>
        <w:trPr>
          <w:trHeight w:val="75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Net income</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Percentage of federal credit allowed for tax years beginning on or after January 1, 2006, and before January 1, 2021</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Percentage of federal credit allowed for tax years beginning on or after January 1, 2021</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than $10,000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 or more but less than $20,000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$20,000 or more but less than $25,000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$25,000 or more but less than $35,000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$35,000 or more but less than $40,000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$40,000 or more but less than $45,000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30%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$45,000 or more but less than $90,000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 Credit</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30%</w:t>
            </w:r>
          </w:p>
        </w:tc>
      </w:tr>
      <w:tr>
        <w:trPr>
          <w:trHeight w:val="375"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$90,000 or more</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 Credit</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No Credit</w:t>
            </w:r>
          </w:p>
        </w:tc>
      </w:tr>
      <w:tr>
        <w:trPr>
          <w:trHeight w:val="93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*Note that in the case of married taxpayers who have filed joint federal returns and elect to file separate returns or to file separately on the combined return form for Iowa purposes, the taxpayers must determine the child and dependent care credit by the schedule provided in this rule on the basis of their combined net incomes. The credit determined from the schedule must be allocated between the married taxpayers in the proportion that each spouse’s net income relates to the combined net income of the taxpayers.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304.15(2)</w:t>
      </w:r>
      <w:r>
        <w:rPr>
          <w:rFonts w:ascii="Times New Roman" w:hAnsi="Times New Roman"/>
          <w:b w:val="false"/>
          <w:i w:val="false"/>
          <w:color w:val="000000"/>
          <w:sz w:val="22"/>
        </w:rPr>
        <w:t> </w:t>
      </w:r>
      <w:r>
        <w:rPr>
          <w:rFonts w:ascii="Times New Roman" w:hAnsi="Times New Roman"/>
          <w:b w:val="false"/>
          <w:i/>
          <w:color w:val="000000"/>
          <w:sz w:val="22"/>
        </w:rPr>
        <w:t xml:space="preserve">Examples of computation of the Iowa child and dependent care credit. </w:t>
      </w:r>
      <w:r>
        <w:rPr>
          <w:rFonts w:ascii="Times New Roman" w:hAnsi="Times New Roman"/>
          <w:b w:val="false"/>
          <w:i w:val="false"/>
          <w:color w:val="000000"/>
          <w:sz w:val="22"/>
        </w:rPr>
        <w:t xml:space="preserve">The following are examples of computation of the child and dependent care credit and the allocation of the credit between spouses in situations where married taxpayers have filed joint federal returns and are filing separate Iowa returns or are filing separately on the combined Iowa return form. </w:t>
      </w:r>
    </w:p>
    <w:p>
      <w:pPr>
        <w:spacing w:before="0" w:after="0"/>
        <w:ind w:left="120"/>
        <w:jc w:val="both"/>
      </w:pPr>
      <w:r>
        <w:rPr>
          <w:rFonts w:ascii="Times New Roman" w:hAnsi="Times New Roman"/>
          <w:b w:val="false"/>
          <w:i w:val="false"/>
          <w:color w:val="000000"/>
          <w:sz w:val="22"/>
        </w:rPr>
        <w:t xml:space="preserve">EXAMPLE A: </w:t>
      </w:r>
      <w:r>
        <w:rPr>
          <w:rFonts w:ascii="Times New Roman" w:hAnsi="Times New Roman"/>
          <w:b w:val="false"/>
          <w:i w:val="false"/>
          <w:color w:val="000000"/>
          <w:sz w:val="22"/>
        </w:rPr>
        <w:t>A married couple has a combined net income of $40,000. Both spouses were employed. They had a federal child and dependent care credit of $600 which related to expenses incurred for care of their two small children. One of the spouses had a net income of $30,000 and the second spouse had a net income of $10,000.</w:t>
      </w:r>
    </w:p>
    <w:p>
      <w:pPr>
        <w:spacing w:before="0" w:after="0"/>
        <w:ind w:left="120"/>
        <w:jc w:val="both"/>
      </w:pPr>
      <w:r>
        <w:rPr>
          <w:rFonts w:ascii="Times New Roman" w:hAnsi="Times New Roman"/>
          <w:b w:val="false"/>
          <w:i w:val="false"/>
          <w:color w:val="000000"/>
          <w:sz w:val="22"/>
        </w:rPr>
        <w:t>The taxpayers’ Iowa child and dependent care credit was $180 since they were entitled to an Iowa child and dependent care credit of 30 percent of their federal credit of $600. If the taxpayers elect to file separate Iowa returns, the $180 credit would be allocated between the spouses on the basis of each spouse’s net income as it relates to the combined net income of both spouses as shown below:</w:t>
      </w:r>
    </w:p>
    <w:tbl>
      <w:tblPr>
        <w:tblW w:w="5000" w:type="pct"/>
        <w:tblCellSpacing w:w="0" w:type="auto"/>
        <w:tblBorders>
          <w:top w:val="none"/>
          <w:left w:val="none"/>
          <w:bottom w:val="none"/>
          <w:right w:val="none"/>
          <w:insideH w:val="none"/>
          <w:insideV w:val="none"/>
        </w:tblBorders>
        <w:tblLayout w:type="fixed"/>
      </w:tblPr>
      <w:tblGrid>
        <w:gridCol w:w="1266"/>
        <w:gridCol w:w="728"/>
        <w:gridCol w:w="536"/>
        <w:gridCol w:w="1031"/>
        <w:gridCol w:w="631"/>
        <w:gridCol w:w="727"/>
        <w:gridCol w:w="343"/>
        <w:gridCol w:w="4663"/>
        <w:gridCol w:w="1265"/>
      </w:tblGrid>
      <w:tr>
        <w:trPr>
          <w:trHeight w:val="225" w:hRule="atLeast"/>
        </w:trPr>
        <w:tc>
          <w:tcPr>
            <w:tcW w:w="1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8"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$180</w:t>
            </w:r>
          </w:p>
        </w:tc>
        <w:tc>
          <w:tcPr>
            <w:tcW w:w="53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031"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$30,000</w:t>
            </w:r>
          </w:p>
        </w:tc>
        <w:tc>
          <w:tcPr>
            <w:tcW w:w="631"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727"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$135</w:t>
            </w:r>
          </w:p>
        </w:tc>
        <w:tc>
          <w:tcPr>
            <w:tcW w:w="3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63" w:type="dxa"/>
            <w:vMerge w:val="restart"/>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child and dependent care credit for spouse with $30,000 net income </w:t>
            </w:r>
          </w:p>
        </w:tc>
        <w:tc>
          <w:tcPr>
            <w:tcW w:w="12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0" w:type="auto"/>
            <w:vMerge/>
            <w:tcBorders>
              <w:top w:val="nil"/>
            </w:tcBorders>
          </w:tcPr>
          <w:p/>
        </w:tc>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$40,000</w:t>
            </w:r>
          </w:p>
        </w:tc>
        <w:tc>
          <w:tcPr>
            <w:tcW w:w="0" w:type="auto"/>
            <w:vMerge/>
            <w:tcBorders>
              <w:top w:val="nil"/>
            </w:tcBorders>
          </w:tcPr>
          <w:p/>
        </w:tc>
        <w:tc>
          <w:tcPr>
            <w:tcW w:w="0" w:type="auto"/>
            <w:vMerge/>
            <w:tcBorders>
              <w:top w:val="nil"/>
            </w:tcBorders>
          </w:tcPr>
          <w:p/>
        </w:tc>
        <w:tc>
          <w:tcPr>
            <w:tcW w:w="3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12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12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8"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$180</w:t>
            </w:r>
          </w:p>
        </w:tc>
        <w:tc>
          <w:tcPr>
            <w:tcW w:w="53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031"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$10,000</w:t>
            </w:r>
          </w:p>
        </w:tc>
        <w:tc>
          <w:tcPr>
            <w:tcW w:w="631"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727"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$45</w:t>
            </w:r>
          </w:p>
        </w:tc>
        <w:tc>
          <w:tcPr>
            <w:tcW w:w="3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63" w:type="dxa"/>
            <w:vMerge w:val="restart"/>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child and dependent care credit for spouse with $10,000 net income </w:t>
            </w:r>
          </w:p>
        </w:tc>
        <w:tc>
          <w:tcPr>
            <w:tcW w:w="12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0" w:type="auto"/>
            <w:vMerge/>
            <w:tcBorders>
              <w:top w:val="nil"/>
            </w:tcBorders>
          </w:tcPr>
          <w:p/>
        </w:tc>
        <w:tc>
          <w:tcPr>
            <w:tcW w:w="1031"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$40,000</w:t>
            </w:r>
          </w:p>
        </w:tc>
        <w:tc>
          <w:tcPr>
            <w:tcW w:w="0" w:type="auto"/>
            <w:vMerge/>
            <w:tcBorders>
              <w:top w:val="nil"/>
            </w:tcBorders>
          </w:tcPr>
          <w:p/>
        </w:tc>
        <w:tc>
          <w:tcPr>
            <w:tcW w:w="0" w:type="auto"/>
            <w:vMerge/>
            <w:tcBorders>
              <w:top w:val="nil"/>
            </w:tcBorders>
          </w:tcPr>
          <w:p/>
        </w:tc>
        <w:tc>
          <w:tcPr>
            <w:tcW w:w="3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12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12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EXAMPLE B: </w:t>
      </w:r>
      <w:r>
        <w:rPr>
          <w:rFonts w:ascii="Times New Roman" w:hAnsi="Times New Roman"/>
          <w:b w:val="false"/>
          <w:i w:val="false"/>
          <w:color w:val="000000"/>
          <w:sz w:val="22"/>
        </w:rPr>
        <w:t>A married couple filed their Iowa return separately on a combined return. Both spouses were employed. They had a federal child and dependent care credit of $800 which related to expenses incurred for care of their children. One spouse had a net income of $25,000 and the other spouse had a net income of $12,500, so their combined net income was $37,500.</w:t>
      </w:r>
    </w:p>
    <w:p>
      <w:pPr>
        <w:spacing w:before="0" w:after="0"/>
        <w:ind w:left="120"/>
        <w:jc w:val="both"/>
      </w:pPr>
      <w:r>
        <w:rPr>
          <w:rFonts w:ascii="Times New Roman" w:hAnsi="Times New Roman"/>
          <w:b w:val="false"/>
          <w:i w:val="false"/>
          <w:color w:val="000000"/>
          <w:sz w:val="22"/>
        </w:rPr>
        <w:t>The taxpayers’ Iowa child and dependent care credit was $320, since they were entitled to an Iowa credit of 40 percent of their federal credit of $800. The $320 credit is allocated between the spouses on the basis of each spouse’s Iowa net income as it relates to the combined Iowa net income of both spouses as shown below:</w:t>
      </w:r>
    </w:p>
    <w:tbl>
      <w:tblPr>
        <w:tblW w:w="5000" w:type="pct"/>
        <w:tblCellSpacing w:w="0" w:type="auto"/>
        <w:tblBorders>
          <w:top w:val="none"/>
          <w:left w:val="none"/>
          <w:bottom w:val="none"/>
          <w:right w:val="none"/>
          <w:insideH w:val="none"/>
          <w:insideV w:val="none"/>
        </w:tblBorders>
        <w:tblLayout w:type="fixed"/>
      </w:tblPr>
      <w:tblGrid>
        <w:gridCol w:w="1260"/>
        <w:gridCol w:w="722"/>
        <w:gridCol w:w="530"/>
        <w:gridCol w:w="1079"/>
        <w:gridCol w:w="625"/>
        <w:gridCol w:w="721"/>
        <w:gridCol w:w="337"/>
        <w:gridCol w:w="4657"/>
        <w:gridCol w:w="1259"/>
      </w:tblGrid>
      <w:tr>
        <w:trPr>
          <w:trHeight w:val="225" w:hRule="atLeast"/>
        </w:trPr>
        <w:tc>
          <w:tcPr>
            <w:tcW w:w="12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2"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$320</w:t>
            </w:r>
          </w:p>
        </w:tc>
        <w:tc>
          <w:tcPr>
            <w:tcW w:w="530"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079"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$25,000</w:t>
            </w:r>
          </w:p>
        </w:tc>
        <w:tc>
          <w:tcPr>
            <w:tcW w:w="625"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721"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$213</w:t>
            </w:r>
          </w:p>
        </w:tc>
        <w:tc>
          <w:tcPr>
            <w:tcW w:w="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57" w:type="dxa"/>
            <w:vMerge w:val="restart"/>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child and dependent care credit for spouse with $25,000 Iowa net income </w:t>
            </w:r>
          </w:p>
        </w:tc>
        <w:tc>
          <w:tcPr>
            <w:tcW w:w="1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0" w:type="auto"/>
            <w:vMerge/>
            <w:tcBorders>
              <w:top w:val="nil"/>
            </w:tcBorders>
          </w:tcPr>
          <w:p/>
        </w:tc>
        <w:tc>
          <w:tcPr>
            <w:tcW w:w="10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$37,500</w:t>
            </w:r>
          </w:p>
        </w:tc>
        <w:tc>
          <w:tcPr>
            <w:tcW w:w="0" w:type="auto"/>
            <w:vMerge/>
            <w:tcBorders>
              <w:top w:val="nil"/>
            </w:tcBorders>
          </w:tcPr>
          <w:p/>
        </w:tc>
        <w:tc>
          <w:tcPr>
            <w:tcW w:w="0" w:type="auto"/>
            <w:vMerge/>
            <w:tcBorders>
              <w:top w:val="nil"/>
            </w:tcBorders>
          </w:tcPr>
          <w:p/>
        </w:tc>
        <w:tc>
          <w:tcPr>
            <w:tcW w:w="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1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1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2"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$320</w:t>
            </w:r>
          </w:p>
        </w:tc>
        <w:tc>
          <w:tcPr>
            <w:tcW w:w="530"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079"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$12,500</w:t>
            </w:r>
          </w:p>
        </w:tc>
        <w:tc>
          <w:tcPr>
            <w:tcW w:w="625"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721"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$107</w:t>
            </w:r>
          </w:p>
        </w:tc>
        <w:tc>
          <w:tcPr>
            <w:tcW w:w="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57" w:type="dxa"/>
            <w:vMerge w:val="restart"/>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child and dependent care credit for spouse with $12,500 Iowa net income </w:t>
            </w:r>
          </w:p>
        </w:tc>
        <w:tc>
          <w:tcPr>
            <w:tcW w:w="1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0" w:type="auto"/>
            <w:vMerge/>
            <w:tcBorders>
              <w:top w:val="nil"/>
            </w:tcBorders>
          </w:tcPr>
          <w:p/>
        </w:tc>
        <w:tc>
          <w:tcPr>
            <w:tcW w:w="1079"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$37,500</w:t>
            </w:r>
          </w:p>
        </w:tc>
        <w:tc>
          <w:tcPr>
            <w:tcW w:w="0" w:type="auto"/>
            <w:vMerge/>
            <w:tcBorders>
              <w:top w:val="nil"/>
            </w:tcBorders>
          </w:tcPr>
          <w:p/>
        </w:tc>
        <w:tc>
          <w:tcPr>
            <w:tcW w:w="0" w:type="auto"/>
            <w:vMerge/>
            <w:tcBorders>
              <w:top w:val="nil"/>
            </w:tcBorders>
          </w:tcPr>
          <w:p/>
        </w:tc>
        <w:tc>
          <w:tcPr>
            <w:tcW w:w="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1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1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304.15(3)</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Iowa child and dependent care credit for nonresidents and part-year residents. </w:t>
      </w:r>
      <w:r>
        <w:rPr>
          <w:rFonts w:ascii="Times New Roman" w:hAnsi="Times New Roman"/>
          <w:b w:val="false"/>
          <w:i w:val="false"/>
          <w:color w:val="000000"/>
          <w:sz w:val="22"/>
        </w:rPr>
        <w:t>Nonresidents and part-year residents who have income from Iowa sources in the tax year may claim child and dependent care credits on their Iowa returns. The percentage of the federal credit allowed is determined based on the nonresident or part-year resident’s all-source net income. If the nonresident or part-year resident’s all-source net income is $90,000 or higher, the taxpayer will not qualify for the Iowa child and dependent care credit regardless of the amount of the taxpayer’s Iowa-source income. To compute the amount of child and dependent care credit that can be claimed on the Iowa return by a nonresident or part-year resident, the following formula shall be used:</w:t>
      </w:r>
    </w:p>
    <w:tbl>
      <w:tblPr>
        <w:tblW w:w="5000" w:type="pct"/>
        <w:tblCellSpacing w:w="0" w:type="auto"/>
        <w:tblBorders>
          <w:top w:val="none"/>
          <w:left w:val="none"/>
          <w:bottom w:val="none"/>
          <w:right w:val="none"/>
          <w:insideH w:val="none"/>
          <w:insideV w:val="none"/>
        </w:tblBorders>
        <w:tblLayout w:type="fixed"/>
      </w:tblPr>
      <w:tblGrid>
        <w:gridCol w:w="849"/>
        <w:gridCol w:w="2443"/>
        <w:gridCol w:w="848"/>
        <w:gridCol w:w="2629"/>
        <w:gridCol w:w="864"/>
        <w:gridCol w:w="2709"/>
        <w:gridCol w:w="848"/>
      </w:tblGrid>
      <w:tr>
        <w:trPr>
          <w:trHeight w:val="225" w:hRule="atLeast"/>
        </w:trPr>
        <w:tc>
          <w:tcPr>
            <w:tcW w:w="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43" w:type="dxa"/>
            <w:vMerge w:val="restart"/>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child and</w:t>
            </w:r>
          </w:p>
          <w:p>
            <w:pPr>
              <w:spacing w:before="0" w:after="0"/>
              <w:ind w:left="160"/>
              <w:jc w:val="left"/>
            </w:pPr>
            <w:r>
              <w:rPr>
                <w:rFonts w:ascii="Times New Roman" w:hAnsi="Times New Roman"/>
                <w:b w:val="false"/>
                <w:i w:val="false"/>
                <w:color w:val="000000"/>
                <w:sz w:val="16"/>
              </w:rPr>
              <w:t>dependent care credit</w:t>
            </w:r>
          </w:p>
        </w:tc>
        <w:tc>
          <w:tcPr>
            <w:tcW w:w="8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29" w:type="dxa"/>
            <w:vMerge w:val="restart"/>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Percentage of federal</w:t>
            </w:r>
          </w:p>
          <w:p>
            <w:pPr>
              <w:spacing w:before="0" w:after="0"/>
              <w:ind w:left="160"/>
              <w:jc w:val="left"/>
            </w:pPr>
            <w:r>
              <w:rPr>
                <w:rFonts w:ascii="Times New Roman" w:hAnsi="Times New Roman"/>
                <w:b w:val="false"/>
                <w:i w:val="false"/>
                <w:color w:val="000000"/>
                <w:sz w:val="16"/>
              </w:rPr>
              <w:t>child and dependent</w:t>
            </w:r>
          </w:p>
          <w:p>
            <w:pPr>
              <w:spacing w:before="0" w:after="0"/>
              <w:ind w:left="160"/>
              <w:jc w:val="left"/>
            </w:pPr>
            <w:r>
              <w:rPr>
                <w:rFonts w:ascii="Times New Roman" w:hAnsi="Times New Roman"/>
                <w:b w:val="false"/>
                <w:i w:val="false"/>
                <w:color w:val="000000"/>
                <w:sz w:val="16"/>
              </w:rPr>
              <w:t>credit allowed on Iowa</w:t>
            </w:r>
          </w:p>
          <w:p>
            <w:pPr>
              <w:spacing w:before="0" w:after="0"/>
              <w:ind w:left="160"/>
              <w:jc w:val="left"/>
            </w:pPr>
            <w:r>
              <w:rPr>
                <w:rFonts w:ascii="Times New Roman" w:hAnsi="Times New Roman"/>
                <w:b w:val="false"/>
                <w:i w:val="false"/>
                <w:color w:val="000000"/>
                <w:sz w:val="16"/>
              </w:rPr>
              <w:t>return from table in</w:t>
            </w:r>
          </w:p>
          <w:p>
            <w:pPr>
              <w:spacing w:before="0" w:after="0"/>
              <w:ind w:left="160"/>
              <w:jc w:val="left"/>
            </w:pPr>
            <w:hyperlink r:id="rId121">
              <w:r>
                <w:rPr>
                  <w:rStyle w:val="Hyperlink"/>
                  <w:rFonts w:ascii="Times New Roman" w:hAnsi="Times New Roman"/>
                  <w:b w:val="false"/>
                  <w:i w:val="false"/>
                  <w:color w:val="000000"/>
                  <w:sz w:val="16"/>
                </w:rPr>
                <w:t>subrule 42.15(1)</w:t>
              </w:r>
            </w:hyperlink>
            <w:r>
              <w:rPr>
                <w:rFonts w:ascii="Times New Roman" w:hAnsi="Times New Roman"/>
                <w:b w:val="false"/>
                <w:i w:val="false"/>
                <w:color w:val="000000"/>
                <w:sz w:val="16"/>
              </w:rPr>
              <w:t xml:space="preserve"> based on all-source net income</w:t>
            </w:r>
          </w:p>
        </w:tc>
        <w:tc>
          <w:tcPr>
            <w:tcW w:w="8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0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net income</w:t>
            </w:r>
          </w:p>
        </w:tc>
        <w:tc>
          <w:tcPr>
            <w:tcW w:w="8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885" w:hRule="atLeast"/>
        </w:trPr>
        <w:tc>
          <w:tcPr>
            <w:tcW w:w="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848"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0" w:type="auto"/>
            <w:vMerge/>
            <w:tcBorders>
              <w:top w:val="nil"/>
            </w:tcBorders>
          </w:tcPr>
          <w:p/>
        </w:tc>
        <w:tc>
          <w:tcPr>
            <w:tcW w:w="864"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270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All-source net</w:t>
            </w:r>
          </w:p>
          <w:p>
            <w:pPr>
              <w:spacing w:before="0" w:after="0"/>
              <w:ind w:left="160"/>
              <w:jc w:val="left"/>
            </w:pPr>
            <w:r>
              <w:rPr>
                <w:rFonts w:ascii="Times New Roman" w:hAnsi="Times New Roman"/>
                <w:b w:val="false"/>
                <w:i w:val="false"/>
                <w:color w:val="000000"/>
                <w:sz w:val="16"/>
              </w:rPr>
              <w:t>income</w:t>
            </w:r>
          </w:p>
        </w:tc>
        <w:tc>
          <w:tcPr>
            <w:tcW w:w="8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70" w:hRule="atLeast"/>
        </w:trPr>
        <w:tc>
          <w:tcPr>
            <w:tcW w:w="0" w:type="auto"/>
            <w:gridSpan w:val="7"/>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net income for purposes of determining the child care credit that can be claimed on the Iowa return by a nonresident or part-year resident taxpayer is the total Iowa-source income less the Iowa-source adjustments to income as computed on the Schedule IA 126.</w:t>
            </w:r>
          </w:p>
        </w:tc>
      </w:tr>
    </w:tbl>
    <w:p>
      <w:pPr>
        <w:spacing w:before="0" w:after="0"/>
        <w:ind w:left="120"/>
        <w:jc w:val="both"/>
      </w:pPr>
      <w:r>
        <w:rPr>
          <w:rFonts w:ascii="Times New Roman" w:hAnsi="Times New Roman"/>
          <w:b w:val="false"/>
          <w:i w:val="false"/>
          <w:color w:val="000000"/>
          <w:sz w:val="22"/>
        </w:rPr>
        <w:t>In cases where married taxpayers are nonresidents or part-year residents of Iowa and are filing separate Iowa returns or are filing separately on the combined Iowa return form, the child and dependent care credit allowable on the Iowa return should be allocated between the spouses in the ratio of the Iowa net income of each spouse to the combined Iowa net income of the taxpayers.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304.15(4)</w:t>
      </w:r>
      <w:r>
        <w:rPr>
          <w:rFonts w:ascii="Times New Roman" w:hAnsi="Times New Roman"/>
          <w:b w:val="false"/>
          <w:i w:val="false"/>
          <w:color w:val="000000"/>
          <w:sz w:val="22"/>
        </w:rPr>
        <w:t> </w:t>
      </w:r>
      <w:r>
        <w:rPr>
          <w:rFonts w:ascii="Times New Roman" w:hAnsi="Times New Roman"/>
          <w:b w:val="false"/>
          <w:i/>
          <w:color w:val="000000"/>
          <w:sz w:val="22"/>
        </w:rPr>
        <w:t xml:space="preserve">Example of computation of the Iowa child and dependent care credit for nonresidents and part-year residents. </w:t>
      </w:r>
      <w:r>
        <w:rPr>
          <w:rFonts w:ascii="Times New Roman" w:hAnsi="Times New Roman"/>
          <w:b w:val="false"/>
          <w:i w:val="false"/>
          <w:color w:val="000000"/>
          <w:sz w:val="22"/>
        </w:rPr>
        <w:t>The following is an example of the computation of the Iowa child and dependent care credit for nonresidents and part-year residents.</w:t>
      </w:r>
    </w:p>
    <w:p>
      <w:pPr>
        <w:spacing w:before="0" w:after="0"/>
        <w:ind w:left="120"/>
        <w:jc w:val="both"/>
      </w:pPr>
      <w:r>
        <w:rPr>
          <w:rFonts w:ascii="Times New Roman" w:hAnsi="Times New Roman"/>
          <w:b w:val="false"/>
          <w:i w:val="false"/>
          <w:color w:val="000000"/>
          <w:sz w:val="22"/>
        </w:rPr>
        <w:t>A married couple lives in Omaha, Nebraska. One of the spouses worked in Iowa and had an Iowa-source net income of $15,000. That spouse had an all-source net income of $20,000. The second spouse had an Iowa-source net income of $10,000 and an all-source net income of $15,000. The couple had a combined Iowa-source net income of $25,000 and a combined all-source net income of $35,000. The taxpayers had a federal child and dependent care credit of $800 which related to expenses incurred for the care of their two young children. The taxpayers’ Iowa child and dependent care credit is calculated below:</w:t>
      </w:r>
    </w:p>
    <w:tbl>
      <w:tblPr>
        <w:tblW w:w="5000" w:type="pct"/>
        <w:tblCellSpacing w:w="0" w:type="auto"/>
        <w:tblBorders>
          <w:top w:val="none"/>
          <w:left w:val="none"/>
          <w:bottom w:val="none"/>
          <w:right w:val="none"/>
          <w:insideH w:val="none"/>
          <w:insideV w:val="none"/>
        </w:tblBorders>
        <w:tblLayout w:type="fixed"/>
      </w:tblPr>
      <w:tblGrid>
        <w:gridCol w:w="1738"/>
        <w:gridCol w:w="1200"/>
        <w:gridCol w:w="576"/>
        <w:gridCol w:w="582"/>
        <w:gridCol w:w="384"/>
        <w:gridCol w:w="899"/>
        <w:gridCol w:w="576"/>
        <w:gridCol w:w="840"/>
        <w:gridCol w:w="398"/>
        <w:gridCol w:w="1152"/>
        <w:gridCol w:w="1867"/>
        <w:gridCol w:w="977"/>
      </w:tblGrid>
      <w:tr>
        <w:trPr>
          <w:trHeight w:val="225" w:hRule="atLeast"/>
        </w:trPr>
        <w:tc>
          <w:tcPr>
            <w:tcW w:w="17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00" w:type="dxa"/>
            <w:vMerge w:val="restart"/>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Federal child and</w:t>
            </w:r>
          </w:p>
          <w:p>
            <w:pPr>
              <w:spacing w:before="0" w:after="0"/>
              <w:ind w:left="160"/>
              <w:jc w:val="left"/>
            </w:pPr>
            <w:r>
              <w:rPr>
                <w:rFonts w:ascii="Times New Roman" w:hAnsi="Times New Roman"/>
                <w:b w:val="false"/>
                <w:i w:val="false"/>
                <w:color w:val="000000"/>
                <w:sz w:val="16"/>
              </w:rPr>
              <w:t>dependent care credit</w:t>
            </w: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vMerge w:val="restart"/>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Percentage of federal child and dependent credit allowed on Iowa return</w:t>
            </w: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Iowa-source net income</w:t>
            </w:r>
          </w:p>
        </w:tc>
        <w:tc>
          <w:tcPr>
            <w:tcW w:w="1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05" w:hRule="atLeast"/>
        </w:trPr>
        <w:tc>
          <w:tcPr>
            <w:tcW w:w="17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vMerge/>
            <w:tcBorders>
              <w:top w:val="nil"/>
            </w:tcBorders>
          </w:tcP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4"/>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All-source net income</w:t>
            </w:r>
          </w:p>
        </w:tc>
        <w:tc>
          <w:tcPr>
            <w:tcW w:w="9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7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00"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$800</w:t>
            </w:r>
          </w:p>
        </w:tc>
        <w:tc>
          <w:tcPr>
            <w:tcW w:w="57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82"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40%</w:t>
            </w:r>
          </w:p>
        </w:tc>
        <w:tc>
          <w:tcPr>
            <w:tcW w:w="384"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w:t>
            </w:r>
          </w:p>
        </w:tc>
        <w:tc>
          <w:tcPr>
            <w:tcW w:w="899"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$320</w:t>
            </w:r>
          </w:p>
        </w:tc>
        <w:tc>
          <w:tcPr>
            <w:tcW w:w="57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840"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$25,000</w:t>
            </w:r>
          </w:p>
        </w:tc>
        <w:tc>
          <w:tcPr>
            <w:tcW w:w="398"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152"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xml:space="preserve"> $229</w:t>
            </w:r>
          </w:p>
        </w:tc>
        <w:tc>
          <w:tcPr>
            <w:tcW w:w="1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7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84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xml:space="preserve"> $35,000</w:t>
            </w:r>
          </w:p>
        </w:tc>
        <w:tc>
          <w:tcPr>
            <w:tcW w:w="0" w:type="auto"/>
            <w:vMerge/>
            <w:tcBorders>
              <w:top w:val="nil"/>
            </w:tcBorders>
          </w:tcPr>
          <w:p/>
        </w:tc>
        <w:tc>
          <w:tcPr>
            <w:tcW w:w="0" w:type="auto"/>
            <w:vMerge/>
            <w:tcBorders>
              <w:top w:val="nil"/>
            </w:tcBorders>
          </w:tcPr>
          <w:p/>
        </w:tc>
        <w:tc>
          <w:tcPr>
            <w:tcW w:w="1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11"/>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 $229 credit is allocated between the spouses as shown below:</w:t>
            </w:r>
          </w:p>
        </w:tc>
      </w:tr>
    </w:tbl>
    <w:tbl>
      <w:tblPr>
        <w:tblW w:w="5000" w:type="pct"/>
        <w:tblCellSpacing w:w="0" w:type="auto"/>
        <w:tblBorders>
          <w:top w:val="none"/>
          <w:left w:val="none"/>
          <w:bottom w:val="none"/>
          <w:right w:val="none"/>
          <w:insideH w:val="none"/>
          <w:insideV w:val="none"/>
        </w:tblBorders>
        <w:tblLayout w:type="fixed"/>
      </w:tblPr>
      <w:tblGrid>
        <w:gridCol w:w="2177"/>
        <w:gridCol w:w="574"/>
        <w:gridCol w:w="266"/>
        <w:gridCol w:w="516"/>
        <w:gridCol w:w="323"/>
        <w:gridCol w:w="1056"/>
        <w:gridCol w:w="611"/>
        <w:gridCol w:w="3491"/>
        <w:gridCol w:w="2176"/>
      </w:tblGrid>
      <w:tr>
        <w:trPr>
          <w:trHeight w:val="225" w:hRule="atLeast"/>
        </w:trPr>
        <w:tc>
          <w:tcPr>
            <w:tcW w:w="2177" w:type="dxa"/>
            <w:vMerge w:val="restart"/>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4"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 xml:space="preserve"> $229</w:t>
            </w:r>
          </w:p>
        </w:tc>
        <w:tc>
          <w:tcPr>
            <w:tcW w:w="26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 </w:t>
            </w:r>
          </w:p>
        </w:tc>
        <w:tc>
          <w:tcPr>
            <w:tcW w:w="51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32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05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$15,000</w:t>
            </w:r>
          </w:p>
        </w:tc>
        <w:tc>
          <w:tcPr>
            <w:tcW w:w="611"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3491" w:type="dxa"/>
            <w:vMerge w:val="restart"/>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$137 for spouse with Iowa-source net income of $15,000</w:t>
            </w:r>
          </w:p>
        </w:tc>
        <w:tc>
          <w:tcPr>
            <w:tcW w:w="2176" w:type="dxa"/>
            <w:vMerge w:val="restart"/>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85" w:hRule="atLeast"/>
        </w:trPr>
        <w:tc>
          <w:tcPr>
            <w:tcW w:w="0" w:type="auto"/>
            <w:vMerge/>
            <w:tcBorders>
              <w:top w:val="nil"/>
            </w:tcBorders>
          </w:tcPr>
          <w:p/>
        </w:tc>
        <w:tc>
          <w:tcPr>
            <w:tcW w:w="0" w:type="auto"/>
            <w:vMerge/>
            <w:tcBorders>
              <w:top w:val="nil"/>
            </w:tcBorders>
          </w:tcPr>
          <w:p/>
        </w:tc>
        <w:tc>
          <w:tcPr>
            <w:tcW w:w="26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 </w:t>
            </w:r>
          </w:p>
        </w:tc>
        <w:tc>
          <w:tcPr>
            <w:tcW w:w="0" w:type="auto"/>
            <w:vMerge/>
            <w:tcBorders>
              <w:top w:val="nil"/>
            </w:tcBorders>
          </w:tcPr>
          <w:p/>
        </w:tc>
        <w:tc>
          <w:tcPr>
            <w:tcW w:w="32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0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$25,000</w:t>
            </w:r>
          </w:p>
        </w:tc>
        <w:tc>
          <w:tcPr>
            <w:tcW w:w="0" w:type="auto"/>
            <w:vMerge/>
            <w:tcBorders>
              <w:top w:val="nil"/>
            </w:tcBorders>
          </w:tcPr>
          <w:p/>
        </w:tc>
        <w:tc>
          <w:tcPr>
            <w:tcW w:w="0" w:type="auto"/>
            <w:vMerge/>
            <w:tcBorders>
              <w:top w:val="nil"/>
            </w:tcBorders>
          </w:tcPr>
          <w:p/>
        </w:tc>
        <w:tc>
          <w:tcPr>
            <w:tcW w:w="0" w:type="auto"/>
            <w:vMerge/>
            <w:tcBorders>
              <w:top w:val="nil"/>
            </w:tcBorders>
          </w:tcPr>
          <w:p/>
        </w:tc>
      </w:tr>
      <w:tr>
        <w:trPr>
          <w:trHeight w:val="210" w:hRule="atLeast"/>
        </w:trPr>
        <w:tc>
          <w:tcPr>
            <w:tcW w:w="21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177" w:type="dxa"/>
            <w:vMerge w:val="restart"/>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4"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 xml:space="preserve"> $229</w:t>
            </w:r>
          </w:p>
        </w:tc>
        <w:tc>
          <w:tcPr>
            <w:tcW w:w="26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 </w:t>
            </w:r>
          </w:p>
        </w:tc>
        <w:tc>
          <w:tcPr>
            <w:tcW w:w="51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32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05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$10,000</w:t>
            </w:r>
          </w:p>
        </w:tc>
        <w:tc>
          <w:tcPr>
            <w:tcW w:w="611"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3491" w:type="dxa"/>
            <w:vMerge w:val="restart"/>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$92 for spouse with Iowa-source net income of $10,000</w:t>
            </w:r>
          </w:p>
        </w:tc>
        <w:tc>
          <w:tcPr>
            <w:tcW w:w="2176" w:type="dxa"/>
            <w:vMerge w:val="restart"/>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85" w:hRule="atLeast"/>
        </w:trPr>
        <w:tc>
          <w:tcPr>
            <w:tcW w:w="0" w:type="auto"/>
            <w:vMerge/>
            <w:tcBorders>
              <w:top w:val="nil"/>
            </w:tcBorders>
          </w:tcPr>
          <w:p/>
        </w:tc>
        <w:tc>
          <w:tcPr>
            <w:tcW w:w="0" w:type="auto"/>
            <w:vMerge/>
            <w:tcBorders>
              <w:top w:val="nil"/>
            </w:tcBorders>
          </w:tcPr>
          <w:p/>
        </w:tc>
        <w:tc>
          <w:tcPr>
            <w:tcW w:w="26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 </w:t>
            </w:r>
          </w:p>
        </w:tc>
        <w:tc>
          <w:tcPr>
            <w:tcW w:w="0" w:type="auto"/>
            <w:vMerge/>
            <w:tcBorders>
              <w:top w:val="nil"/>
            </w:tcBorders>
          </w:tcPr>
          <w:p/>
        </w:tc>
        <w:tc>
          <w:tcPr>
            <w:tcW w:w="32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0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$25,000</w:t>
            </w:r>
          </w:p>
        </w:tc>
        <w:tc>
          <w:tcPr>
            <w:tcW w:w="0" w:type="auto"/>
            <w:vMerge/>
            <w:tcBorders>
              <w:top w:val="nil"/>
            </w:tcBorders>
          </w:tcPr>
          <w:p/>
        </w:tc>
        <w:tc>
          <w:tcPr>
            <w:tcW w:w="0" w:type="auto"/>
            <w:vMerge/>
            <w:tcBorders>
              <w:top w:val="nil"/>
            </w:tcBorders>
          </w:tcPr>
          <w:p/>
        </w:tc>
        <w:tc>
          <w:tcPr>
            <w:tcW w:w="0" w:type="auto"/>
            <w:vMerge/>
            <w:tcBorders>
              <w:top w:val="nil"/>
            </w:tcBorders>
          </w:tcPr>
          <w:p/>
        </w:tc>
      </w:tr>
      <w:tr>
        <w:trPr>
          <w:trHeight w:val="210" w:hRule="atLeast"/>
        </w:trPr>
        <w:tc>
          <w:tcPr>
            <w:tcW w:w="21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2">
        <w:r>
          <w:rPr>
            <w:rStyle w:val="Hyperlink"/>
            <w:rFonts w:ascii="Times New Roman" w:hAnsi="Times New Roman"/>
            <w:b w:val="false"/>
            <w:i w:val="false"/>
            <w:color w:val="000000"/>
            <w:sz w:val="22"/>
          </w:rPr>
          <w:t>422.12C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6149C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701—304.16</w:t>
      </w:r>
      <w:r>
        <w:rPr>
          <w:rFonts w:ascii="Times New Roman" w:hAnsi="Times New Roman"/>
          <w:b/>
          <w:i w:val="false"/>
          <w:color w:val="000000"/>
          <w:sz w:val="22"/>
        </w:rPr>
        <w:t xml:space="preserve">(422) </w:t>
      </w:r>
      <w:r>
        <w:rPr>
          <w:rFonts w:ascii="Times New Roman" w:hAnsi="Times New Roman"/>
          <w:b/>
          <w:i w:val="false"/>
          <w:color w:val="000000"/>
          <w:sz w:val="22"/>
        </w:rPr>
        <w:t xml:space="preserve">Franchise tax credit. </w:t>
      </w:r>
      <w:r>
        <w:rPr>
          <w:rFonts w:ascii="Times New Roman" w:hAnsi="Times New Roman"/>
          <w:b w:val="false"/>
          <w:i w:val="false"/>
          <w:color w:val="000000"/>
          <w:sz w:val="22"/>
        </w:rPr>
        <w:t xml:space="preserve">For tax years beginning on or after January 1, 1997, a shareholder in a financial institution, as defined in </w:t>
      </w:r>
      <w:r>
        <w:rPr>
          <w:rFonts w:ascii="Times New Roman" w:hAnsi="Times New Roman"/>
          <w:b w:val="false"/>
          <w:i w:val="false"/>
          <w:color w:val="000000"/>
          <w:sz w:val="22"/>
        </w:rPr>
        <w:t>Section 581 of the Internal Revenue Code</w:t>
      </w:r>
      <w:r>
        <w:rPr>
          <w:rFonts w:ascii="Times New Roman" w:hAnsi="Times New Roman"/>
          <w:b w:val="false"/>
          <w:i w:val="false"/>
          <w:color w:val="000000"/>
          <w:sz w:val="22"/>
        </w:rPr>
        <w:t>, which has elected to have its income taxed directly to the shareholders may take a tax credit equal to the shareholder’s pro rata share of the Iowa franchise tax paid by the financial institution.</w:t>
      </w:r>
    </w:p>
    <w:p>
      <w:pPr>
        <w:spacing w:before="0" w:after="0"/>
        <w:ind w:left="120"/>
        <w:jc w:val="both"/>
      </w:pPr>
      <w:r>
        <w:rPr>
          <w:rFonts w:ascii="Times New Roman" w:hAnsi="Times New Roman"/>
          <w:b w:val="false"/>
          <w:i w:val="false"/>
          <w:color w:val="000000"/>
          <w:sz w:val="22"/>
        </w:rPr>
        <w:t>For tax years beginning on or after July 1, 2004, a member of a financial institution organized as a limited liability company that is taxed as a partnership for federal income tax purposes which has elected to have its income taxed directly to its members may take a tax credit equal to the member’s pro rata share of the Iowa franchise tax paid by the financial institution.</w:t>
      </w:r>
    </w:p>
    <w:p>
      <w:pPr>
        <w:spacing w:before="0" w:after="0"/>
        <w:ind w:left="120"/>
        <w:jc w:val="both"/>
      </w:pPr>
      <w:r>
        <w:rPr>
          <w:rFonts w:ascii="Times New Roman" w:hAnsi="Times New Roman"/>
          <w:b w:val="false"/>
          <w:i w:val="false"/>
          <w:color w:val="000000"/>
          <w:sz w:val="22"/>
        </w:rPr>
        <w:t xml:space="preserve">The credit must be computed by recomputing the amount of tax computed under Iowa Code section </w:t>
      </w:r>
      <w:hyperlink r:id="rId123">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by reducing the shareholder’s or member’s taxable income by the shareholder’s or member’s pro rata share of the items of income and expenses of the financial institution and subtracting the credits allowed in Iowa Code sections </w:t>
      </w:r>
      <w:hyperlink r:id="rId124">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and </w:t>
      </w:r>
      <w:hyperlink r:id="rId125">
        <w:r>
          <w:rPr>
            <w:rStyle w:val="Hyperlink"/>
            <w:rFonts w:ascii="Times New Roman" w:hAnsi="Times New Roman"/>
            <w:b w:val="false"/>
            <w:i w:val="false"/>
            <w:color w:val="000000"/>
            <w:sz w:val="22"/>
          </w:rPr>
          <w:t>422.12B</w:t>
        </w:r>
      </w:hyperlink>
      <w:r>
        <w:rPr>
          <w:rFonts w:ascii="Times New Roman" w:hAnsi="Times New Roman"/>
          <w:b w:val="false"/>
          <w:i w:val="false"/>
          <w:color w:val="000000"/>
          <w:sz w:val="22"/>
        </w:rPr>
        <w:t xml:space="preserve"> for tax years beginning prior to January 1, 2007. The recomputed tax must be subtracted from the amount of tax computed under Iowa Code section </w:t>
      </w:r>
      <w:hyperlink r:id="rId126">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reduced by the credits allowed in Iowa Code sections </w:t>
      </w:r>
      <w:hyperlink r:id="rId127">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422.12B</w:t>
        </w:r>
      </w:hyperlink>
      <w:r>
        <w:rPr>
          <w:rFonts w:ascii="Times New Roman" w:hAnsi="Times New Roman"/>
          <w:b w:val="false"/>
          <w:i w:val="false"/>
          <w:color w:val="000000"/>
          <w:sz w:val="22"/>
        </w:rPr>
        <w:t xml:space="preserve"> for tax years beginning prior to January 1, 2007. For tax years beginning on or after January 1, 2007, only the credits allowed in Iowa Code section </w:t>
      </w:r>
      <w:hyperlink r:id="rId129">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are reduced in computing the franchise tax credit.</w:t>
      </w:r>
    </w:p>
    <w:p>
      <w:pPr>
        <w:spacing w:before="0" w:after="0"/>
        <w:ind w:left="120"/>
        <w:jc w:val="both"/>
      </w:pPr>
      <w:r>
        <w:rPr>
          <w:rFonts w:ascii="Times New Roman" w:hAnsi="Times New Roman"/>
          <w:b w:val="false"/>
          <w:i w:val="false"/>
          <w:color w:val="000000"/>
          <w:sz w:val="22"/>
        </w:rPr>
        <w:t>The resulting amount, not to exceed the shareholder’s or member’s pro rata share of the franchise tax paid by the financial institution, is the amount of tax credit allowed the shareholder or member.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0">
        <w:r>
          <w:rPr>
            <w:rStyle w:val="Hyperlink"/>
            <w:rFonts w:ascii="Times New Roman" w:hAnsi="Times New Roman"/>
            <w:b w:val="false"/>
            <w:i w:val="false"/>
            <w:color w:val="000000"/>
            <w:sz w:val="22"/>
          </w:rPr>
          <w:t>422.11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701—304.17</w:t>
      </w:r>
      <w:r>
        <w:rPr>
          <w:rFonts w:ascii="Times New Roman" w:hAnsi="Times New Roman"/>
          <w:b/>
          <w:i w:val="false"/>
          <w:color w:val="000000"/>
          <w:sz w:val="22"/>
        </w:rPr>
        <w:t xml:space="preserve">(15E) </w:t>
      </w:r>
      <w:r>
        <w:rPr>
          <w:rFonts w:ascii="Times New Roman" w:hAnsi="Times New Roman"/>
          <w:b/>
          <w:i w:val="false"/>
          <w:color w:val="000000"/>
          <w:sz w:val="22"/>
        </w:rPr>
        <w:t xml:space="preserve">Eligible housing business tax credit. </w:t>
      </w:r>
      <w:r>
        <w:rPr>
          <w:rFonts w:ascii="Times New Roman" w:hAnsi="Times New Roman"/>
          <w:b w:val="false"/>
          <w:i w:val="false"/>
          <w:color w:val="000000"/>
          <w:sz w:val="22"/>
        </w:rPr>
        <w:t xml:space="preserve">An individual who qualifies as an eligible housing business may receive a tax credit of up to 10 percent of the new investment which is directly related to the building or rehabilitating of homes in an enterprise zone. The enterprise zone program was repealed on July 1, 2014, and the eligible housing business tax credit has been replaced with the workforce housing tax incentives program. See rule </w:t>
      </w:r>
      <w:hyperlink r:id="rId131">
        <w:r>
          <w:rPr>
            <w:rStyle w:val="Hyperlink"/>
            <w:rFonts w:ascii="Times New Roman" w:hAnsi="Times New Roman"/>
            <w:b w:val="false"/>
            <w:i w:val="false"/>
            <w:color w:val="000000"/>
            <w:sz w:val="22"/>
          </w:rPr>
          <w:t>701—304.53</w:t>
        </w:r>
      </w:hyperlink>
      <w:r>
        <w:rPr>
          <w:rFonts w:ascii="Times New Roman" w:hAnsi="Times New Roman"/>
          <w:b w:val="false"/>
          <w:i w:val="false"/>
          <w:color w:val="000000"/>
          <w:sz w:val="22"/>
        </w:rPr>
        <w:t>(15) for information on the tax incentives provided under the workforce housing tax incentives program. Any investment tax credit earned by businesses approved under the enterprise zone program prior to July 1, 2014, remains valid and can be claimed on tax returns filed after July 1, 2014. The tax credit may be taken on the tax return for the tax year in which the home is ready for occupancy.</w:t>
      </w:r>
    </w:p>
    <w:p>
      <w:pPr>
        <w:spacing w:before="0" w:after="0"/>
        <w:ind w:left="120"/>
        <w:jc w:val="both"/>
      </w:pPr>
      <w:r>
        <w:rPr>
          <w:rFonts w:ascii="Times New Roman" w:hAnsi="Times New Roman"/>
          <w:b w:val="false"/>
          <w:i w:val="false"/>
          <w:color w:val="000000"/>
          <w:sz w:val="22"/>
        </w:rPr>
        <w:t xml:space="preserve">An eligible housing business is one which meets the criteria in 2014 Iowa Code section </w:t>
      </w:r>
      <w:hyperlink r:id="rId132">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304.17(1)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credit. </w:t>
      </w:r>
      <w:r>
        <w:rPr>
          <w:rFonts w:ascii="Times New Roman" w:hAnsi="Times New Roman"/>
          <w:b w:val="false"/>
          <w:i w:val="false"/>
          <w:color w:val="000000"/>
          <w:sz w:val="22"/>
        </w:rPr>
        <w:t>New investment which is directly related to the building or rehabilitating of homes includes but is not limited to the following costs: land, surveying, architectural services, building permits, inspections, interest on a construction loan, building materials, roofing, plumbing materials, electrical materials, amounts paid to subcontractors for labor and materials provided, concrete, labor, landscaping, appliances normally provided with a new home, heating and cooling equipment, millwork, drywall and drywall materials, nails, bolts, screws, and floor coverings.</w:t>
      </w:r>
    </w:p>
    <w:p>
      <w:pPr>
        <w:spacing w:before="0" w:after="0"/>
        <w:ind w:left="120"/>
        <w:jc w:val="both"/>
      </w:pPr>
      <w:r>
        <w:rPr>
          <w:rFonts w:ascii="Times New Roman" w:hAnsi="Times New Roman"/>
          <w:b w:val="false"/>
          <w:i w:val="false"/>
          <w:color w:val="000000"/>
          <w:sz w:val="22"/>
        </w:rPr>
        <w:t>New investment does not include the machinery, equipment, or hand or power tools necessary to build or rehabilitate homes.</w:t>
      </w:r>
    </w:p>
    <w:p>
      <w:pPr>
        <w:spacing w:before="0" w:after="0"/>
        <w:ind w:left="120"/>
        <w:jc w:val="both"/>
      </w:pPr>
      <w:r>
        <w:rPr>
          <w:rFonts w:ascii="Times New Roman" w:hAnsi="Times New Roman"/>
          <w:b w:val="false"/>
          <w:i w:val="false"/>
          <w:color w:val="000000"/>
          <w:sz w:val="22"/>
        </w:rPr>
        <w:t xml:space="preserve">A taxpayer may claim on the taxpayer’s individual income tax return the pro rata share of the Iowa eligible housing business tax credit from a partnership, S corporation, limited liability company, estate, or trust. The portion of the credit claimed by the individual shall be in the same ratio as the individual’s pro rata share of the earnings of the partnership, S corporation, limited liability company, or estate or trust, except for projects beginning on or after July 1, 2005, which used low-income housing tax credits authorized under </w:t>
      </w:r>
      <w:r>
        <w:rPr>
          <w:rFonts w:ascii="Times New Roman" w:hAnsi="Times New Roman"/>
          <w:b w:val="false"/>
          <w:i w:val="false"/>
          <w:color w:val="000000"/>
          <w:sz w:val="22"/>
        </w:rPr>
        <w:t>Section 42 of the Internal Revenue Code</w:t>
      </w:r>
      <w:r>
        <w:rPr>
          <w:rFonts w:ascii="Times New Roman" w:hAnsi="Times New Roman"/>
          <w:b w:val="false"/>
          <w:i w:val="false"/>
          <w:color w:val="000000"/>
          <w:sz w:val="22"/>
        </w:rPr>
        <w:t xml:space="preserve"> to assist in the financing of the housing development. For these projects, the partnership, limited liability company or S corporation may designate the amount of the tax credit to be allocated to each partner, member or shareholder.</w:t>
      </w:r>
    </w:p>
    <w:p>
      <w:pPr>
        <w:spacing w:before="0" w:after="0"/>
        <w:ind w:left="120"/>
        <w:jc w:val="both"/>
      </w:pPr>
      <w:r>
        <w:rPr>
          <w:rFonts w:ascii="Times New Roman" w:hAnsi="Times New Roman"/>
          <w:b w:val="false"/>
          <w:i w:val="false"/>
          <w:color w:val="000000"/>
          <w:sz w:val="22"/>
        </w:rPr>
        <w:t xml:space="preserve">For tax years beginning prior to January 1, 2007, any Iowa eligible housing business tax credit in excess of the individual’s tax liability, less the credits authorized in Iowa Code sections </w:t>
      </w:r>
      <w:hyperlink r:id="rId133">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and </w:t>
      </w:r>
      <w:hyperlink r:id="rId134">
        <w:r>
          <w:rPr>
            <w:rStyle w:val="Hyperlink"/>
            <w:rFonts w:ascii="Times New Roman" w:hAnsi="Times New Roman"/>
            <w:b w:val="false"/>
            <w:i w:val="false"/>
            <w:color w:val="000000"/>
            <w:sz w:val="22"/>
          </w:rPr>
          <w:t>422.12B</w:t>
        </w:r>
      </w:hyperlink>
      <w:r>
        <w:rPr>
          <w:rFonts w:ascii="Times New Roman" w:hAnsi="Times New Roman"/>
          <w:b w:val="false"/>
          <w:i w:val="false"/>
          <w:color w:val="000000"/>
          <w:sz w:val="22"/>
        </w:rPr>
        <w:t xml:space="preserve">, may be carried forward for seven years or until it is used, whichever is the earlier. For tax years beginning on or after January 1, 2007, any Iowa eligible housing business tax credit in excess of the individual’s tax liability less the credits authorized in Iowa Code section </w:t>
      </w:r>
      <w:hyperlink r:id="rId135">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may be carried forward for seven years or until it is used, whichever is the earlier.</w:t>
      </w:r>
    </w:p>
    <w:p>
      <w:pPr>
        <w:spacing w:before="0" w:after="0"/>
        <w:ind w:left="120"/>
        <w:jc w:val="both"/>
      </w:pPr>
      <w:r>
        <w:rPr>
          <w:rFonts w:ascii="Times New Roman" w:hAnsi="Times New Roman"/>
          <w:b w:val="false"/>
          <w:i w:val="false"/>
          <w:color w:val="000000"/>
          <w:sz w:val="22"/>
        </w:rPr>
        <w:t xml:space="preserve">If the eligible housing business fails to maintain the requirements of 2014 Iowa Code section </w:t>
      </w:r>
      <w:hyperlink r:id="rId136">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 xml:space="preserve">, the taxpayer, in order to be an eligible housing business, may be required to repay all or a part of the tax incentives the taxpayer received. Irrespective of the fact that the statute of limitations to assess the taxpayer for repayment of the income tax credit may have expired, the department may proceed to collect the tax incentives forfeited by failure to maintain the requirements of 2014 Iowa Code section </w:t>
      </w:r>
      <w:hyperlink r:id="rId137">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 xml:space="preserve">. This repayment is required because it is a recovery of an incentive, rather than an adjustment to the taxpayer’s tax liability. Details on the calculation of the repayment can be found in </w:t>
      </w:r>
      <w:hyperlink r:id="rId138">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Prior to January 1, 2001, the tax credit cannot exceed 10 percent of $120,000 for each home or individual unit in a multiple dwelling unit building. Effective January 1, 2001, the tax credit cannot exceed 10 percent of $140,000 for each home or individual unit in a multiple dwelling unit building.</w:t>
      </w:r>
    </w:p>
    <w:p>
      <w:pPr>
        <w:spacing w:before="0" w:after="0"/>
        <w:ind w:left="120"/>
        <w:jc w:val="both"/>
      </w:pPr>
      <w:r>
        <w:rPr>
          <w:rFonts w:ascii="Times New Roman" w:hAnsi="Times New Roman"/>
          <w:b w:val="false"/>
          <w:i w:val="false"/>
          <w:color w:val="000000"/>
          <w:sz w:val="22"/>
        </w:rPr>
        <w:t xml:space="preserve">Effective for tax periods beginning on or after January 1, 2003, the taxpayer must receive a tax credit certificate from the economic development authority to claim the eligible housing business tax credit. The tax credit certificate shall include the taxpayer’s name, the taxpayer’s address, the taxpayer’s tax identification number, the date the project was completed, the amount of the eligible housing business tax credit and the tax year for which the credit may be claimed. In addition, the tax credit certificate shall include a place for the name and tax identification number of a transferee and the amount of the tax credit being transferred, as provided in subrule </w:t>
      </w:r>
      <w:hyperlink r:id="rId139">
        <w:r>
          <w:rPr>
            <w:rStyle w:val="Hyperlink"/>
            <w:rFonts w:ascii="Times New Roman" w:hAnsi="Times New Roman"/>
            <w:b w:val="false"/>
            <w:i w:val="false"/>
            <w:color w:val="000000"/>
            <w:sz w:val="22"/>
          </w:rPr>
          <w:t>304.17(2)</w:t>
        </w:r>
      </w:hyperlink>
      <w:r>
        <w:rPr>
          <w:rFonts w:ascii="Times New Roman" w:hAnsi="Times New Roman"/>
          <w:b w:val="false"/>
          <w:i w:val="false"/>
          <w:color w:val="000000"/>
          <w:sz w:val="22"/>
        </w:rPr>
        <w:t xml:space="preserve">. The tax credit certificate must be included with the income tax return for the tax period in which the home is ready for occupancy. The administrative rules for the eligible housing business tax credit for the economic development authority may be found under </w:t>
      </w:r>
      <w:hyperlink r:id="rId140">
        <w:r>
          <w:rPr>
            <w:rStyle w:val="Hyperlink"/>
            <w:rFonts w:ascii="Times New Roman" w:hAnsi="Times New Roman"/>
            <w:b w:val="false"/>
            <w:i w:val="false"/>
            <w:color w:val="000000"/>
            <w:sz w:val="22"/>
          </w:rPr>
          <w:t>261—Chapter 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304.17(2)</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eligible housing business tax credit. </w:t>
      </w:r>
      <w:r>
        <w:rPr>
          <w:rFonts w:ascii="Times New Roman" w:hAnsi="Times New Roman"/>
          <w:b w:val="false"/>
          <w:i w:val="false"/>
          <w:color w:val="000000"/>
          <w:sz w:val="22"/>
        </w:rPr>
        <w:t xml:space="preserve">For tax periods beginning on or after January 1, 2003, the eligible housing business tax credit certificates may be transferred to any person or entity if low-income housing tax credits authorized under </w:t>
      </w:r>
      <w:r>
        <w:rPr>
          <w:rFonts w:ascii="Times New Roman" w:hAnsi="Times New Roman"/>
          <w:b w:val="false"/>
          <w:i w:val="false"/>
          <w:color w:val="000000"/>
          <w:sz w:val="22"/>
        </w:rPr>
        <w:t>Section 42 of the Internal Revenue Code</w:t>
      </w:r>
      <w:r>
        <w:rPr>
          <w:rFonts w:ascii="Times New Roman" w:hAnsi="Times New Roman"/>
          <w:b w:val="false"/>
          <w:i w:val="false"/>
          <w:color w:val="000000"/>
          <w:sz w:val="22"/>
        </w:rPr>
        <w:t xml:space="preserve"> are used to assist in the financing of the housing development. In addition, the eligible housing business tax credit certificates may be transferred to any person or entity for projects beginning on or after July 1, 2005, if the housing development is located in a brownfield site as defined in Iowa Code section </w:t>
      </w:r>
      <w:hyperlink r:id="rId141">
        <w:r>
          <w:rPr>
            <w:rStyle w:val="Hyperlink"/>
            <w:rFonts w:ascii="Times New Roman" w:hAnsi="Times New Roman"/>
            <w:b w:val="false"/>
            <w:i w:val="false"/>
            <w:color w:val="000000"/>
            <w:sz w:val="22"/>
          </w:rPr>
          <w:t>15.291</w:t>
        </w:r>
      </w:hyperlink>
      <w:r>
        <w:rPr>
          <w:rFonts w:ascii="Times New Roman" w:hAnsi="Times New Roman"/>
          <w:b w:val="false"/>
          <w:i w:val="false"/>
          <w:color w:val="000000"/>
          <w:sz w:val="22"/>
        </w:rPr>
        <w:t xml:space="preserve">, or if the housing development is located in a blighted area as defined in Iowa Code section </w:t>
      </w:r>
      <w:hyperlink r:id="rId142">
        <w:r>
          <w:rPr>
            <w:rStyle w:val="Hyperlink"/>
            <w:rFonts w:ascii="Times New Roman" w:hAnsi="Times New Roman"/>
            <w:b w:val="false"/>
            <w:i w:val="false"/>
            <w:color w:val="000000"/>
            <w:sz w:val="22"/>
          </w:rPr>
          <w:t>403.17</w:t>
        </w:r>
      </w:hyperlink>
      <w:r>
        <w:rPr>
          <w:rFonts w:ascii="Times New Roman" w:hAnsi="Times New Roman"/>
          <w:b w:val="false"/>
          <w:i w:val="false"/>
          <w:color w:val="000000"/>
          <w:sz w:val="22"/>
        </w:rPr>
        <w:t>. No more than $3 million of tax credits for housing developments located in brownfield sites or blighted areas may be transferred in a calendar year, with no more than $1.5 million being transferred for any one eligible housing business in a calendar year.</w:t>
      </w:r>
    </w:p>
    <w:p>
      <w:pPr>
        <w:spacing w:before="0" w:after="0"/>
        <w:ind w:left="120"/>
        <w:jc w:val="both"/>
      </w:pPr>
      <w:r>
        <w:rPr>
          <w:rFonts w:ascii="Times New Roman" w:hAnsi="Times New Roman"/>
          <w:b w:val="false"/>
          <w:i w:val="false"/>
          <w:color w:val="000000"/>
          <w:sz w:val="22"/>
        </w:rPr>
        <w:t>The excess of the $3 million limitation of tax credits eligible for transfer in the 2013 and 2014 calendar years for housing developments located in brownfield sites or blighted areas cannot be claimed by a transferee prior to January 1, 2016. The eligible housing business must have notified the economic development authority in writing before July 1, 2014, of the business’s intent to transfer any tax credits for housing developments located in brownfield sites or blighted areas. If a tax credit certificate is issued by the economic development authority for a housing development approved prior to July 1, 2014, that is located in a brownfield site or blighted area, the tax credit can still be claimed by the eligible business, but the tax credit cannot be transferred by the eligible business if the economic development authority was not notified prior to July 1, 2014.</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housing development located in a brownfield site was completed in December 2013 and was issued a tax credit certificate totaling $250,000. The $3 million calendar cap for transferred tax credits for brownfield sites and blighted areas has already been reached for the 2013 and 2014 tax years. The $250,000 tax credit is going to be transferred to Bill Smith, and the economic development authority was notified of the transfer prior to July 1, 2014. Once a replacement tax credit certificate has been issued,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Smith cannot file an amended Iowa individual income tax return for the 2013 tax year until January 1, 2016, to claim the $250,000 tax credit.</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housing development located in a blighted area was completed in May 2014 and was issued a tax credit certificate totaling $150,000. The $3 million calendar cap for transferred tax credits for brownfield sites and blighted areas has already been reached for the 2014 tax year. The $150,000 tax credit is going to be transferred to Greg Rogers, and the economic development authority was notified of the transfer prior to July 1, 2014. Once a replacement tax credit certificate has been issued,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Rogers cannot file an amended Iowa individual income tax return for the 2014 tax year until January 1, 2016, to claim the $150,000 tax credit.</w:t>
      </w:r>
    </w:p>
    <w:p>
      <w:pPr>
        <w:spacing w:before="0" w:after="0"/>
        <w:ind w:left="120"/>
        <w:jc w:val="both"/>
      </w:pPr>
      <w:r>
        <w:rPr>
          <w:rFonts w:ascii="Times New Roman" w:hAnsi="Times New Roman"/>
          <w:b w:val="false"/>
          <w:i w:val="false"/>
          <w:color w:val="000000"/>
          <w:sz w:val="22"/>
        </w:rPr>
        <w:t>Within 90 days of transfer of the tax credit certificate for transfers prior to July 1, 2006, the transferee must submit the transferred tax credit certificate to the economic development authority, along with a statement which contains the transferee’s name, address and tax identification number and the amount of the tax credit being transferred. For transfers on or after July 1, 2006, the transferee must submit the transferred tax credit certificate to the department of revenue. Within 30 days of receiving the transferred tax credit certificate and the statement from the transferee for transfers prior to July 1, 2006, the economic development authority will issue a replacement tax credit certificate to the transferee. For transfers on or after July 1, 2006, the department of revenue will issue the replacement tax credit certificate to the transferee. If the transferee is a partnership, limited liability company or S corporation, the transferee shall provide a list of the partners, members or shareholders and information on how the housing business tax credit should be divided among the partners, members or shareholders. The transferee shall also provide the tax identification numbers and addresses of the partners, members or shareholders. The replacement tax credit certificate must contain the same information that was on the original certificate and must have the same expiration date as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period for which the original transferor could have claimed the tax credit. Any consideration received for the transfer of the tax credits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xml:space="preserve">This rule is intended to implement 2014 Iowa Code section </w:t>
      </w:r>
      <w:hyperlink r:id="rId143">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701—304.18</w:t>
      </w:r>
      <w:r>
        <w:rPr>
          <w:rFonts w:ascii="Times New Roman" w:hAnsi="Times New Roman"/>
          <w:b/>
          <w:i w:val="false"/>
          <w:color w:val="000000"/>
          <w:sz w:val="22"/>
        </w:rPr>
        <w:t xml:space="preserve">(422) </w:t>
      </w:r>
      <w:r>
        <w:rPr>
          <w:rFonts w:ascii="Times New Roman" w:hAnsi="Times New Roman"/>
          <w:b/>
          <w:i w:val="false"/>
          <w:color w:val="000000"/>
          <w:sz w:val="22"/>
        </w:rPr>
        <w:t xml:space="preserve">Assistive device tax credit. </w:t>
      </w:r>
      <w:r>
        <w:rPr>
          <w:rFonts w:ascii="Times New Roman" w:hAnsi="Times New Roman"/>
          <w:b w:val="false"/>
          <w:i w:val="false"/>
          <w:color w:val="000000"/>
          <w:sz w:val="22"/>
        </w:rPr>
        <w:t>Effective for tax years beginning on or after January 1, 2000, a taxpayer that is a small business that purchases, rents, or modifies an assistive device or makes workplace modifications for an individual with a disability who is employed or will be employed by the taxpayer may qualify for an assistive device tax credit, subject to the availability of the credit. The assistive device credit is equal to 50 percent of the first $5,000 paid during the tax year by the small business for the purchase, rental, or modification of an assistive device or for making workplace modifications. Any credit in excess of the tax liability may be refunded or applied to the taxpayer’s tax liability for the following tax year. If the taxpayer elects to take the assistive device tax credit, the taxpayer shall not deduct for Iowa income tax purposes any amount of the cost of an assistive device or workplace modification that is deductible for federal income tax purposes. A small business will not be eligible for the assistive device credit if the device is provided for an owner of the small business unless the owner is a bona fide employee of the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304.18(1)</w:t>
      </w:r>
      <w:r>
        <w:rPr>
          <w:rFonts w:ascii="Times New Roman" w:hAnsi="Times New Roman"/>
          <w:b w:val="false"/>
          <w:i w:val="false"/>
          <w:color w:val="000000"/>
          <w:sz w:val="22"/>
        </w:rPr>
        <w:t> </w:t>
      </w:r>
      <w:r>
        <w:rPr>
          <w:rFonts w:ascii="Times New Roman" w:hAnsi="Times New Roman"/>
          <w:b w:val="false"/>
          <w:i/>
          <w:color w:val="000000"/>
          <w:sz w:val="22"/>
        </w:rPr>
        <w:t xml:space="preserve">Submitting applications for the credit. </w:t>
      </w:r>
      <w:r>
        <w:rPr>
          <w:rFonts w:ascii="Times New Roman" w:hAnsi="Times New Roman"/>
          <w:b w:val="false"/>
          <w:i w:val="false"/>
          <w:color w:val="000000"/>
          <w:sz w:val="22"/>
        </w:rPr>
        <w:t>A small business that wishes to receive the assistive device tax credit must submit an application for the credit to the Iowa department of economic development and provide other information and documents requested by the Iowa department of economic development. If the taxpayer meets the criteria for qualification for the credit, the Iowa department of economic development will issue the taxpayer a certificate of entitlement for the credit. However, the aggregate amount of assistive device tax credits that may be granted by the Iowa department of economic development to all small businesses during a fiscal year cannot exceed $500,000. The certificate of entitlement for the assistive device credit shall include the taxpayer’s name, the taxpayer’s address, the taxpayer’s tax identification number, the estimated amount of the tax credit, the date on which the taxpayer’s application was approved, the date when it is anticipated that the assistive device project will be completed and a space on the application where the taxpayer shall enter the date that the assistive device project was completed. The certificate of entitlement will not be considered to be valid for purposes of claiming the assistive device credit on the taxpayer’s Iowa income tax return until the taxpayer has completed the assistive device project and has entered the completion date on the certificate of entitlement form. The tax year of the small business in which the assistive device project is completed is the tax year for which the assistive device credit may be claimed. For example, in a case where taxpayer A received a certificate of entitlement for an assistive device credit on September 15, 2007, and completed the assistive device workplace modification project on January 15, 2008, taxpayer A could claim the assistive device credit on taxpayer A’s 2008 Iowa return, assuming that taxpayer A is filing returns on a calendar-year basis.</w:t>
      </w:r>
    </w:p>
    <w:p>
      <w:pPr>
        <w:spacing w:before="0" w:after="0"/>
        <w:ind w:left="120"/>
        <w:jc w:val="both"/>
      </w:pPr>
      <w:r>
        <w:rPr>
          <w:rFonts w:ascii="Times New Roman" w:hAnsi="Times New Roman"/>
          <w:b w:val="false"/>
          <w:i w:val="false"/>
          <w:color w:val="000000"/>
          <w:sz w:val="22"/>
        </w:rPr>
        <w:t>The department of revenue will not allow the assistive device credit on a taxpayer’s return if the certificate of entitlement or a legible copy of the certificate is not included with the taxpayer’s income tax return. If the taxpayer has been granted a certificate of entitlement and the taxpayer is a partnership, limited liability company, S corporation, estate, or trust, where the income of the taxpayer is taxed to the individual owner(s) of the business entity, the taxpayer must provide a copy of the certificate to each of the owners with a statement showing how the credit is to be allocated among the individual owners of the business entity. An individual owner shall include a copy of the certificate of entitlement and the statement of allocation of the assistive device credit with the individual’s state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304.18(2)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“Assistive device” </w:t>
      </w:r>
      <w:r>
        <w:rPr>
          <w:rFonts w:ascii="Times New Roman" w:hAnsi="Times New Roman"/>
          <w:b w:val="false"/>
          <w:i w:val="false"/>
          <w:color w:val="000000"/>
          <w:sz w:val="22"/>
        </w:rPr>
        <w:t>means any item, piece of equipment, or product system which is used to increase, maintain, or improve the functional capabilities of an individual with a disability in the workplace or on the job. “Assistive device” does not mean any medical device, surgical device, or organ implanted or transplanted into or attached directly to an individual. “Assistive device” does not include any device for which a certificate of title is issued by the state department of transportation, but does include any item, piece of equipment, or product system otherwise meeting the definition of “assistive device” that is incorporated, attached, or included as a modification in or to such a device issued a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entity” </w:t>
      </w:r>
      <w:r>
        <w:rPr>
          <w:rFonts w:ascii="Times New Roman" w:hAnsi="Times New Roman"/>
          <w:b w:val="false"/>
          <w:i w:val="false"/>
          <w:color w:val="000000"/>
          <w:sz w:val="22"/>
        </w:rPr>
        <w:t>means partnership, limited liability company, S corporation, estate, or trust, where the income of the business is taxed to each of the individual owners of the business, whether the individual owner is a partner, member, shareholder, or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“Disability” </w:t>
      </w:r>
      <w:r>
        <w:rPr>
          <w:rFonts w:ascii="Times New Roman" w:hAnsi="Times New Roman"/>
          <w:b w:val="false"/>
          <w:i w:val="false"/>
          <w:color w:val="000000"/>
          <w:sz w:val="22"/>
        </w:rPr>
        <w:t xml:space="preserve">means the same as defined in Iowa Code section </w:t>
      </w:r>
      <w:hyperlink r:id="rId144">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 Therefore, “disability” means, with respect to an individual, a physical or mental impairment that substantially limits one or more of the major life activities of the individual, a record of physical or mental impairment that substantially limits one or more of the major life activities of the individual, or being regarded as an individual with a physical or mental impairment that substantially limits one or more of the major life activities of the individual. “Disability” does not include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Homosexuality or bisexuality.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Transvestism, transsexualism, pedophilia, exhibitionism, voyeurism, gender identity disorders, or other sexual behavior disorders.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Compulsive gambling, kleptomania, or pyromania.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Psychoactive substance abuse disorders resulting from current illegal use of drugs.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Alcoholism.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an individual who is employed by the small business and who meets the criteria in Treasury Regulation § 31.3401(c)-1(b), which is the definition of an employee for federal income tax withholding purposes. An individual who receives self-employment income from the small business shall not be considered an employee of the small business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“Small business” </w:t>
      </w:r>
      <w:r>
        <w:rPr>
          <w:rFonts w:ascii="Times New Roman" w:hAnsi="Times New Roman"/>
          <w:b w:val="false"/>
          <w:i w:val="false"/>
          <w:color w:val="000000"/>
          <w:sz w:val="22"/>
        </w:rPr>
        <w:t>means that the business either had gross receipts in the tax year before the current tax year of $3 million or less or employed not more than 14 full-time employees during the tax year prior to the current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“Workplace modifications” </w:t>
      </w:r>
      <w:r>
        <w:rPr>
          <w:rFonts w:ascii="Times New Roman" w:hAnsi="Times New Roman"/>
          <w:b w:val="false"/>
          <w:i w:val="false"/>
          <w:color w:val="000000"/>
          <w:sz w:val="22"/>
        </w:rPr>
        <w:t>means physical alterations to the office, factory, or other work environment where the disabled employee is working or will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304.18(3)</w:t>
      </w:r>
      <w:r>
        <w:rPr>
          <w:rFonts w:ascii="Times New Roman" w:hAnsi="Times New Roman"/>
          <w:b w:val="false"/>
          <w:i w:val="false"/>
          <w:color w:val="000000"/>
          <w:sz w:val="22"/>
        </w:rPr>
        <w:t> </w:t>
      </w:r>
      <w:r>
        <w:rPr>
          <w:rFonts w:ascii="Times New Roman" w:hAnsi="Times New Roman"/>
          <w:b w:val="false"/>
          <w:i/>
          <w:color w:val="000000"/>
          <w:sz w:val="22"/>
        </w:rPr>
        <w:t xml:space="preserve">Allocation of assistive tax credit to owners of a business entity. </w:t>
      </w:r>
      <w:r>
        <w:rPr>
          <w:rFonts w:ascii="Times New Roman" w:hAnsi="Times New Roman"/>
          <w:b w:val="false"/>
          <w:i w:val="false"/>
          <w:color w:val="000000"/>
          <w:sz w:val="22"/>
        </w:rPr>
        <w:t>If the taxpayer that was entitled to an assistive device credit is a business entity, the business entity shall allocate the allowable credit to each of the individual owners of the entity on the basis of each owner’s pro rata share of the earnings of the entity to the total earnings of the entity. Therefore, if a partnership has an assistive device credit of $2,500 for a tax year and one partner of the partnership receives 25 percent of the earnings of the partnership, that partner would receive an assistive device credit for the tax year of $625 or 25 percent of the total assistive device credit of the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304.18(4)</w:t>
      </w:r>
      <w:r>
        <w:rPr>
          <w:rFonts w:ascii="Times New Roman" w:hAnsi="Times New Roman"/>
          <w:b w:val="false"/>
          <w:i w:val="false"/>
          <w:color w:val="000000"/>
          <w:sz w:val="22"/>
        </w:rPr>
        <w:t> </w:t>
      </w:r>
      <w:r>
        <w:rPr>
          <w:rFonts w:ascii="Times New Roman" w:hAnsi="Times New Roman"/>
          <w:b w:val="false"/>
          <w:i/>
          <w:color w:val="000000"/>
          <w:sz w:val="22"/>
        </w:rPr>
        <w:t xml:space="preserve">Repeal of credit. </w:t>
      </w:r>
      <w:r>
        <w:rPr>
          <w:rFonts w:ascii="Times New Roman" w:hAnsi="Times New Roman"/>
          <w:b w:val="false"/>
          <w:i w:val="false"/>
          <w:color w:val="000000"/>
          <w:sz w:val="22"/>
        </w:rPr>
        <w:t>The assistive device credit is repealed on July 1, 2009.</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5">
        <w:r>
          <w:rPr>
            <w:rStyle w:val="Hyperlink"/>
            <w:rFonts w:ascii="Times New Roman" w:hAnsi="Times New Roman"/>
            <w:b w:val="false"/>
            <w:i w:val="false"/>
            <w:color w:val="000000"/>
            <w:sz w:val="22"/>
          </w:rPr>
          <w:t>422.11E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701—304.19</w:t>
      </w:r>
      <w:r>
        <w:rPr>
          <w:rFonts w:ascii="Times New Roman" w:hAnsi="Times New Roman"/>
          <w:b/>
          <w:i w:val="false"/>
          <w:color w:val="000000"/>
          <w:sz w:val="22"/>
        </w:rPr>
        <w:t xml:space="preserve">(404A,422) </w:t>
      </w:r>
      <w:r>
        <w:rPr>
          <w:rFonts w:ascii="Times New Roman" w:hAnsi="Times New Roman"/>
          <w:b/>
          <w:i w:val="false"/>
          <w:color w:val="000000"/>
          <w:sz w:val="22"/>
        </w:rPr>
        <w:t xml:space="preserve">Historic preservation and cultural and entertainment district tax credit for projects with Part 2 applications approved and tax credits reserved prior to July 1, 2014. </w:t>
      </w:r>
      <w:r>
        <w:rPr>
          <w:rFonts w:ascii="Times New Roman" w:hAnsi="Times New Roman"/>
          <w:b w:val="false"/>
          <w:i w:val="false"/>
          <w:color w:val="000000"/>
          <w:sz w:val="22"/>
        </w:rPr>
        <w:t>A historic preservation and cultural and entertainment district tax credit, subject to the availability of the credit, may be claimed against a taxpayer’s Iowa individual income tax liability for 25 percent of the qualified costs of rehabilitation of property to the extent the costs were incurred on or after July 1, 2000, for approved rehabilitation projects of eligible property in Iowa.</w:t>
      </w:r>
    </w:p>
    <w:p>
      <w:pPr>
        <w:spacing w:before="0" w:after="0"/>
        <w:ind w:left="120"/>
        <w:jc w:val="both"/>
      </w:pPr>
      <w:r>
        <w:rPr>
          <w:rFonts w:ascii="Times New Roman" w:hAnsi="Times New Roman"/>
          <w:b w:val="false"/>
          <w:i w:val="false"/>
          <w:color w:val="000000"/>
          <w:sz w:val="22"/>
        </w:rPr>
        <w:t xml:space="preserve">The general assembly has mandated that the department of cultural affairs and the department of revenue adopt rules to jointly administer Iowa Code chapter </w:t>
      </w:r>
      <w:hyperlink r:id="rId146">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 xml:space="preserve">, amended the historic preservation and cultural and entertainment district tax credit program effective July 1, 2014. The department of revenue’s provisions for projects with tax credits reserved prior to July 1, 2014, are found in this rule. The department of revenue’s provisions for projects with agreements entered into on or after July 1, 2014, are found in rule </w:t>
      </w:r>
      <w:hyperlink r:id="rId147">
        <w:r>
          <w:rPr>
            <w:rStyle w:val="Hyperlink"/>
            <w:rFonts w:ascii="Times New Roman" w:hAnsi="Times New Roman"/>
            <w:b w:val="false"/>
            <w:i w:val="false"/>
            <w:color w:val="000000"/>
            <w:sz w:val="22"/>
          </w:rPr>
          <w:t>701—304.54</w:t>
        </w:r>
      </w:hyperlink>
      <w:r>
        <w:rPr>
          <w:rFonts w:ascii="Times New Roman" w:hAnsi="Times New Roman"/>
          <w:b w:val="false"/>
          <w:i w:val="false"/>
          <w:color w:val="000000"/>
          <w:sz w:val="22"/>
        </w:rPr>
        <w:t xml:space="preserve">(404A,422). The department of cultural affairs’ rules related to this program may be found at </w:t>
      </w:r>
      <w:hyperlink r:id="rId148">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 of </w:t>
      </w:r>
      <w:hyperlink r:id="rId149">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applies to projects with reservations approved prior to July 1, 2014. Division II of </w:t>
      </w:r>
      <w:hyperlink r:id="rId150">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applies to projects with agreements entered into on or after July 1, 2014.</w:t>
      </w:r>
    </w:p>
    <w:p>
      <w:pPr>
        <w:spacing w:before="0" w:after="0"/>
        <w:ind w:left="120"/>
        <w:jc w:val="both"/>
      </w:pPr>
      <w:r>
        <w:rPr>
          <w:rFonts w:ascii="Times New Roman" w:hAnsi="Times New Roman"/>
          <w:b w:val="false"/>
          <w:i w:val="false"/>
          <w:color w:val="000000"/>
          <w:sz w:val="22"/>
        </w:rPr>
        <w:t xml:space="preserve">Notwithstanding anything contained herein to the contrary, the department of cultural affairs shall not reserve tax credits under 2013 Iowa Code chapter </w:t>
      </w:r>
      <w:hyperlink r:id="rId151">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chapter 112, section 1</w:t>
      </w:r>
      <w:r>
        <w:rPr>
          <w:rFonts w:ascii="Times New Roman" w:hAnsi="Times New Roman"/>
          <w:b w:val="false"/>
          <w:i w:val="false"/>
          <w:color w:val="000000"/>
          <w:sz w:val="22"/>
        </w:rPr>
        <w:t xml:space="preserve">, for applicants that do not have an approved Part 2 application and a tax credit reservation on or before June 30, 2014. Projects with approved Part 2 applications and provisional tax credit reservations on or before June 30, 2014, shall be governed by 2013 Iowa Code chapter </w:t>
      </w:r>
      <w:hyperlink r:id="rId152">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chapter 112</w:t>
      </w:r>
      <w:r>
        <w:rPr>
          <w:rFonts w:ascii="Times New Roman" w:hAnsi="Times New Roman"/>
          <w:b w:val="false"/>
          <w:i w:val="false"/>
          <w:color w:val="000000"/>
          <w:sz w:val="22"/>
        </w:rPr>
        <w:t xml:space="preserve">, section 1; by </w:t>
      </w:r>
      <w:hyperlink r:id="rId153">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 and by rule </w:t>
      </w:r>
      <w:hyperlink r:id="rId154">
        <w:r>
          <w:rPr>
            <w:rStyle w:val="Hyperlink"/>
            <w:rFonts w:ascii="Times New Roman" w:hAnsi="Times New Roman"/>
            <w:b w:val="false"/>
            <w:i w:val="false"/>
            <w:color w:val="000000"/>
            <w:sz w:val="22"/>
          </w:rPr>
          <w:t>701—304.19</w:t>
        </w:r>
      </w:hyperlink>
      <w:r>
        <w:rPr>
          <w:rFonts w:ascii="Times New Roman" w:hAnsi="Times New Roman"/>
          <w:b w:val="false"/>
          <w:i w:val="false"/>
          <w:color w:val="000000"/>
          <w:sz w:val="22"/>
        </w:rPr>
        <w:t xml:space="preserve">(404A,422). Projects for which Part 2 applications were approved and agreements entered into after June 30, 2014, shall be governed by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 xml:space="preserve">; by </w:t>
      </w:r>
      <w:hyperlink r:id="rId155">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II; and by rule </w:t>
      </w:r>
      <w:hyperlink r:id="rId156">
        <w:r>
          <w:rPr>
            <w:rStyle w:val="Hyperlink"/>
            <w:rFonts w:ascii="Times New Roman" w:hAnsi="Times New Roman"/>
            <w:b w:val="false"/>
            <w:i w:val="false"/>
            <w:color w:val="000000"/>
            <w:sz w:val="22"/>
          </w:rPr>
          <w:t>701—304.54</w:t>
        </w:r>
      </w:hyperlink>
      <w:r>
        <w:rPr>
          <w:rFonts w:ascii="Times New Roman" w:hAnsi="Times New Roman"/>
          <w:b w:val="false"/>
          <w:i w:val="false"/>
          <w:color w:val="000000"/>
          <w:sz w:val="22"/>
        </w:rPr>
        <w:t>(404A,422).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304.19(1)</w:t>
      </w:r>
      <w:r>
        <w:rPr>
          <w:rFonts w:ascii="Times New Roman" w:hAnsi="Times New Roman"/>
          <w:b w:val="false"/>
          <w:i w:val="false"/>
          <w:color w:val="000000"/>
          <w:sz w:val="22"/>
        </w:rPr>
        <w:t> </w:t>
      </w:r>
      <w:r>
        <w:rPr>
          <w:rFonts w:ascii="Times New Roman" w:hAnsi="Times New Roman"/>
          <w:b w:val="false"/>
          <w:i/>
          <w:color w:val="000000"/>
          <w:sz w:val="22"/>
        </w:rPr>
        <w:t xml:space="preserve">Eligible properties for the historic preservation and cultural and entertainment district tax credit. </w:t>
      </w:r>
      <w:r>
        <w:rPr>
          <w:rFonts w:ascii="Times New Roman" w:hAnsi="Times New Roman"/>
          <w:b w:val="false"/>
          <w:i w:val="false"/>
          <w:color w:val="000000"/>
          <w:sz w:val="22"/>
        </w:rPr>
        <w:t>The following types of property are eligible for the historic preservation and cultural and entertainment district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Property verified as listed on the National Register of Historic Places or eligible for such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Property designated as of historic significance to a district listed in the National Register of Historic Places or eligible for such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Property or district designated a local landmark by a city or county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barn constructed prior to 1937.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304.19(2)</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review process for the historic preservation and cultural and entertainment district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Taxpayers who want to claim an income tax credit for completing a historic preservation and cultural and entertainment district project must submit an application for approval of the project. The application forms for the historic preservation and cultural and entertainment district tax credit may be requested from the State Tax Credit Program Manager, State Historic Preservation Office, Department of Cultural Affairs, 600 E. Locust, Des Moines, Iowa 50319-0290. The telephone number for this office is (515)281-4137. Applications for the credit will be accepted by the state historic preservation office on or after July 1, 2000, until such time as all the available credits allocated for each fiscal year are encumbered.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for the historic preservation and cultural and entertainment district tax credit must include all information and documentation requested on the application forms for the credit in order for the application to be processed.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304.19(3)</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amount of the historic preservation and cultural and entertainment district tax credit. </w:t>
      </w:r>
      <w:r>
        <w:rPr>
          <w:rFonts w:ascii="Times New Roman" w:hAnsi="Times New Roman"/>
          <w:b w:val="false"/>
          <w:i w:val="false"/>
          <w:color w:val="000000"/>
          <w:sz w:val="22"/>
        </w:rPr>
        <w:t>The amount of the historic preservation and cultural and entertainment district tax credit is 25 percent of the qualified rehabilitation costs made to an eligible property in a project. Qualified rehabilitation costs are those rehabilitation costs approved by the state historic preservation office for a project for a particular taxpayer to the extent those rehabilitation costs are actually expended by that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commercial property, qualified rehabilitation costs must equal at least $50,000 or 50 percent of the assessed value of the property, excluding the value of the land, prior to rehabilitation, whichever is less. In the case of property other than commercial property, the qualified rehabilitation costs must equal at least $25,000 or 25 percent of the assessed value, excluding the value of the land, prior to the rehabilitation, whichever amount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computing the tax credit, the only costs which may be included are the qualified rehabilitation costs incurred commencing from the date on which the first qualified rehabilitation cost is incurred and ending with the end of the taxable year in which the property is placed in service. The rehabilitation period may include dates that precede approval of a project, provided that any qualified rehabilitation costs incurred prior to the date of approval of the project are qualified rehabilitation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the historic preservation and cultural and entertainment district tax credit, qualified rehabilitation costs include those costs properly included in the basis of the eligible property for income tax purposes. Costs treated as expenses and deducted in the year paid or incurred and amounts that are otherwise not added to the basis of the property for income tax purposes are not qualified rehabilitation costs. Amounts incurred for architectural and engineering fees, site survey fees, legal expenses, insurance premiums, development fees, and other construction-related costs are qualified rehabilitation costs to the extent they are added to the basis of the eligible property for tax purposes. Costs of sidewalks, parking lots, and landscaping do not constitute qualified rehabilitation costs. Any rehabilitation costs used in the computation of the historic preservation and cultural and entertainment district tax credit are not added to the basis of the property for Iowa income tax purposes if the rehabilitation costs were incurred in a tax year beginning on or after January 1, 2000, but prior to January 1, 2001. Any rehabilitation costs incurred in a tax year beginning on or after January 1, 2001, are added to the basis of the rehabilitated property for income tax purposes except those rehabilitation expenses that are equal to the amount of the computed historic preservation and cultural and entertainment district tax credit for the tax year.</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 basis of a commercial building in a historic district was $500,000, excluding the value of the land, before the rehabilitation project. During a project to rehabilitate this building, $600,000 in rehabilitation costs were expended to complete the project and $500,000 of those rehabilitation costs were qualified rehabilitation costs which were eligible for the historic preservation and cultural and entertainment district tax credit of $125,000. Therefore, the basis of the building for Iowa income tax purposes was $975,000, since the qualified rehabilitation costs of $125,000, which are equal to the amount of the historic preservation and cultural and entertainment district tax credit for the tax year, are not added to the basis of the rehabilitated property. The basis of the building for federal income tax purposes was $1,100,000. It should be noted that this example does not consider any possible reduced basis for the building for federal income tax purposes due to the rehabilitation investment credit provided in Section 47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304.19(4)</w:t>
      </w:r>
      <w:r>
        <w:rPr>
          <w:rFonts w:ascii="Times New Roman" w:hAnsi="Times New Roman"/>
          <w:b w:val="false"/>
          <w:i w:val="false"/>
          <w:color w:val="000000"/>
          <w:sz w:val="22"/>
        </w:rPr>
        <w:t> </w:t>
      </w:r>
      <w:r>
        <w:rPr>
          <w:rFonts w:ascii="Times New Roman" w:hAnsi="Times New Roman"/>
          <w:b w:val="false"/>
          <w:i/>
          <w:color w:val="000000"/>
          <w:sz w:val="22"/>
        </w:rPr>
        <w:t xml:space="preserve">Completion of the historic preservation and cultural and entertainment district project and claiming the historic preservation and cultural and entertainment district tax credit on the Iowa return. </w:t>
      </w:r>
      <w:r>
        <w:rPr>
          <w:rFonts w:ascii="Times New Roman" w:hAnsi="Times New Roman"/>
          <w:b w:val="false"/>
          <w:i w:val="false"/>
          <w:color w:val="000000"/>
          <w:sz w:val="22"/>
        </w:rPr>
        <w:t xml:space="preserve">After the taxpayer completes an authorized rehabilitation project, the taxpayer must be issued a certificate of completion of the project from the state historic preservation office of the department of cultural affairs. After verifying the taxpayer’s eligibility for the historic preservation and cultural and entertainment district tax credit, the state historic preservation office shall issue a historic preservation and cultural and entertainment district tax credit certificate, which shall be included with the taxpayer’s income tax return for the tax year in which the rehabilitation project is completed or the year the credit was reserved, whichever is later. For example, if a project was completed in 2008 and the credit was reserved for the state fiscal year ending June 30, 2010, the credit can be claimed on the 2009 calendar year return that is due on April 30, 2010. The tax credit certificate shall include the taxpayer’s name, the taxpayer’s address, the taxpayer’s tax identification number, the address or location of the rehabilitation project, the date the project was completed, the year the tax credit was reserved and the amount of the historic preservation and cultural and entertainment district tax credit. In addition, the tax credit certificate shall include a place for the name and tax identification number of a transferee, the amount of the tax credit being transferred, and any consideration received in exchange for the tax credit, as provided in subrule </w:t>
      </w:r>
      <w:hyperlink r:id="rId157">
        <w:r>
          <w:rPr>
            <w:rStyle w:val="Hyperlink"/>
            <w:rFonts w:ascii="Times New Roman" w:hAnsi="Times New Roman"/>
            <w:b w:val="false"/>
            <w:i w:val="false"/>
            <w:color w:val="000000"/>
            <w:sz w:val="22"/>
          </w:rPr>
          <w:t>304.19(6)</w:t>
        </w:r>
      </w:hyperlink>
      <w:r>
        <w:rPr>
          <w:rFonts w:ascii="Times New Roman" w:hAnsi="Times New Roman"/>
          <w:b w:val="false"/>
          <w:i w:val="false"/>
          <w:color w:val="000000"/>
          <w:sz w:val="22"/>
        </w:rPr>
        <w:t>. In addition, if the taxpayer is a partnership, limited liability company, estate or trust, where the tax credit is allocated to the owners or beneficiaries of the entity, a list of the owners or beneficiaries and the amount of credit allocated to each owner or beneficiary shall be provided with the certificate. The tax credit certificate shall be included with the income tax return for the period in which the project was completed.</w:t>
      </w:r>
    </w:p>
    <w:p>
      <w:pPr>
        <w:spacing w:before="0" w:after="0"/>
        <w:ind w:left="120"/>
        <w:jc w:val="both"/>
      </w:pPr>
      <w:r>
        <w:rPr>
          <w:rFonts w:ascii="Times New Roman" w:hAnsi="Times New Roman"/>
          <w:b w:val="false"/>
          <w:i w:val="false"/>
          <w:color w:val="000000"/>
          <w:sz w:val="22"/>
        </w:rPr>
        <w:t>For tax years ending on or after July 1, 2007, any historic preservation and cultural and entertainment district tax credit in excess of the taxpayer’s tax liability is fully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304.19(5)</w:t>
      </w:r>
      <w:r>
        <w:rPr>
          <w:rFonts w:ascii="Times New Roman" w:hAnsi="Times New Roman"/>
          <w:b w:val="false"/>
          <w:i w:val="false"/>
          <w:color w:val="000000"/>
          <w:sz w:val="22"/>
        </w:rPr>
        <w:t> </w:t>
      </w:r>
      <w:r>
        <w:rPr>
          <w:rFonts w:ascii="Times New Roman" w:hAnsi="Times New Roman"/>
          <w:b w:val="false"/>
          <w:i/>
          <w:color w:val="000000"/>
          <w:sz w:val="22"/>
        </w:rPr>
        <w:t xml:space="preserve">Allocation of historic preservation and cultural and entertainment district tax credits to the individual owners of the entity for tax credits reserved for fiscal years beginning on or after July 1, 2012. </w:t>
      </w:r>
      <w:r>
        <w:rPr>
          <w:rFonts w:ascii="Times New Roman" w:hAnsi="Times New Roman"/>
          <w:b w:val="false"/>
          <w:i w:val="false"/>
          <w:color w:val="000000"/>
          <w:sz w:val="22"/>
        </w:rPr>
        <w:t>For tax credits reserved for fiscal years beginning on or after July 1, 2012, the partnership, limited liability company or S corporation may designate the amount of the tax credit to be allocated to each partner, member or shareholder. The credit does not have to be allocated based on the pro rata share of earnings of the partnership, limited liability company or S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304.19(6)</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historic preservation and cultural and entertainment district tax credit. </w:t>
      </w:r>
      <w:r>
        <w:rPr>
          <w:rFonts w:ascii="Times New Roman" w:hAnsi="Times New Roman"/>
          <w:b w:val="false"/>
          <w:i w:val="false"/>
          <w:color w:val="000000"/>
          <w:sz w:val="22"/>
        </w:rPr>
        <w:t>For tax periods beginning on or after January 1, 2003, the historic preservation and cultural and entertainment district tax credit certificates may be transferred to any person or entity. A tax credit certificate of less than $1,000 shall not be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transfers on or after July 1, 2006, the department of revenue will issue the replacement tax credit certificate to the transferee. Within 90 days of the transfer of the tax credit certificate, the transferee must submit the transferred tax credit certificate to the department of revenue along with a statement containing the transferee’s name, tax identification number and address, the denomination that each replacement tax credit certificate is to carry, the amount of all consideration provided in exchange for the tax credit and the names of recipients of any consideration provided in exchange for the tax credit. If a payment of money was any part of the consideration provided in exchange for the tax credit, the transferee shall list the amount of the payment of money in its statement to the department of revenue. If any part of the consideration provided in exchange for the tax credit included nonmonetary consideration, including but not limited to any promise, representation, performance, discharge of debt or nonmonetary rights or property, the tax credit transferee shall describe the nature of nonmonetary consideration and disclose any value the transferor and transferee assigned to the nonmonetary consideration. The tax credit transferee must indicate on its statement to the department of revenue if no consideration was provided in exchange for the tax credit. If the transferee is a partnership, limited liability company or S corporation, the transferee shall provide a list of the partners, members or shareholders and information on how the historic preservation and cultural and entertainment district tax credit should be divided among the partners, members or shareholders. The transferee shall also provide the tax identification numbers and addresses of the partners, members or shareholders. The replacement tax credit certificate must contain the same information that was on the original certificate and must have the same expiration date as the original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transferee may use the amount of the tax credit for any tax period for which the original transferor could have claimed the tax credit. 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historic preservation and cultural and entertainment district tax credit of the transferee exceeds the tax liability shown on the transferee’s return, the tax credit shall be fully refundable.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58">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Senate File 436</w:t>
      </w:r>
      <w:r>
        <w:rPr>
          <w:rFonts w:ascii="Times New Roman" w:hAnsi="Times New Roman"/>
          <w:b w:val="false"/>
          <w:i w:val="false"/>
          <w:color w:val="000000"/>
          <w:sz w:val="22"/>
        </w:rPr>
        <w:t xml:space="preserve">, and Iowa Code section </w:t>
      </w:r>
      <w:hyperlink r:id="rId159">
        <w:r>
          <w:rPr>
            <w:rStyle w:val="Hyperlink"/>
            <w:rFonts w:ascii="Times New Roman" w:hAnsi="Times New Roman"/>
            <w:b w:val="false"/>
            <w:i w:val="false"/>
            <w:color w:val="000000"/>
            <w:sz w:val="22"/>
          </w:rPr>
          <w:t>422.11D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1138C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i w:val="false"/>
          <w:color w:val="000000"/>
          <w:sz w:val="16"/>
        </w:rPr>
        <w:t>ARC 1968C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701—304.20</w:t>
      </w:r>
      <w:r>
        <w:rPr>
          <w:rFonts w:ascii="Times New Roman" w:hAnsi="Times New Roman"/>
          <w:b/>
          <w:i w:val="false"/>
          <w:color w:val="000000"/>
          <w:sz w:val="22"/>
        </w:rPr>
        <w:t xml:space="preserve">(422) </w:t>
      </w:r>
      <w:r>
        <w:rPr>
          <w:rFonts w:ascii="Times New Roman" w:hAnsi="Times New Roman"/>
          <w:b/>
          <w:i w:val="false"/>
          <w:color w:val="000000"/>
          <w:sz w:val="22"/>
        </w:rPr>
        <w:t xml:space="preserve">Ethanol blended gasoline tax credit. </w:t>
      </w:r>
      <w:r>
        <w:rPr>
          <w:rFonts w:ascii="Times New Roman" w:hAnsi="Times New Roman"/>
          <w:b w:val="false"/>
          <w:i w:val="false"/>
          <w:color w:val="000000"/>
          <w:sz w:val="22"/>
        </w:rPr>
        <w:t>Effective for tax years beginning on or after January 1, 2002, a retail gasoline dealer may claim an ethanol blended gasoline tax credit against that individual’s individual income tax liability. The taxpayer must operate at least one retail motor fuel site at which more than 60 percent of the total gallons of gasoline sold and dispensed through one or more motor fuel pumps by the taxpayer in the tax year is ethanol blended gasoline. The tax credit shall be calculated separately for each retail motor fuel site operated by the taxpayer. The amount of the credit for each eligible retail motor fuel site is two and one-half cents multiplied by the total number of gallons of ethanol blended gasoline sold and dispensed through all motor fuel pumps located at that retail motor fuel site during the tax year in excess of 60 percent of all gasoline sold and dispensed through motor fuel pumps at that retail motor fuel site during the tax year.</w:t>
      </w:r>
    </w:p>
    <w:p>
      <w:pPr>
        <w:spacing w:before="0" w:after="0"/>
        <w:ind w:left="120"/>
        <w:jc w:val="both"/>
      </w:pPr>
      <w:r>
        <w:rPr>
          <w:rFonts w:ascii="Times New Roman" w:hAnsi="Times New Roman"/>
          <w:b w:val="false"/>
          <w:i w:val="false"/>
          <w:color w:val="000000"/>
          <w:sz w:val="22"/>
        </w:rPr>
        <w:t xml:space="preserve">For taxpayers having a fiscal year ending in 2002, the tax credit is available for each eligible retail motor fuel site based on the total number of gallons of ethanol blended gasoline sold and dispensed through all motor fuel pumps located at the taxpayer’s retail motor fuel site from January 1, 2002, until the end of the taxpayer’s fiscal year. Assuming a tax period that began on July 1, 2001, and ended on June 30, 2002, the taxpayer would be eligible for the tax credit based on the gallons of ethanol blended gasoline sold from January 1, 2002, through June 30, 2002. For taxpayers having a fiscal year ending in 2002, a claim for refund to claim the ethanol blended gasoline tax credit must be filed before October 1, 2003, even though the statute of limitations for refund set forth in </w:t>
      </w:r>
      <w:hyperlink r:id="rId160">
        <w:r>
          <w:rPr>
            <w:rStyle w:val="Hyperlink"/>
            <w:rFonts w:ascii="Times New Roman" w:hAnsi="Times New Roman"/>
            <w:b w:val="false"/>
            <w:i w:val="false"/>
            <w:color w:val="000000"/>
            <w:sz w:val="22"/>
          </w:rPr>
          <w:t>701—subrule 305.3(8)</w:t>
        </w:r>
      </w:hyperlink>
      <w:r>
        <w:rPr>
          <w:rFonts w:ascii="Times New Roman" w:hAnsi="Times New Roman"/>
          <w:b w:val="false"/>
          <w:i w:val="false"/>
          <w:color w:val="000000"/>
          <w:sz w:val="22"/>
        </w:rPr>
        <w:t xml:space="preserve"> has not yet expired.</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sold 100,000 gallons of gasoline at the taxpayer’s retail motor fuel site during the tax year, 70,000 gallons of which was ethanol blended gasoline. The taxpayer is eligible for the credit since more than 60 percent of the total gallons sold was ethanol blended gasoline. The number of gallons in excess of 60 percent of all gasoline sold is 70,000 less 60,000, or 10,000 gallons. Two and one-half cents multiplied by 10,000 equals a $250 credit available.</w:t>
      </w:r>
    </w:p>
    <w:p>
      <w:pPr>
        <w:spacing w:before="0" w:after="0"/>
        <w:ind w:left="120"/>
        <w:jc w:val="both"/>
      </w:pPr>
      <w:r>
        <w:rPr>
          <w:rFonts w:ascii="Times New Roman" w:hAnsi="Times New Roman"/>
          <w:b w:val="false"/>
          <w:i w:val="false"/>
          <w:color w:val="000000"/>
          <w:sz w:val="22"/>
        </w:rPr>
        <w:t>The credit may be calculated on Form IA 6478. The credit must be calculated separately for each retail motor fuel site operated by the taxpayer. Therefore, if the taxpayer operates more than one retail motor fuel site, it is possible that one retail motor fuel site may be eligible for the credit while another retail motor fuel site may not. The credit may be taken only for those retail motor fuel sites for which more than 60 percent of gasoline sales involves ethanol blended gasoline.</w:t>
      </w:r>
    </w:p>
    <w:p>
      <w:pPr>
        <w:spacing w:before="0" w:after="0"/>
        <w:ind w:left="120"/>
        <w:jc w:val="both"/>
      </w:pP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xml:space="preserve">Starting with the 2006 calendar tax year, a taxpayer may claim the ethanol blended gasoline tax credit even if the taxpayer also claims the E-85 gasoline promotion tax credit provided in rule </w:t>
      </w:r>
      <w:hyperlink r:id="rId161">
        <w:r>
          <w:rPr>
            <w:rStyle w:val="Hyperlink"/>
            <w:rFonts w:ascii="Times New Roman" w:hAnsi="Times New Roman"/>
            <w:b w:val="false"/>
            <w:i w:val="false"/>
            <w:color w:val="000000"/>
            <w:sz w:val="22"/>
          </w:rPr>
          <w:t>701—304.31</w:t>
        </w:r>
      </w:hyperlink>
      <w:r>
        <w:rPr>
          <w:rFonts w:ascii="Times New Roman" w:hAnsi="Times New Roman"/>
          <w:b w:val="false"/>
          <w:i w:val="false"/>
          <w:color w:val="000000"/>
          <w:sz w:val="22"/>
        </w:rPr>
        <w:t>(422) for the same tax year for the same ethanol gallons.</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sold 200,000 gallons of gasoline at a retail motor fuel site in 2006, of which 160,000 gallons was ethanol blended gasoline. Of these 160,000 gallons, 1,000 gallons was E-85 gasoline. Taxpayer is entitled to claim the ethanol blended gasoline tax credit of two and one-half cents multiplied by 40,000 gallons, since this amount constitutes the gallons in excess of 60 percent of the total gasoline gallons sold. Taxpayer may also claim the E-85 gasoline promotion tax credit on the 1,000 gallons of E-85 gasoline 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“Ethanol blended gasoline” </w:t>
      </w:r>
      <w:r>
        <w:rPr>
          <w:rFonts w:ascii="Times New Roman" w:hAnsi="Times New Roman"/>
          <w:b w:val="false"/>
          <w:i w:val="false"/>
          <w:color w:val="000000"/>
          <w:sz w:val="22"/>
        </w:rPr>
        <w:t xml:space="preserve">means the same as defined in Iowa Code section </w:t>
      </w:r>
      <w:hyperlink r:id="rId162">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“Gasoline” </w:t>
      </w:r>
      <w:r>
        <w:rPr>
          <w:rFonts w:ascii="Times New Roman" w:hAnsi="Times New Roman"/>
          <w:b w:val="false"/>
          <w:i w:val="false"/>
          <w:color w:val="000000"/>
          <w:sz w:val="22"/>
        </w:rPr>
        <w:t xml:space="preserve">means any liquid product prepared, advertised, offered for sale or sold for use as, or commonly and commercially used as, motor fuel for use in a spark-ignition, internal combustion engine, and which meets the specifications provided in Iowa Code section </w:t>
      </w:r>
      <w:hyperlink r:id="rId163">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 fuel pump” </w:t>
      </w:r>
      <w:r>
        <w:rPr>
          <w:rFonts w:ascii="Times New Roman" w:hAnsi="Times New Roman"/>
          <w:b w:val="false"/>
          <w:i w:val="false"/>
          <w:color w:val="000000"/>
          <w:sz w:val="22"/>
        </w:rPr>
        <w:t>means a pump, meter, or similar commercial weighing and measuring device used to measure and dispense motor fuel for sale on a retail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dealer” </w:t>
      </w:r>
      <w:r>
        <w:rPr>
          <w:rFonts w:ascii="Times New Roman" w:hAnsi="Times New Roman"/>
          <w:b w:val="false"/>
          <w:i w:val="false"/>
          <w:color w:val="000000"/>
          <w:sz w:val="22"/>
        </w:rPr>
        <w:t>means a person engaged in the business of storing and dispensing motor fuel from a motor fuel pump for sale on a retail basis, regardless of whether the motor fuel pump is located at a retail motor fuel site including a permanent or mobile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motor fuel site” </w:t>
      </w:r>
      <w:r>
        <w:rPr>
          <w:rFonts w:ascii="Times New Roman" w:hAnsi="Times New Roman"/>
          <w:b w:val="false"/>
          <w:i w:val="false"/>
          <w:color w:val="000000"/>
          <w:sz w:val="22"/>
        </w:rPr>
        <w:t>means a geographic location in Iowa where a retail dealer sells and dispenses motor fuel on a retail basis. For example, tank wagons are considered retail motor fuel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“Sell” </w:t>
      </w:r>
      <w:r>
        <w:rPr>
          <w:rFonts w:ascii="Times New Roman" w:hAnsi="Times New Roman"/>
          <w:b w:val="false"/>
          <w:i w:val="false"/>
          <w:color w:val="000000"/>
          <w:sz w:val="22"/>
        </w:rPr>
        <w:t>means to sell on a retail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304.20(2)</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w:t>
      </w:r>
      <w:r>
        <w:rPr>
          <w:rFonts w:ascii="Times New Roman" w:hAnsi="Times New Roman"/>
          <w:b w:val="false"/>
          <w:i w:val="false"/>
          <w:color w:val="000000"/>
          <w:sz w:val="22"/>
        </w:rPr>
        <w:t>If the taxpayer that was entitled to the ethanol blended gasoline tax credit is a partnership, limited liability company, S corporation, estate, or trust, the business entity shall allocate the allowable credit to each of the individual owners of the entity on the basis of each owner’s pro rata share of the earnings of the entity to the total earnings of the entity. Therefore, if a partnership has an ethanol blended gasoline tax credit of $3,000 and one partner of the partnership receives 25 percent of the earnings of the partnership, that partner would receive an ethanol blended gasoline tax credit for the tax year of $750 or 25 percent of the total ethanol blended gasoline tax credit of the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304.20(3)</w:t>
      </w:r>
      <w:r>
        <w:rPr>
          <w:rFonts w:ascii="Times New Roman" w:hAnsi="Times New Roman"/>
          <w:b w:val="false"/>
          <w:i w:val="false"/>
          <w:color w:val="000000"/>
          <w:sz w:val="22"/>
        </w:rPr>
        <w:t> </w:t>
      </w:r>
      <w:r>
        <w:rPr>
          <w:rFonts w:ascii="Times New Roman" w:hAnsi="Times New Roman"/>
          <w:b w:val="false"/>
          <w:i/>
          <w:color w:val="000000"/>
          <w:sz w:val="22"/>
        </w:rPr>
        <w:t xml:space="preserve">Repeal of ethanol blended gasoline tax credit. </w:t>
      </w:r>
      <w:r>
        <w:rPr>
          <w:rFonts w:ascii="Times New Roman" w:hAnsi="Times New Roman"/>
          <w:b w:val="false"/>
          <w:i w:val="false"/>
          <w:color w:val="000000"/>
          <w:sz w:val="22"/>
        </w:rPr>
        <w:t xml:space="preserve">The ethanol blended gasoline tax credit is repealed on January 1, 2009. However, the tax credit is available for taxpayers whose fiscal year ends after December 31, 2008, for those ethanol gallons sold beginning on the first day of the taxpayer’s fiscal year until December 31, 2008. The ethanol promotion tax credit described in rule </w:t>
      </w:r>
      <w:hyperlink r:id="rId164">
        <w:r>
          <w:rPr>
            <w:rStyle w:val="Hyperlink"/>
            <w:rFonts w:ascii="Times New Roman" w:hAnsi="Times New Roman"/>
            <w:b w:val="false"/>
            <w:i w:val="false"/>
            <w:color w:val="000000"/>
            <w:sz w:val="22"/>
          </w:rPr>
          <w:t>701—304.37</w:t>
        </w:r>
      </w:hyperlink>
      <w:r>
        <w:rPr>
          <w:rFonts w:ascii="Times New Roman" w:hAnsi="Times New Roman"/>
          <w:b w:val="false"/>
          <w:i w:val="false"/>
          <w:color w:val="000000"/>
          <w:sz w:val="22"/>
        </w:rPr>
        <w:t>(15,422) is available beginning January 1, 2009, for retail dealers of gasoline.</w:t>
      </w:r>
    </w:p>
    <w:p>
      <w:pPr>
        <w:spacing w:before="0" w:after="0"/>
        <w:ind w:left="120"/>
        <w:jc w:val="both"/>
      </w:pPr>
      <w:r>
        <w:rPr>
          <w:rFonts w:ascii="Times New Roman" w:hAnsi="Times New Roman"/>
          <w:b w:val="false"/>
          <w:i w:val="false"/>
          <w:color w:val="000000"/>
          <w:sz w:val="22"/>
        </w:rPr>
        <w:t xml:space="preserve">See </w:t>
      </w:r>
      <w:hyperlink r:id="rId165">
        <w:r>
          <w:rPr>
            <w:rStyle w:val="Hyperlink"/>
            <w:rFonts w:ascii="Times New Roman" w:hAnsi="Times New Roman"/>
            <w:b w:val="false"/>
            <w:i w:val="false"/>
            <w:color w:val="000000"/>
            <w:sz w:val="22"/>
          </w:rPr>
          <w:t>701—subrule 501.19(3)</w:t>
        </w:r>
      </w:hyperlink>
      <w:r>
        <w:rPr>
          <w:rFonts w:ascii="Times New Roman" w:hAnsi="Times New Roman"/>
          <w:b w:val="false"/>
          <w:i w:val="false"/>
          <w:color w:val="000000"/>
          <w:sz w:val="22"/>
        </w:rPr>
        <w:t xml:space="preserve"> for an example illustrating how this subrule is applied.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6">
        <w:r>
          <w:rPr>
            <w:rStyle w:val="Hyperlink"/>
            <w:rFonts w:ascii="Times New Roman" w:hAnsi="Times New Roman"/>
            <w:b w:val="false"/>
            <w:i w:val="false"/>
            <w:color w:val="000000"/>
            <w:sz w:val="22"/>
          </w:rPr>
          <w:t>422.11C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701—304.21</w:t>
      </w:r>
      <w:r>
        <w:rPr>
          <w:rFonts w:ascii="Times New Roman" w:hAnsi="Times New Roman"/>
          <w:b/>
          <w:i w:val="false"/>
          <w:color w:val="000000"/>
          <w:sz w:val="22"/>
        </w:rPr>
        <w:t xml:space="preserve">(15E) </w:t>
      </w:r>
      <w:r>
        <w:rPr>
          <w:rFonts w:ascii="Times New Roman" w:hAnsi="Times New Roman"/>
          <w:b/>
          <w:i w:val="false"/>
          <w:color w:val="000000"/>
          <w:sz w:val="22"/>
        </w:rPr>
        <w:t xml:space="preserve">Eligible development business investment tax credit. </w:t>
      </w:r>
      <w:r>
        <w:rPr>
          <w:rFonts w:ascii="Times New Roman" w:hAnsi="Times New Roman"/>
          <w:b w:val="false"/>
          <w:i w:val="false"/>
          <w:color w:val="000000"/>
          <w:sz w:val="22"/>
        </w:rPr>
        <w:t>Effective for tax years beginning on or after January 1, 2001, a business which qualifies as an eligible development business may receive a tax credit of up to 10 percent of the new investment which is directly related to the construction, expansion or rehabilitation of building space to be used for manufacturing, processing, cold storage, distribution, or office facilities.</w:t>
      </w:r>
    </w:p>
    <w:p>
      <w:pPr>
        <w:spacing w:before="0" w:after="0"/>
        <w:ind w:left="120"/>
        <w:jc w:val="both"/>
      </w:pPr>
      <w:r>
        <w:rPr>
          <w:rFonts w:ascii="Times New Roman" w:hAnsi="Times New Roman"/>
          <w:b w:val="false"/>
          <w:i w:val="false"/>
          <w:color w:val="000000"/>
          <w:sz w:val="22"/>
        </w:rPr>
        <w:t xml:space="preserve">An eligible development business must be approved by the Iowa department of economic development prior to March 17, 2004, and meet the qualifications of Iowa Code section </w:t>
      </w:r>
      <w:hyperlink r:id="rId167">
        <w:r>
          <w:rPr>
            <w:rStyle w:val="Hyperlink"/>
            <w:rFonts w:ascii="Times New Roman" w:hAnsi="Times New Roman"/>
            <w:b w:val="false"/>
            <w:i w:val="false"/>
            <w:color w:val="000000"/>
            <w:sz w:val="22"/>
          </w:rPr>
          <w:t>15E.193C</w:t>
        </w:r>
      </w:hyperlink>
      <w:r>
        <w:rPr>
          <w:rFonts w:ascii="Times New Roman" w:hAnsi="Times New Roman"/>
          <w:b w:val="false"/>
          <w:i w:val="false"/>
          <w:color w:val="000000"/>
          <w:sz w:val="22"/>
        </w:rPr>
        <w:t>. Effective March 17, 2004, the eligible development business program is repealed.</w:t>
      </w:r>
    </w:p>
    <w:p>
      <w:pPr>
        <w:spacing w:before="0" w:after="0"/>
        <w:ind w:left="120"/>
        <w:jc w:val="both"/>
      </w:pPr>
      <w:r>
        <w:rPr>
          <w:rFonts w:ascii="Times New Roman" w:hAnsi="Times New Roman"/>
          <w:b w:val="false"/>
          <w:i w:val="false"/>
          <w:color w:val="000000"/>
          <w:sz w:val="22"/>
        </w:rPr>
        <w:t>New investment includes the purchase price of land and the cost of improvements made to real property. The tax credit may be claimed by an eligible development business in the tax year in which the construction, expansion or rehabilitation is completed.</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seven years or until used, whichever is the earlier.</w:t>
      </w:r>
    </w:p>
    <w:p>
      <w:pPr>
        <w:spacing w:before="0" w:after="0"/>
        <w:ind w:left="120"/>
        <w:jc w:val="both"/>
      </w:pPr>
      <w:r>
        <w:rPr>
          <w:rFonts w:ascii="Times New Roman" w:hAnsi="Times New Roman"/>
          <w:b w:val="false"/>
          <w:i w:val="false"/>
          <w:color w:val="000000"/>
          <w:sz w:val="22"/>
        </w:rPr>
        <w:t>If the business is a partnership, S corporation, limited liability company, or an estate or trust electing to have the income taxed directly to the individual, an individual may claim the credit.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If the eligible development business fails to meet and maintain any one of the requirements to be an eligible business, the business shall be subject to repayment of all or a portion of the amount of tax incentives received. For example, if within five years of project completion the development business sells or leases any space to any retail business, the development business shall proportionally repay the value of the investment credit. The proportion of the investment credit that would be due for repayment by an eligible development business for selling or leasing space to a retail business would be determined by dividing the square footage of building space occupied by the retail business by the square footage of the total building space.</w:t>
      </w:r>
    </w:p>
    <w:p>
      <w:pPr>
        <w:spacing w:before="0" w:after="0"/>
        <w:ind w:left="120"/>
        <w:jc w:val="both"/>
      </w:pPr>
      <w:r>
        <w:rPr>
          <w:rFonts w:ascii="Times New Roman" w:hAnsi="Times New Roman"/>
          <w:b w:val="false"/>
          <w:i w:val="false"/>
          <w:color w:val="000000"/>
          <w:sz w:val="22"/>
        </w:rPr>
        <w:t>An eligible business which is not a development business and which operates in an enterprise zone cannot claim an investment tax credit if the property is owned, or was previously owned, by an approved development business that has already received an investment tax credit. An eligible business which is not a development business can claim an investment tax credit only on additional new improvements made to real property that was not included in the development business’s approved application for the investment tax credit.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8">
        <w:r>
          <w:rPr>
            <w:rStyle w:val="Hyperlink"/>
            <w:rFonts w:ascii="Times New Roman" w:hAnsi="Times New Roman"/>
            <w:b w:val="false"/>
            <w:i w:val="false"/>
            <w:color w:val="000000"/>
            <w:sz w:val="22"/>
          </w:rPr>
          <w:t>15E.193C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701—304.22</w:t>
      </w:r>
      <w:r>
        <w:rPr>
          <w:rFonts w:ascii="Times New Roman" w:hAnsi="Times New Roman"/>
          <w:b/>
          <w:i w:val="false"/>
          <w:color w:val="000000"/>
          <w:sz w:val="22"/>
        </w:rPr>
        <w:t xml:space="preserve">(15E,422) </w:t>
      </w:r>
      <w:r>
        <w:rPr>
          <w:rFonts w:ascii="Times New Roman" w:hAnsi="Times New Roman"/>
          <w:b/>
          <w:i w:val="false"/>
          <w:color w:val="000000"/>
          <w:sz w:val="22"/>
        </w:rPr>
        <w:t xml:space="preserve">Venture capital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304.22(1)</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for an equity investment in a qualifying business or community-based seed capital 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Equity investments in a qualifying business or community-based seed capital fund before January 1, 2011. </w:t>
      </w:r>
      <w:r>
        <w:rPr>
          <w:rFonts w:ascii="Times New Roman" w:hAnsi="Times New Roman"/>
          <w:b w:val="false"/>
          <w:i w:val="false"/>
          <w:color w:val="000000"/>
          <w:sz w:val="22"/>
        </w:rPr>
        <w:t xml:space="preserve">See rule </w:t>
      </w:r>
      <w:hyperlink r:id="rId169">
        <w:r>
          <w:rPr>
            <w:rStyle w:val="Hyperlink"/>
            <w:rFonts w:ascii="Times New Roman" w:hAnsi="Times New Roman"/>
            <w:b w:val="false"/>
            <w:i w:val="false"/>
            <w:color w:val="000000"/>
            <w:sz w:val="22"/>
          </w:rPr>
          <w:t>123—2.1</w:t>
        </w:r>
      </w:hyperlink>
      <w:r>
        <w:rPr>
          <w:rFonts w:ascii="Times New Roman" w:hAnsi="Times New Roman"/>
          <w:b w:val="false"/>
          <w:i w:val="false"/>
          <w:color w:val="000000"/>
          <w:sz w:val="22"/>
        </w:rPr>
        <w:t>(15E) for the discussion of the investment tax credit for an equity investment in a qualifying business or community-based seed capital fund, along with the issuance of tax credit certificates by the Iowa capital investment board, for equity investments made before January 1, 2011. For equity investments made in a qualifying business prior to January 1, 2004, only direct investments made by an individual are eligible for the investment tax credit. Individuals receiving income from a revocable trust’s investment in a qualifying business are eligible for the investment tax credit for the portion of the revocable trust’s equity investment in a qualifying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Equity investments in a qualifying business or community-based seed capital fund on or after January 1, 2011, and before July 2, 2015. </w:t>
      </w:r>
      <w:r>
        <w:rPr>
          <w:rFonts w:ascii="Times New Roman" w:hAnsi="Times New Roman"/>
          <w:b w:val="false"/>
          <w:i w:val="false"/>
          <w:color w:val="000000"/>
          <w:sz w:val="22"/>
        </w:rPr>
        <w:t xml:space="preserve">For equity investments made on or after January 1, 2011, see </w:t>
      </w:r>
      <w:hyperlink r:id="rId170">
        <w:r>
          <w:rPr>
            <w:rStyle w:val="Hyperlink"/>
            <w:rFonts w:ascii="Times New Roman" w:hAnsi="Times New Roman"/>
            <w:b w:val="false"/>
            <w:i w:val="false"/>
            <w:color w:val="000000"/>
            <w:sz w:val="22"/>
          </w:rPr>
          <w:t>261—Chapter 115</w:t>
        </w:r>
      </w:hyperlink>
      <w:r>
        <w:rPr>
          <w:rFonts w:ascii="Times New Roman" w:hAnsi="Times New Roman"/>
          <w:b w:val="false"/>
          <w:i w:val="false"/>
          <w:color w:val="000000"/>
          <w:sz w:val="22"/>
        </w:rPr>
        <w:t xml:space="preserve"> for information regarding eligibility for qualifying businesses and community-based seed capital funds, applications for the investment tax credit for equity investments in a qualifying business or community-based seed capital fund, and the issuance of tax credit certificates by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Certificate issuance. The department of revenue will be notified by the economic development authority when the tax credit certificates are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Amount of the tax credit. The credit is equal to 20 percent of the taxpayer’s equity investment in a qualifying business or community-based seed capital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Year in which the tax credit may be claimed. An investment shall be deemed to have been made on the same date as the date of acquisition of the equity interest as determined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For investments made prior to January 1, 2014, a taxpayer shall not claim the tax credit prior to the third tax year following the tax year in which the investment is made. For investments made in qualifying businesses on or after January 1, 2014, the credit can be claimed in the year of the investment. However, for investments made in qualifying businesses during the 2014 calendar year, the credit cannot be redeemed prior to January 1, 2016. For example, if an individual taxpayer whose tax year ends on December 31, 2012, makes an equity investment during the 2012 calendar year, the individual taxpayer cannot claim the tax credit until the tax year ending December 31, 2015. However, if the taxpayer dies prior to redeeming the tax credit, the remaining tax credit may be redeemed on the decedent’s final income tax return. For fiscal years beginning July 1, 2011, the amount of tax credits authorized cannot exceed $2 million. The tax credit certificate must be included with the taxpayer’s return for the tax year in which the credit may be redeemed as stated on the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Carried over tax credits. If a tax credit is carried over and issued for the tax year immediately following the year in which the investment was made because the $2 million cap has been reached, the tax credit may be claimed by the taxpayer for the third tax year following the tax year for which the credit is issued. For example, if an individual taxpayer makes an equity investment in December 2012 and the $2 million cap for the fiscal year ending June 30, 2013, had already been reached, the tax credit will be issued for the tax year ending December 31, 2013, and cannot be redeemed until the tax year ending December 31,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Limitations. Any credit in excess of the tax liability for the tax year may be credited to the tax liability for the following five years or until used, whichever is the earlier. The tax credit cannot be carried back to a tax year prior to the tax year in which the taxpayer claims the tax credit. The tax credit is not transferable to any other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 rata tax credit claims for certain business entities. For equity investments made in a community-based seed capital fund or equity investments made in a qualifying business on or after January 1, 2004,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Equity investments in a qualifying business on or after July 2, 2015. </w:t>
      </w:r>
      <w:r>
        <w:rPr>
          <w:rFonts w:ascii="Times New Roman" w:hAnsi="Times New Roman"/>
          <w:b w:val="false"/>
          <w:i w:val="false"/>
          <w:color w:val="000000"/>
          <w:sz w:val="22"/>
        </w:rPr>
        <w:t xml:space="preserve">For equity investments made on or after July 2, 2015, see </w:t>
      </w:r>
      <w:hyperlink r:id="rId171">
        <w:r>
          <w:rPr>
            <w:rStyle w:val="Hyperlink"/>
            <w:rFonts w:ascii="Times New Roman" w:hAnsi="Times New Roman"/>
            <w:b w:val="false"/>
            <w:i w:val="false"/>
            <w:color w:val="000000"/>
            <w:sz w:val="22"/>
          </w:rPr>
          <w:t>261—Chapter 115</w:t>
        </w:r>
      </w:hyperlink>
      <w:r>
        <w:rPr>
          <w:rFonts w:ascii="Times New Roman" w:hAnsi="Times New Roman"/>
          <w:b w:val="false"/>
          <w:i w:val="false"/>
          <w:color w:val="000000"/>
          <w:sz w:val="22"/>
        </w:rPr>
        <w:t xml:space="preserve"> for information regarding eligibility for qualifying businesses, applications for the investment tax credit for equity investments in a qualifying business, and the issuance of tax credit certificates by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Certificate issuance. The department of revenue will be notified by the economic development authority when the tax credit certificates are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 of the tax credit. For fiscal years beginning July 1, 2011, the amount of the tax credits authorized cannot exceed $2 million. The credit is equal to 25 percent of the taxpayer’s equity investment in a qualifying business. In any one calendar year, the amount of tax credits issued for any one qualifying business shall not exceed $500,000. The maximum amount of tax credit that may be issued per calendar year to a natural person and the person’s spouse or dependent shall not exceed $100,000 combined. For purposes of this paragraph, “dependent” has the same meaning as provided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Year in which the tax credit may be claimed. A taxpayer shall not claim a tax credit prior to September 1, 2016. The tax credit certificate must be included with the taxpayer’s return for the tax year in which the credit may be redeemed as stated on the tax credit certificate. For purposes of this paragraph, an investment shall be deemed to have been made on the same date as the date of acquisition of the equity interest as determined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 rata tax credit claims for certain business entities.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 Any credits claimed by an individual are subject to the limitations provided in </w:t>
      </w:r>
      <w:hyperlink r:id="rId172">
        <w:r>
          <w:rPr>
            <w:rStyle w:val="Hyperlink"/>
            <w:rFonts w:ascii="Times New Roman" w:hAnsi="Times New Roman"/>
            <w:b w:val="false"/>
            <w:i w:val="false"/>
            <w:color w:val="000000"/>
            <w:sz w:val="22"/>
          </w:rPr>
          <w:t>304.22(1)</w:t>
        </w:r>
      </w:hyperlink>
      <w:r>
        <w:rPr>
          <w:rFonts w:ascii="Times New Roman" w:hAnsi="Times New Roman"/>
          <w:b w:val="false"/>
          <w:i/>
          <w:color w:val="000000"/>
          <w:sz w:val="22"/>
        </w:rPr>
        <w:t>“c”</w:t>
      </w:r>
      <w:r>
        <w:rPr>
          <w:rFonts w:ascii="Times New Roman" w:hAnsi="Times New Roman"/>
          <w:b w:val="false"/>
          <w:i w:val="false"/>
          <w:color w:val="000000"/>
          <w:sz w:val="22"/>
        </w:rPr>
        <w:t>(2)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Refundability. For a tax credit claimed against the taxes imposed in Iowa Code chapter </w:t>
      </w:r>
      <w:hyperlink r:id="rId173">
        <w:r>
          <w:rPr>
            <w:rStyle w:val="Hyperlink"/>
            <w:rFonts w:ascii="Times New Roman" w:hAnsi="Times New Roman"/>
            <w:b w:val="false"/>
            <w:i w:val="false"/>
            <w:color w:val="000000"/>
            <w:sz w:val="22"/>
          </w:rPr>
          <w:t>422, division II</w:t>
        </w:r>
      </w:hyperlink>
      <w:r>
        <w:rPr>
          <w:rFonts w:ascii="Times New Roman" w:hAnsi="Times New Roman"/>
          <w:b w:val="false"/>
          <w:i w:val="false"/>
          <w:color w:val="000000"/>
          <w:sz w:val="22"/>
        </w:rPr>
        <w:t>, any tax credit in excess of the tax liability is refundable. In lieu of claiming a refund, the taxpayer may elect to have the overpayment shown on the taxpayer’s final completed return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Transfers and carryback of tax credits prohibited. The tax credit cannot be carried back to a tax year prior to the tax year in which the taxpayer claims the tax credit. The tax credit is not transferable to any other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304.22(2)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for an equity investment in a venture capital fund. </w:t>
      </w:r>
      <w:r>
        <w:rPr>
          <w:rFonts w:ascii="Times New Roman" w:hAnsi="Times New Roman"/>
          <w:b w:val="false"/>
          <w:i w:val="false"/>
          <w:color w:val="000000"/>
          <w:sz w:val="22"/>
        </w:rPr>
        <w:t xml:space="preserve">See rule </w:t>
      </w:r>
      <w:hyperlink r:id="rId174">
        <w:r>
          <w:rPr>
            <w:rStyle w:val="Hyperlink"/>
            <w:rFonts w:ascii="Times New Roman" w:hAnsi="Times New Roman"/>
            <w:b w:val="false"/>
            <w:i w:val="false"/>
            <w:color w:val="000000"/>
            <w:sz w:val="22"/>
          </w:rPr>
          <w:t>123—3.1</w:t>
        </w:r>
      </w:hyperlink>
      <w:r>
        <w:rPr>
          <w:rFonts w:ascii="Times New Roman" w:hAnsi="Times New Roman"/>
          <w:b w:val="false"/>
          <w:i w:val="false"/>
          <w:color w:val="000000"/>
          <w:sz w:val="22"/>
        </w:rPr>
        <w:t>(15E) for the discussion of the investment tax credit for an equity investment in a venture capital fund, along with the issuance of tax credit certificates by the Iowa capital investment board. This credit is repealed for investments in venture capital funds made after July 1, 2010.</w:t>
      </w:r>
    </w:p>
    <w:p>
      <w:pPr>
        <w:spacing w:before="0" w:after="0"/>
        <w:ind w:left="120"/>
        <w:jc w:val="both"/>
      </w:pPr>
      <w:r>
        <w:rPr>
          <w:rFonts w:ascii="Times New Roman" w:hAnsi="Times New Roman"/>
          <w:b w:val="false"/>
          <w:i w:val="false"/>
          <w:color w:val="000000"/>
          <w:sz w:val="22"/>
        </w:rPr>
        <w:t>The department of revenue will be notified by the Iowa capital investment board when the tax credit certificates are issued. The tax credit certificate must be attached to the taxpayer’s return for the tax year in which the credit may be redeemed as stated on the tax credit certificate.</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used, whichever is the earlier.</w:t>
      </w:r>
    </w:p>
    <w:p>
      <w:pPr>
        <w:spacing w:before="0" w:after="0"/>
        <w:ind w:left="120"/>
        <w:jc w:val="both"/>
      </w:pPr>
      <w:r>
        <w:rPr>
          <w:rFonts w:ascii="Times New Roman" w:hAnsi="Times New Roman"/>
          <w:b w:val="false"/>
          <w:i w:val="false"/>
          <w:color w:val="000000"/>
          <w:sz w:val="22"/>
        </w:rPr>
        <w:t>For equity investments made in a venture capital fund,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304.22(3)</w:t>
      </w:r>
      <w:r>
        <w:rPr>
          <w:rFonts w:ascii="Times New Roman" w:hAnsi="Times New Roman"/>
          <w:b w:val="false"/>
          <w:i w:val="false"/>
          <w:color w:val="000000"/>
          <w:sz w:val="22"/>
        </w:rPr>
        <w:t> </w:t>
      </w:r>
      <w:r>
        <w:rPr>
          <w:rFonts w:ascii="Times New Roman" w:hAnsi="Times New Roman"/>
          <w:b w:val="false"/>
          <w:i/>
          <w:color w:val="000000"/>
          <w:sz w:val="22"/>
        </w:rPr>
        <w:t xml:space="preserve">Contingent tax credit for investments in Iowa fund of funds. </w:t>
      </w:r>
      <w:r>
        <w:rPr>
          <w:rFonts w:ascii="Times New Roman" w:hAnsi="Times New Roman"/>
          <w:b w:val="false"/>
          <w:i w:val="false"/>
          <w:color w:val="000000"/>
          <w:sz w:val="22"/>
        </w:rPr>
        <w:t xml:space="preserve">See rule </w:t>
      </w:r>
      <w:hyperlink r:id="rId175">
        <w:r>
          <w:rPr>
            <w:rStyle w:val="Hyperlink"/>
            <w:rFonts w:ascii="Times New Roman" w:hAnsi="Times New Roman"/>
            <w:b w:val="false"/>
            <w:i w:val="false"/>
            <w:color w:val="000000"/>
            <w:sz w:val="22"/>
          </w:rPr>
          <w:t>123—4.1</w:t>
        </w:r>
      </w:hyperlink>
      <w:r>
        <w:rPr>
          <w:rFonts w:ascii="Times New Roman" w:hAnsi="Times New Roman"/>
          <w:b w:val="false"/>
          <w:i w:val="false"/>
          <w:color w:val="000000"/>
          <w:sz w:val="22"/>
        </w:rPr>
        <w:t>(15E) for the discussion of the contingent tax credit available for investments made in the Iowa fund of funds organized by the Iowa capital investment corporation. Tax credit certificates related to the contingent tax credits will be issued by the Iowa capital investment board.</w:t>
      </w:r>
    </w:p>
    <w:p>
      <w:pPr>
        <w:spacing w:before="0" w:after="0"/>
        <w:ind w:left="120"/>
        <w:jc w:val="both"/>
      </w:pPr>
      <w:r>
        <w:rPr>
          <w:rFonts w:ascii="Times New Roman" w:hAnsi="Times New Roman"/>
          <w:b w:val="false"/>
          <w:i w:val="false"/>
          <w:color w:val="000000"/>
          <w:sz w:val="22"/>
        </w:rPr>
        <w:t>The department of revenue will be notified by the Iowa capital investment board when these tax credit certificates are issued and, if applicable, when they are redeemed. If the tax credit certificate is redeemed, the certificate must be attached to the taxpayer’s return for the tax year in which the credit may be redeemed as stated on the tax credit certificate.</w:t>
      </w:r>
    </w:p>
    <w:p>
      <w:pPr>
        <w:spacing w:before="0" w:after="0"/>
        <w:ind w:left="120"/>
        <w:jc w:val="both"/>
      </w:pPr>
      <w:r>
        <w:rPr>
          <w:rFonts w:ascii="Times New Roman" w:hAnsi="Times New Roman"/>
          <w:b w:val="false"/>
          <w:i w:val="false"/>
          <w:color w:val="000000"/>
          <w:sz w:val="22"/>
        </w:rPr>
        <w:t>If the tax credit certificate is redeemed, any credit in excess of the tax liability for the tax year may be credited to the tax liability for the following seven years or until used, whichever is the earlier.</w:t>
      </w:r>
    </w:p>
    <w:p>
      <w:pPr>
        <w:spacing w:before="0" w:after="0"/>
        <w:ind w:left="120"/>
        <w:jc w:val="both"/>
      </w:pPr>
      <w:r>
        <w:rPr>
          <w:rFonts w:ascii="Times New Roman" w:hAnsi="Times New Roman"/>
          <w:b w:val="false"/>
          <w:i w:val="false"/>
          <w:color w:val="000000"/>
          <w:sz w:val="22"/>
        </w:rPr>
        <w:t>If the tax credit certificate is redeemed,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304.22(4)</w:t>
      </w:r>
      <w:r>
        <w:rPr>
          <w:rFonts w:ascii="Times New Roman" w:hAnsi="Times New Roman"/>
          <w:b w:val="false"/>
          <w:i w:val="false"/>
          <w:color w:val="000000"/>
          <w:sz w:val="22"/>
        </w:rPr>
        <w:t> </w:t>
      </w:r>
      <w:r>
        <w:rPr>
          <w:rFonts w:ascii="Times New Roman" w:hAnsi="Times New Roman"/>
          <w:b w:val="false"/>
          <w:i/>
          <w:color w:val="000000"/>
          <w:sz w:val="22"/>
        </w:rPr>
        <w:t xml:space="preserve">Innovation fund investment tax credit. </w:t>
      </w:r>
      <w:r>
        <w:rPr>
          <w:rFonts w:ascii="Times New Roman" w:hAnsi="Times New Roman"/>
          <w:b w:val="false"/>
          <w:i w:val="false"/>
          <w:color w:val="000000"/>
          <w:sz w:val="22"/>
        </w:rPr>
        <w:t xml:space="preserve">See </w:t>
      </w:r>
      <w:hyperlink r:id="rId176">
        <w:r>
          <w:rPr>
            <w:rStyle w:val="Hyperlink"/>
            <w:rFonts w:ascii="Times New Roman" w:hAnsi="Times New Roman"/>
            <w:b w:val="false"/>
            <w:i w:val="false"/>
            <w:color w:val="000000"/>
            <w:sz w:val="22"/>
          </w:rPr>
          <w:t>261—Chapter 116</w:t>
        </w:r>
      </w:hyperlink>
      <w:r>
        <w:rPr>
          <w:rFonts w:ascii="Times New Roman" w:hAnsi="Times New Roman"/>
          <w:b w:val="false"/>
          <w:i w:val="false"/>
          <w:color w:val="000000"/>
          <w:sz w:val="22"/>
        </w:rPr>
        <w:t xml:space="preserve"> for information regarding eligibility for an innovation fund, applications for the investment tax credit for investments in an innovation fund, and the issuance of tax credit certificates by the economic development authority.</w:t>
      </w:r>
    </w:p>
    <w:p>
      <w:pPr>
        <w:spacing w:before="0" w:after="0"/>
        <w:ind w:left="120"/>
        <w:jc w:val="both"/>
      </w:pPr>
      <w:r>
        <w:rPr>
          <w:rFonts w:ascii="Times New Roman" w:hAnsi="Times New Roman"/>
          <w:b w:val="false"/>
          <w:i w:val="false"/>
          <w:color w:val="000000"/>
          <w:sz w:val="22"/>
        </w:rPr>
        <w:t xml:space="preserve">The department of revenue will be notified by the economic development authority when the tax credit certificates are issued. The credit is equal to 20 percent of the taxpayer’s equity investment in the form of cash in an innovation fund for tax years beginning and investments made on or after January 1, 2011, and before January 1, 2013. For tax years beginning and investments made on or after January 1, 2013, the taxpayer may claim a tax credit equal to 25 percent of the taxpayer’s equity investment in the form of cash in an innovation fund. An investment shall be deemed to have been made on the same date as the date of acquisition of the equity interest as determined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A taxpayer shall claim the tax credit for the tax year in which the investment is made. For fiscal years beginning July 1, 2011, the amount of tax credits authorized cannot exceed $8 million. No tax credit certificates will be issued prior to September 1, 2014. The tax credit certificate must be attached to the taxpayer’s return for the tax year in which the investment was made as stated on the tax credit certificate.</w:t>
      </w:r>
    </w:p>
    <w:p>
      <w:pPr>
        <w:spacing w:before="0" w:after="0"/>
        <w:ind w:left="120"/>
        <w:jc w:val="both"/>
      </w:pPr>
      <w:r>
        <w:rPr>
          <w:rFonts w:ascii="Times New Roman" w:hAnsi="Times New Roman"/>
          <w:b w:val="false"/>
          <w:i w:val="false"/>
          <w:color w:val="000000"/>
          <w:sz w:val="22"/>
        </w:rPr>
        <w:t>If a tax credit is carried over and issued for the tax year immediately following the year in which the investment was made because the $8 million cap has been reached, the tax credit may be claimed by the taxpayer for the tax year following the tax year for which the credit is issued. For example, if an individual taxpayer makes an equity investment in December 2013 and the $8 million cap for the fiscal year ending June 30, 2014, had already been reached, the tax credit will be issued for the tax year ending December 31, 2014, and can be redeemed for the tax year ending December 31, 2014.</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depleted, whichever is the earlier. The tax credit cannot be carried back to a tax year prior to the tax year in which the taxpayer claims the tax credit.</w:t>
      </w:r>
    </w:p>
    <w:p>
      <w:pPr>
        <w:spacing w:before="0" w:after="0"/>
        <w:ind w:left="120"/>
        <w:jc w:val="both"/>
      </w:pPr>
      <w:r>
        <w:rPr>
          <w:rFonts w:ascii="Times New Roman" w:hAnsi="Times New Roman"/>
          <w:b w:val="false"/>
          <w:i w:val="false"/>
          <w:color w:val="000000"/>
          <w:sz w:val="22"/>
        </w:rPr>
        <w:t>The innovation fund tax credit certificate may be transferred once to any person or entity.</w:t>
      </w:r>
    </w:p>
    <w:p>
      <w:pPr>
        <w:spacing w:before="0" w:after="0"/>
        <w:ind w:left="120"/>
        <w:jc w:val="both"/>
      </w:pPr>
      <w:r>
        <w:rPr>
          <w:rFonts w:ascii="Times New Roman" w:hAnsi="Times New Roman"/>
          <w:b w:val="false"/>
          <w:i w:val="false"/>
          <w:color w:val="000000"/>
          <w:sz w:val="22"/>
        </w:rPr>
        <w:t>Within 90 days of transfer of the tax credit certificate, the transferee must submit the transferred tax credit certificate to the department, along with a statement which contains the transferee’s name, address and tax identification number and the amount of the tax credit being transferred. Within 30 days of receiving the transferred tax credit certificate and the statement from the transferee, the department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innovation fund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and the same expiration date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year for which the original transferor could have claimed the tax credit. 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For equity investments made in an innovation fund, an individual may claim the credit if the investment was made by a partnership, S corporation, limited liability company,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7">
        <w:r>
          <w:rPr>
            <w:rStyle w:val="Hyperlink"/>
            <w:rFonts w:ascii="Times New Roman" w:hAnsi="Times New Roman"/>
            <w:b w:val="false"/>
            <w:i w:val="false"/>
            <w:color w:val="000000"/>
            <w:sz w:val="22"/>
          </w:rPr>
          <w:t>15E.51</w:t>
        </w:r>
      </w:hyperlink>
      <w:r>
        <w:rPr>
          <w:rFonts w:ascii="Times New Roman" w:hAnsi="Times New Roman"/>
          <w:b w:val="false"/>
          <w:i w:val="false"/>
          <w:color w:val="000000"/>
          <w:sz w:val="22"/>
        </w:rPr>
        <w:t xml:space="preserve">, </w:t>
      </w:r>
      <w:hyperlink r:id="rId178">
        <w:r>
          <w:rPr>
            <w:rStyle w:val="Hyperlink"/>
            <w:rFonts w:ascii="Times New Roman" w:hAnsi="Times New Roman"/>
            <w:b w:val="false"/>
            <w:i w:val="false"/>
            <w:color w:val="000000"/>
            <w:sz w:val="22"/>
          </w:rPr>
          <w:t>15E.52</w:t>
        </w:r>
      </w:hyperlink>
      <w:r>
        <w:rPr>
          <w:rFonts w:ascii="Times New Roman" w:hAnsi="Times New Roman"/>
          <w:b w:val="false"/>
          <w:i w:val="false"/>
          <w:color w:val="000000"/>
          <w:sz w:val="22"/>
        </w:rPr>
        <w:t xml:space="preserve">, </w:t>
      </w:r>
      <w:hyperlink r:id="rId179">
        <w:r>
          <w:rPr>
            <w:rStyle w:val="Hyperlink"/>
            <w:rFonts w:ascii="Times New Roman" w:hAnsi="Times New Roman"/>
            <w:b w:val="false"/>
            <w:i w:val="false"/>
            <w:color w:val="000000"/>
            <w:sz w:val="22"/>
          </w:rPr>
          <w:t>15E.66</w:t>
        </w:r>
      </w:hyperlink>
      <w:r>
        <w:rPr>
          <w:rFonts w:ascii="Times New Roman" w:hAnsi="Times New Roman"/>
          <w:b w:val="false"/>
          <w:i w:val="false"/>
          <w:color w:val="000000"/>
          <w:sz w:val="22"/>
        </w:rPr>
        <w:t xml:space="preserve">, </w:t>
      </w:r>
      <w:hyperlink r:id="rId180">
        <w:r>
          <w:rPr>
            <w:rStyle w:val="Hyperlink"/>
            <w:rFonts w:ascii="Times New Roman" w:hAnsi="Times New Roman"/>
            <w:b w:val="false"/>
            <w:i w:val="false"/>
            <w:color w:val="000000"/>
            <w:sz w:val="22"/>
          </w:rPr>
          <w:t>422.11F</w:t>
        </w:r>
      </w:hyperlink>
      <w:r>
        <w:rPr>
          <w:rFonts w:ascii="Times New Roman" w:hAnsi="Times New Roman"/>
          <w:b w:val="false"/>
          <w:i w:val="false"/>
          <w:color w:val="000000"/>
          <w:sz w:val="22"/>
        </w:rPr>
        <w:t xml:space="preserve">, and </w:t>
      </w:r>
      <w:hyperlink r:id="rId181">
        <w:r>
          <w:rPr>
            <w:rStyle w:val="Hyperlink"/>
            <w:rFonts w:ascii="Times New Roman" w:hAnsi="Times New Roman"/>
            <w:b w:val="false"/>
            <w:i w:val="false"/>
            <w:color w:val="000000"/>
            <w:sz w:val="22"/>
          </w:rPr>
          <w:t>422.11G</w:t>
        </w:r>
      </w:hyperlink>
      <w:r>
        <w:rPr>
          <w:rFonts w:ascii="Times New Roman" w:hAnsi="Times New Roman"/>
          <w:b w:val="false"/>
          <w:i w:val="false"/>
          <w:color w:val="000000"/>
          <w:sz w:val="22"/>
        </w:rPr>
        <w:t xml:space="preserve"> and section </w:t>
      </w:r>
      <w:hyperlink r:id="rId182">
        <w:r>
          <w:rPr>
            <w:rStyle w:val="Hyperlink"/>
            <w:rFonts w:ascii="Times New Roman" w:hAnsi="Times New Roman"/>
            <w:b w:val="false"/>
            <w:i w:val="false"/>
            <w:color w:val="000000"/>
            <w:sz w:val="22"/>
          </w:rPr>
          <w:t>15E.43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2015 Iowa Acts, chapter 138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9966B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2632C</w:t>
      </w:r>
      <w:r>
        <w:rPr>
          <w:rFonts w:ascii="Times New Roman" w:hAnsi="Times New Roman"/>
          <w:b w:val="false"/>
          <w:i w:val="false"/>
          <w:color w:val="000000"/>
          <w:sz w:val="16"/>
        </w:rPr>
        <w:t>, IAB 7/20/16, effective 8/24/16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701—304.23</w:t>
      </w:r>
      <w:r>
        <w:rPr>
          <w:rFonts w:ascii="Times New Roman" w:hAnsi="Times New Roman"/>
          <w:b/>
          <w:i w:val="false"/>
          <w:color w:val="000000"/>
          <w:sz w:val="22"/>
        </w:rPr>
        <w:t xml:space="preserve">(15) </w:t>
      </w:r>
      <w:r>
        <w:rPr>
          <w:rFonts w:ascii="Times New Roman" w:hAnsi="Times New Roman"/>
          <w:b/>
          <w:i w:val="false"/>
          <w:color w:val="000000"/>
          <w:sz w:val="22"/>
        </w:rPr>
        <w:t xml:space="preserve">New capital investment program tax credits. </w:t>
      </w:r>
      <w:r>
        <w:rPr>
          <w:rFonts w:ascii="Times New Roman" w:hAnsi="Times New Roman"/>
          <w:b w:val="false"/>
          <w:i w:val="false"/>
          <w:color w:val="000000"/>
          <w:sz w:val="22"/>
        </w:rPr>
        <w:t xml:space="preserve">Effective for tax periods beginning on or after January 1, 2003, a business which qualifies under the new capital investment program is eligible to receive tax credits. An eligible business under the new capital investment program must be approved by the Iowa department of economic development and meet the qualifications of </w:t>
      </w:r>
      <w:r>
        <w:rPr>
          <w:rFonts w:ascii="Times New Roman" w:hAnsi="Times New Roman"/>
          <w:b w:val="false"/>
          <w:i w:val="false"/>
          <w:color w:val="000000"/>
          <w:sz w:val="22"/>
        </w:rPr>
        <w:t>2003 Iowa Acts, chapter 125</w:t>
      </w:r>
      <w:r>
        <w:rPr>
          <w:rFonts w:ascii="Times New Roman" w:hAnsi="Times New Roman"/>
          <w:b w:val="false"/>
          <w:i w:val="false"/>
          <w:color w:val="000000"/>
          <w:sz w:val="22"/>
        </w:rPr>
        <w:t xml:space="preserve">, section 4. The new capital investment program was repealed on July 1, 2005, and has been replaced with the high quality job creation program. See rule </w:t>
      </w:r>
      <w:hyperlink r:id="rId183">
        <w:r>
          <w:rPr>
            <w:rStyle w:val="Hyperlink"/>
            <w:rFonts w:ascii="Times New Roman" w:hAnsi="Times New Roman"/>
            <w:b w:val="false"/>
            <w:i w:val="false"/>
            <w:color w:val="000000"/>
            <w:sz w:val="22"/>
          </w:rPr>
          <w:t>701—304.29</w:t>
        </w:r>
      </w:hyperlink>
      <w:r>
        <w:rPr>
          <w:rFonts w:ascii="Times New Roman" w:hAnsi="Times New Roman"/>
          <w:b w:val="false"/>
          <w:i w:val="false"/>
          <w:color w:val="000000"/>
          <w:sz w:val="22"/>
        </w:rPr>
        <w:t>(15) for information on the tax credits available under the high quality job creation program. Any tax credits earned by businesses approved under the new capital investment program prior to July 1, 2005, remain valid and can be claimed on tax returns filed after July 1,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304.23(1)</w:t>
      </w:r>
      <w:r>
        <w:rPr>
          <w:rFonts w:ascii="Times New Roman" w:hAnsi="Times New Roman"/>
          <w:b w:val="false"/>
          <w:i w:val="false"/>
          <w:color w:val="000000"/>
          <w:sz w:val="22"/>
        </w:rPr>
        <w:t> </w:t>
      </w:r>
      <w:r>
        <w:rPr>
          <w:rFonts w:ascii="Times New Roman" w:hAnsi="Times New Roman"/>
          <w:b w:val="false"/>
          <w:i/>
          <w:color w:val="000000"/>
          <w:sz w:val="22"/>
        </w:rPr>
        <w:t xml:space="preserve">Research activities credit. </w:t>
      </w:r>
      <w:r>
        <w:rPr>
          <w:rFonts w:ascii="Times New Roman" w:hAnsi="Times New Roman"/>
          <w:b w:val="false"/>
          <w:i w:val="false"/>
          <w:color w:val="000000"/>
          <w:sz w:val="22"/>
        </w:rPr>
        <w:t xml:space="preserve">A business approved under the new capital investment program is eligible for an additional research activities credit as described in </w:t>
      </w:r>
      <w:hyperlink r:id="rId184">
        <w:r>
          <w:rPr>
            <w:rStyle w:val="Hyperlink"/>
            <w:rFonts w:ascii="Times New Roman" w:hAnsi="Times New Roman"/>
            <w:b w:val="false"/>
            <w:i w:val="false"/>
            <w:color w:val="000000"/>
            <w:sz w:val="22"/>
          </w:rPr>
          <w:t>701—subrule 501.7(5)</w:t>
        </w:r>
      </w:hyperlink>
      <w:r>
        <w:rPr>
          <w:rFonts w:ascii="Times New Roman" w:hAnsi="Times New Roman"/>
          <w:b w:val="false"/>
          <w:i w:val="false"/>
          <w:color w:val="000000"/>
          <w:sz w:val="22"/>
        </w:rPr>
        <w:t xml:space="preserve">. This credit for increasing research activities is in lieu of the research activities credit described in subrule </w:t>
      </w:r>
      <w:hyperlink r:id="rId185">
        <w:r>
          <w:rPr>
            <w:rStyle w:val="Hyperlink"/>
            <w:rFonts w:ascii="Times New Roman" w:hAnsi="Times New Roman"/>
            <w:b w:val="false"/>
            <w:i w:val="false"/>
            <w:color w:val="000000"/>
            <w:sz w:val="22"/>
          </w:rPr>
          <w:t>304.11(3)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304.23(2)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 xml:space="preserve">An eligible business can claim an investment tax credit equal to a percentage of the new investment directly related to new jobs created by the location or expansion of an eligible business. The percentage is equal to the amount provided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New investment directly related to new jobs created by the location or expansion of an eligible business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machinery and equipment, as defined in Iowa Code section </w:t>
      </w:r>
      <w:hyperlink r:id="rId186">
        <w:r>
          <w:rPr>
            <w:rStyle w:val="Hyperlink"/>
            <w:rFonts w:ascii="Times New Roman" w:hAnsi="Times New Roman"/>
            <w:b w:val="false"/>
            <w:i w:val="false"/>
            <w:color w:val="000000"/>
            <w:sz w:val="22"/>
          </w:rPr>
          <w:t>427A.1(1)</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“j,”</w:t>
      </w:r>
      <w:r>
        <w:rPr>
          <w:rFonts w:ascii="Times New Roman" w:hAnsi="Times New Roman"/>
          <w:b w:val="false"/>
          <w:i w:val="false"/>
          <w:color w:val="000000"/>
          <w:sz w:val="22"/>
        </w:rPr>
        <w:t xml:space="preserve"> purchased for use in the operation of the eligible business. The purchase price shall be depreciated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purchase price of real property and any buildings and structures located on the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 of improvements made to real property which is used in the operation of the eligible business.</w:t>
      </w:r>
    </w:p>
    <w:p>
      <w:pPr>
        <w:spacing w:before="0" w:after="0"/>
        <w:ind w:left="120"/>
        <w:jc w:val="both"/>
      </w:pPr>
      <w:r>
        <w:rPr>
          <w:rFonts w:ascii="Times New Roman" w:hAnsi="Times New Roman"/>
          <w:b w:val="false"/>
          <w:i w:val="false"/>
          <w:color w:val="000000"/>
          <w:sz w:val="22"/>
        </w:rPr>
        <w:t>For eligible businesses approved by the Iowa department of economic development on or after March 17, 2004, certain lease payments made by eligible businesses to a third-party developer will be considered to be new investment for purposes of computing the investment tax credit. The eligible business shall enter into a lease agreement with the third-party developer for a minimum of five years. The investment tax credit is based on the annual base rent paid to a third-party developer by the eligible business for a period not to exceed ten years. The total costs of the annual base rent payments for the ten-year period cannot exceed the cost of the land and the third-party developer’s cost to build or renovate the building used by the eligible business. The annual base rent is defined as the total lease payment less taxes, insurance and operating and maintenance expenses.</w:t>
      </w:r>
    </w:p>
    <w:p>
      <w:pPr>
        <w:spacing w:before="0" w:after="0"/>
        <w:ind w:left="120"/>
        <w:jc w:val="both"/>
      </w:pPr>
      <w:r>
        <w:rPr>
          <w:rFonts w:ascii="Times New Roman" w:hAnsi="Times New Roman"/>
          <w:b w:val="false"/>
          <w:i w:val="false"/>
          <w:color w:val="000000"/>
          <w:sz w:val="22"/>
        </w:rPr>
        <w:t>Any credit in excess of the tax liability for the tax period may be carried forward seven years or until used, whichever is the earlier.</w:t>
      </w:r>
    </w:p>
    <w:p>
      <w:pPr>
        <w:spacing w:before="0" w:after="0"/>
        <w:ind w:left="120"/>
        <w:jc w:val="both"/>
      </w:pPr>
      <w:r>
        <w:rPr>
          <w:rFonts w:ascii="Times New Roman" w:hAnsi="Times New Roman"/>
          <w:b w:val="false"/>
          <w:i w:val="false"/>
          <w:color w:val="000000"/>
          <w:sz w:val="22"/>
        </w:rPr>
        <w:t xml:space="preserve">If the business is a partnership, S corporation, limited liability company, cooperative organized under Iowa Code chapter </w:t>
      </w:r>
      <w:hyperlink r:id="rId187">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federal tax purposes, or estate or trust electing to have the income taxed directly to an individual, an individual may claim the credit. The amount of the credit claimed by an individual must be based on the individual’s pro rata share of the individual’s earnings of the partnership, S corporation, limited liability company, cooperative organized under Iowa Code chapter </w:t>
      </w:r>
      <w:hyperlink r:id="rId188">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federal tax purposes,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Tax credit percentage. </w:t>
      </w:r>
      <w:r>
        <w:rPr>
          <w:rFonts w:ascii="Times New Roman" w:hAnsi="Times New Roman"/>
          <w:b w:val="false"/>
          <w:i w:val="false"/>
          <w:color w:val="000000"/>
          <w:sz w:val="22"/>
        </w:rPr>
        <w:t>The amount of tax credit claimed shall be based on the number of high quality jobs created as determined by the Iowa department of economic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no high quality jobs are created but economic activity within Iowa is advanced, the eligible business may claim a tax credit of up to 1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1 to 5 high quality jobs are created, the eligible business may claim a tax credit of up to 2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6 to 10 high quality jobs are created, the eligible business may claim a tax credit of up to 3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11 to 15 high quality jobs are created, the eligible business may claim a tax credit of up to 4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16 or more high quality jobs are created, the eligible business may claim a tax credit of up to 5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credit—value-added agricultural products or biotechnology-related processes. </w:t>
      </w:r>
      <w:r>
        <w:rPr>
          <w:rFonts w:ascii="Times New Roman" w:hAnsi="Times New Roman"/>
          <w:b w:val="false"/>
          <w:i w:val="false"/>
          <w:color w:val="000000"/>
          <w:sz w:val="22"/>
        </w:rPr>
        <w:t xml:space="preserve">An eligible business whose project primarily involves the production of value-added agricultural products or uses biotechnology-related processes may elect to receive a refund for all or a portion of an unused investment tax credit. An eligible business includes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whose project primarily involves the production of ethanol.</w:t>
      </w:r>
    </w:p>
    <w:p>
      <w:pPr>
        <w:spacing w:before="0" w:after="0"/>
        <w:ind w:left="120"/>
        <w:jc w:val="both"/>
      </w:pPr>
      <w:r>
        <w:rPr>
          <w:rFonts w:ascii="Times New Roman" w:hAnsi="Times New Roman"/>
          <w:b w:val="false"/>
          <w:i w:val="false"/>
          <w:color w:val="000000"/>
          <w:sz w:val="22"/>
        </w:rPr>
        <w:t xml:space="preserve">Eligible businesses that elect to receive a refund shall apply to the Iowa department of economic development for tax credit certificates between May 1 and May 15 of each fiscal year through the fiscal year ending June 30, 2009. The election to receive a refund of all or a portion of an unused investment tax credit is no longer available beginning with the fiscal year ending June 30, 2010. Only those businesses that have completed projects before the May 1 filing date may apply for a tax credit certificate. The Iowa department of economic development shall not issue tax credit certificates for more than $4 million during a fiscal year to eligible businesses for this program and eligible businesses described in subrule </w:t>
      </w:r>
      <w:hyperlink r:id="rId189">
        <w:r>
          <w:rPr>
            <w:rStyle w:val="Hyperlink"/>
            <w:rFonts w:ascii="Times New Roman" w:hAnsi="Times New Roman"/>
            <w:b w:val="false"/>
            <w:i w:val="false"/>
            <w:color w:val="000000"/>
            <w:sz w:val="22"/>
          </w:rPr>
          <w:t>304.14(2)</w:t>
        </w:r>
      </w:hyperlink>
      <w:r>
        <w:rPr>
          <w:rFonts w:ascii="Times New Roman" w:hAnsi="Times New Roman"/>
          <w:b w:val="false"/>
          <w:i w:val="false"/>
          <w:color w:val="000000"/>
          <w:sz w:val="22"/>
        </w:rPr>
        <w:t>. If applications are received for more than $4 million, the applicants shall receive certificates for a prorated amount.</w:t>
      </w:r>
    </w:p>
    <w:p>
      <w:pPr>
        <w:spacing w:before="0" w:after="0"/>
        <w:ind w:left="120"/>
        <w:jc w:val="both"/>
      </w:pPr>
      <w:r>
        <w:rPr>
          <w:rFonts w:ascii="Times New Roman" w:hAnsi="Times New Roman"/>
          <w:b w:val="false"/>
          <w:i w:val="false"/>
          <w:color w:val="000000"/>
          <w:sz w:val="22"/>
        </w:rPr>
        <w:t xml:space="preserve">The economic development authority shall issue tax credit certificates within a reasonable period of time. Tax credit certificates are valid for the tax year following project completion. The tax credit certificate must be included with the tax return for the tax year during which the tax credit is claimed. The tax credit certificate shall not be transferred, except for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whose project primarily involves the production of ethanol, as provided in subrule </w:t>
      </w:r>
      <w:hyperlink r:id="rId190">
        <w:r>
          <w:rPr>
            <w:rStyle w:val="Hyperlink"/>
            <w:rFonts w:ascii="Times New Roman" w:hAnsi="Times New Roman"/>
            <w:b w:val="false"/>
            <w:i w:val="false"/>
            <w:color w:val="000000"/>
            <w:sz w:val="22"/>
          </w:rPr>
          <w:t>304.14(2)</w:t>
        </w:r>
      </w:hyperlink>
      <w:r>
        <w:rPr>
          <w:rFonts w:ascii="Times New Roman" w:hAnsi="Times New Roman"/>
          <w:b w:val="false"/>
          <w:i w:val="false"/>
          <w:color w:val="000000"/>
          <w:sz w:val="22"/>
        </w:rPr>
        <w:t>. For value-added agricultural projects involving ethanol, the cooperative must submit a list of its members and the share of each member’s interest in the cooperative. The economic development authority shall issue a tax credit certificate to each member on the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Repayment of benefits. </w:t>
      </w:r>
      <w:r>
        <w:rPr>
          <w:rFonts w:ascii="Times New Roman" w:hAnsi="Times New Roman"/>
          <w:b w:val="false"/>
          <w:i w:val="false"/>
          <w:color w:val="000000"/>
          <w:sz w:val="22"/>
        </w:rPr>
        <w:t xml:space="preserve">If an eligible business fails to maintain the requirements of the new capital investment program, the taxpayer may be required to repay all or a portion of the tax incentives taken on Iowa returns. Irrespective of the fact that the statute of limitations to assess the taxpayer for repayment of the tax credits may have expired, the department may proceed to collect the tax incentives forfeited by failure to maintain the requirements of the new capital investment program. This repayment is required because it is a recovery of an incentive, rather than an adjustment to the taxpayer’s tax liability. Details on the calculation of the repayment can be found in </w:t>
      </w:r>
      <w:hyperlink r:id="rId191">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An eligible business in the new capital investment program may also be required to repay all or a portion of the tax incentives received on Iowa returns if the eligible business experiences a layoff of employees in Iowa or closes any of its facilities in Iowa.</w:t>
      </w:r>
    </w:p>
    <w:p>
      <w:pPr>
        <w:spacing w:before="0" w:after="0"/>
        <w:ind w:left="120"/>
        <w:jc w:val="both"/>
      </w:pPr>
      <w:r>
        <w:rPr>
          <w:rFonts w:ascii="Times New Roman" w:hAnsi="Times New Roman"/>
          <w:b w:val="false"/>
          <w:i w:val="false"/>
          <w:color w:val="000000"/>
          <w:sz w:val="22"/>
        </w:rPr>
        <w:t>If, within five years of purchase, the eligible business sells, disposes of, razes, or otherwise renders unusable all or a part of the land, buildings, or other existing structures for which a tax credit was claimed under this subrule, the income tax liability of the eligible business shall be increased by one of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hundred percent of the investment tax credit claimed if the property ceases to be eligible for the tax credit within one full year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Eighty percent of the investment tax credit claimed if the property ceases to be eligible for the tax credit within two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Sixty percent of the investment tax credit claimed if the property ceases to be eligible for the tax credit within three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Forty percent of the tax credit claimed if the property ceases to be eligible for the tax credit within four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Twenty percent of the investment tax credit claimed if the property ceases to be eligible for the tax credit within five full years after being placed in service.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2">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Senate File 2380</w:t>
      </w:r>
      <w:r>
        <w:rPr>
          <w:rFonts w:ascii="Times New Roman" w:hAnsi="Times New Roman"/>
          <w:b w:val="false"/>
          <w:i w:val="false"/>
          <w:color w:val="000000"/>
          <w:sz w:val="22"/>
        </w:rPr>
        <w:t xml:space="preserve">, and sections </w:t>
      </w:r>
      <w:hyperlink r:id="rId193">
        <w:r>
          <w:rPr>
            <w:rStyle w:val="Hyperlink"/>
            <w:rFonts w:ascii="Times New Roman" w:hAnsi="Times New Roman"/>
            <w:b w:val="false"/>
            <w:i w:val="false"/>
            <w:color w:val="000000"/>
            <w:sz w:val="22"/>
          </w:rPr>
          <w:t>15.335</w:t>
        </w:r>
      </w:hyperlink>
      <w:r>
        <w:rPr>
          <w:rFonts w:ascii="Times New Roman" w:hAnsi="Times New Roman"/>
          <w:b w:val="false"/>
          <w:i w:val="false"/>
          <w:color w:val="000000"/>
          <w:sz w:val="22"/>
        </w:rPr>
        <w:t xml:space="preserve"> and </w:t>
      </w:r>
      <w:hyperlink r:id="rId194">
        <w:r>
          <w:rPr>
            <w:rStyle w:val="Hyperlink"/>
            <w:rFonts w:ascii="Times New Roman" w:hAnsi="Times New Roman"/>
            <w:b w:val="false"/>
            <w:i w:val="false"/>
            <w:color w:val="000000"/>
            <w:sz w:val="22"/>
          </w:rPr>
          <w:t>15.381 to 15.387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701—304.24</w:t>
      </w:r>
      <w:r>
        <w:rPr>
          <w:rFonts w:ascii="Times New Roman" w:hAnsi="Times New Roman"/>
          <w:b/>
          <w:i w:val="false"/>
          <w:color w:val="000000"/>
          <w:sz w:val="22"/>
        </w:rPr>
        <w:t xml:space="preserve">(15E,422) </w:t>
      </w:r>
      <w:r>
        <w:rPr>
          <w:rFonts w:ascii="Times New Roman" w:hAnsi="Times New Roman"/>
          <w:b/>
          <w:i w:val="false"/>
          <w:color w:val="000000"/>
          <w:sz w:val="22"/>
        </w:rPr>
        <w:t xml:space="preserve">Endow Iowa tax credit. </w:t>
      </w:r>
      <w:r>
        <w:rPr>
          <w:rFonts w:ascii="Times New Roman" w:hAnsi="Times New Roman"/>
          <w:b w:val="false"/>
          <w:i w:val="false"/>
          <w:color w:val="000000"/>
          <w:sz w:val="22"/>
        </w:rPr>
        <w:t xml:space="preserve">Effective for tax years beginning on or after January 1, 2003, a taxpayer who makes an endowment gift to an endow Iowa qualified community foundation may qualify for an endow Iowa tax credit, subject to the availability of the credit. For tax years beginning on or after January 1, 2003, but before January 1, 2010, the credit is equal to 20 percent of a taxpayer’s endowment gift to an endow Iowa qualified community foundation approved by the Iowa department of economic development. For tax years beginning on or after January 1, 2010, the credit is equal to 25 percent of a taxpayer’s endowment gift to an endow Iowa qualified community foundation approved by the Iowa department of economic development. For tax years beginning on or after January 1, 2010, a taxpayer cannot claim a deduction for charitable contributions under </w:t>
      </w:r>
      <w:r>
        <w:rPr>
          <w:rFonts w:ascii="Times New Roman" w:hAnsi="Times New Roman"/>
          <w:b w:val="false"/>
          <w:i w:val="false"/>
          <w:color w:val="000000"/>
          <w:sz w:val="22"/>
        </w:rPr>
        <w:t>Section 170 of the Internal Revenue Code</w:t>
      </w:r>
      <w:r>
        <w:rPr>
          <w:rFonts w:ascii="Times New Roman" w:hAnsi="Times New Roman"/>
          <w:b w:val="false"/>
          <w:i w:val="false"/>
          <w:color w:val="000000"/>
          <w:sz w:val="22"/>
        </w:rPr>
        <w:t xml:space="preserve"> for the amount of the contribution for which the tax credit is claimed for Iowa tax purposes. The administrative rules for the endow Iowa tax credit for the Iowa department of economic development may be found under </w:t>
      </w:r>
      <w:hyperlink r:id="rId195">
        <w:r>
          <w:rPr>
            <w:rStyle w:val="Hyperlink"/>
            <w:rFonts w:ascii="Times New Roman" w:hAnsi="Times New Roman"/>
            <w:b w:val="false"/>
            <w:i w:val="false"/>
            <w:color w:val="000000"/>
            <w:sz w:val="22"/>
          </w:rPr>
          <w:t>261—Chapter 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total amount of endow Iowa tax credits available is $2 million in the aggregate for the 2003 and 2004 calendar years. The total amount of endow Iowa tax credits is $2 million annually for the 2005-2007 calendar years, and $200,000 of these tax credits on an annual basis is reserved for endowment gifts of $30,000 or less. The maximum amount of tax credit granted to a single taxpayer shall not exceed $100,000 for the 2003-2007 calendar years. The total amount of endow Iowa tax credits annually for the 2008 and 2009 calendar years is $2 million plus a percentage of the tax imposed on the adjusted gross receipts from gambling games in accordance with Iowa Code section </w:t>
      </w:r>
      <w:hyperlink r:id="rId196">
        <w:r>
          <w:rPr>
            <w:rStyle w:val="Hyperlink"/>
            <w:rFonts w:ascii="Times New Roman" w:hAnsi="Times New Roman"/>
            <w:b w:val="false"/>
            <w:i w:val="false"/>
            <w:color w:val="000000"/>
            <w:sz w:val="22"/>
          </w:rPr>
          <w:t>99F.11(3)</w:t>
        </w:r>
      </w:hyperlink>
      <w:r>
        <w:rPr>
          <w:rFonts w:ascii="Times New Roman" w:hAnsi="Times New Roman"/>
          <w:b w:val="false"/>
          <w:i w:val="false"/>
          <w:color w:val="000000"/>
          <w:sz w:val="22"/>
        </w:rPr>
        <w:t xml:space="preserve">. The total amount of endow Iowa tax credits annually for 2010 is $2.7 million plus a percentage of the tax imposed on the adjusted gross receipts from gambling games in accordance with Iowa Code section </w:t>
      </w:r>
      <w:hyperlink r:id="rId197">
        <w:r>
          <w:rPr>
            <w:rStyle w:val="Hyperlink"/>
            <w:rFonts w:ascii="Times New Roman" w:hAnsi="Times New Roman"/>
            <w:b w:val="false"/>
            <w:i w:val="false"/>
            <w:color w:val="000000"/>
            <w:sz w:val="22"/>
          </w:rPr>
          <w:t>99F.11(3)</w:t>
        </w:r>
      </w:hyperlink>
      <w:r>
        <w:rPr>
          <w:rFonts w:ascii="Times New Roman" w:hAnsi="Times New Roman"/>
          <w:b w:val="false"/>
          <w:i w:val="false"/>
          <w:color w:val="000000"/>
          <w:sz w:val="22"/>
        </w:rPr>
        <w:t xml:space="preserve">. The total amount of endow Iowa tax credits annually for 2011 is $3.5 million plus a percentage of the tax imposed on the adjusted gross receipts from gambling games in accordance with Iowa Code section </w:t>
      </w:r>
      <w:hyperlink r:id="rId198">
        <w:r>
          <w:rPr>
            <w:rStyle w:val="Hyperlink"/>
            <w:rFonts w:ascii="Times New Roman" w:hAnsi="Times New Roman"/>
            <w:b w:val="false"/>
            <w:i w:val="false"/>
            <w:color w:val="000000"/>
            <w:sz w:val="22"/>
          </w:rPr>
          <w:t>99F.11(3)</w:t>
        </w:r>
      </w:hyperlink>
      <w:r>
        <w:rPr>
          <w:rFonts w:ascii="Times New Roman" w:hAnsi="Times New Roman"/>
          <w:b w:val="false"/>
          <w:i w:val="false"/>
          <w:color w:val="000000"/>
          <w:sz w:val="22"/>
        </w:rPr>
        <w:t>. The maximum amount of tax credit granted to a single taxpayer shall not exceed 5 percent of the total endow Iowa tax credit amount authorized for 2008 and subsequent years. For the 2012 calendar year and subsequent calendar years, the total amount of endow Iowa tax credits is $6 million; the maximum amount of tax credit authorized to a single taxpayer is $300,000 ($6 million multiplied by 5 percent). The endow Iowa tax credit cannot be transferred to any other taxpayer.</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used, whichever is the earlier.</w:t>
      </w:r>
    </w:p>
    <w:p>
      <w:pPr>
        <w:spacing w:before="0" w:after="0"/>
        <w:ind w:left="120"/>
        <w:jc w:val="both"/>
      </w:pPr>
      <w:r>
        <w:rPr>
          <w:rFonts w:ascii="Times New Roman" w:hAnsi="Times New Roman"/>
          <w:b w:val="false"/>
          <w:i w:val="false"/>
          <w:color w:val="000000"/>
          <w:sz w:val="22"/>
        </w:rPr>
        <w:t>If a taxpayer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9">
        <w:r>
          <w:rPr>
            <w:rStyle w:val="Hyperlink"/>
            <w:rFonts w:ascii="Times New Roman" w:hAnsi="Times New Roman"/>
            <w:b w:val="false"/>
            <w:i w:val="false"/>
            <w:color w:val="000000"/>
            <w:sz w:val="22"/>
          </w:rPr>
          <w:t>15E.305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House File 620</w:t>
      </w:r>
      <w:r>
        <w:rPr>
          <w:rFonts w:ascii="Times New Roman" w:hAnsi="Times New Roman"/>
          <w:b w:val="false"/>
          <w:i w:val="false"/>
          <w:color w:val="000000"/>
          <w:sz w:val="22"/>
        </w:rPr>
        <w:t xml:space="preserve">, and section </w:t>
      </w:r>
      <w:hyperlink r:id="rId200">
        <w:r>
          <w:rPr>
            <w:rStyle w:val="Hyperlink"/>
            <w:rFonts w:ascii="Times New Roman" w:hAnsi="Times New Roman"/>
            <w:b w:val="false"/>
            <w:i w:val="false"/>
            <w:color w:val="000000"/>
            <w:sz w:val="22"/>
          </w:rPr>
          <w:t>422.11H</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1138C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701—304.25</w:t>
      </w:r>
      <w:r>
        <w:rPr>
          <w:rFonts w:ascii="Times New Roman" w:hAnsi="Times New Roman"/>
          <w:b/>
          <w:i w:val="false"/>
          <w:color w:val="000000"/>
          <w:sz w:val="22"/>
        </w:rPr>
        <w:t xml:space="preserve">(422) </w:t>
      </w:r>
      <w:r>
        <w:rPr>
          <w:rFonts w:ascii="Times New Roman" w:hAnsi="Times New Roman"/>
          <w:b/>
          <w:i w:val="false"/>
          <w:color w:val="000000"/>
          <w:sz w:val="22"/>
        </w:rPr>
        <w:t xml:space="preserve">Soy-based cutting tool oil tax credit. </w:t>
      </w:r>
      <w:r>
        <w:rPr>
          <w:rFonts w:ascii="Times New Roman" w:hAnsi="Times New Roman"/>
          <w:b w:val="false"/>
          <w:i w:val="false"/>
          <w:color w:val="000000"/>
          <w:sz w:val="22"/>
        </w:rPr>
        <w:t xml:space="preserve">Effective for tax periods ending after June 30, 2005, and beginning before January 1, 2007, a manufacturer may claim a soy-based cutting tool oil tax credit. A manufacturer, as defined in Iowa Code section </w:t>
      </w:r>
      <w:hyperlink r:id="rId201">
        <w:r>
          <w:rPr>
            <w:rStyle w:val="Hyperlink"/>
            <w:rFonts w:ascii="Times New Roman" w:hAnsi="Times New Roman"/>
            <w:b w:val="false"/>
            <w:i w:val="false"/>
            <w:color w:val="000000"/>
            <w:sz w:val="22"/>
          </w:rPr>
          <w:t>428.20</w:t>
        </w:r>
      </w:hyperlink>
      <w:r>
        <w:rPr>
          <w:rFonts w:ascii="Times New Roman" w:hAnsi="Times New Roman"/>
          <w:b w:val="false"/>
          <w:i w:val="false"/>
          <w:color w:val="000000"/>
          <w:sz w:val="22"/>
        </w:rPr>
        <w:t>, may claim the credit equal to the costs incurred during the tax year for the purchase and replacement costs relating to the transition from using nonsoy-based cutting tool oil to using soy-based cutting tool oil.</w:t>
      </w:r>
    </w:p>
    <w:p>
      <w:pPr>
        <w:spacing w:before="0" w:after="0"/>
        <w:ind w:left="120"/>
        <w:jc w:val="both"/>
      </w:pPr>
      <w:r>
        <w:rPr>
          <w:rFonts w:ascii="Times New Roman" w:hAnsi="Times New Roman"/>
          <w:b w:val="false"/>
          <w:i w:val="false"/>
          <w:color w:val="000000"/>
          <w:sz w:val="22"/>
        </w:rPr>
        <w:t>All of the following conditions must be met to qualify for the tax credit: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costs must be incurred after June 30, 2005, and before January 1, 2007.</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costs must be incurred in the first 12 months of the transition from using nonsoy-based cutting tool oil to using soy-based cutting tool oil.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soy-based cutting tool oil must contain at least 51 percent soy-based products.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costs of the purchase and replacement must not exceed $2 per gallon of soy-based cutting tool oil used in the transition.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number of gallons used in the transition cannot exceed 2,000 gallons.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manufacturer shall not deduct for Iowa income tax purposes the costs incurred in the transition to using soy-based cutting tool oil which are deductible for federal tax purposes.</w:t>
      </w:r>
    </w:p>
    <w:p>
      <w:pPr>
        <w:spacing w:before="0" w:after="0"/>
        <w:ind w:left="120"/>
        <w:jc w:val="both"/>
      </w:pP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If a taxpayer is a partnership, limited liability company, S corporation, or an estate or trust electing to have the income taxed directly to an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2">
        <w:r>
          <w:rPr>
            <w:rStyle w:val="Hyperlink"/>
            <w:rFonts w:ascii="Times New Roman" w:hAnsi="Times New Roman"/>
            <w:b w:val="false"/>
            <w:i w:val="false"/>
            <w:color w:val="000000"/>
            <w:sz w:val="22"/>
          </w:rPr>
          <w:t>422.11I</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701—304.26</w:t>
      </w:r>
      <w:r>
        <w:rPr>
          <w:rFonts w:ascii="Times New Roman" w:hAnsi="Times New Roman"/>
          <w:b/>
          <w:i w:val="false"/>
          <w:color w:val="000000"/>
          <w:sz w:val="22"/>
        </w:rPr>
        <w:t xml:space="preserve">(15I,422) </w:t>
      </w:r>
      <w:r>
        <w:rPr>
          <w:rFonts w:ascii="Times New Roman" w:hAnsi="Times New Roman"/>
          <w:b/>
          <w:i w:val="false"/>
          <w:color w:val="000000"/>
          <w:sz w:val="22"/>
        </w:rPr>
        <w:t xml:space="preserve">Wage-benefits tax credit. </w:t>
      </w:r>
      <w:r>
        <w:rPr>
          <w:rFonts w:ascii="Times New Roman" w:hAnsi="Times New Roman"/>
          <w:b w:val="false"/>
          <w:i w:val="false"/>
          <w:color w:val="000000"/>
          <w:sz w:val="22"/>
        </w:rPr>
        <w:t>Effective for tax years ending on or after June 9, 2006, a wage-benefits tax credit equal to a percentage of the annual wages and benefits paid for a qualified new job created by the location or expansion of the business in Iowa is available for qualified businesses.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“Average county wage” </w:t>
      </w:r>
      <w:r>
        <w:rPr>
          <w:rFonts w:ascii="Times New Roman" w:hAnsi="Times New Roman"/>
          <w:b w:val="false"/>
          <w:i w:val="false"/>
          <w:color w:val="000000"/>
          <w:sz w:val="22"/>
        </w:rPr>
        <w:t>means the annualized average hourly wage calculated by the Iowa department of economic development using the most current four quarters of wage and employment information as provided in the Quarterly Covered Wage and Employment Data report provided by the department of workforce development. Agricultural/mining and governmental employment categories are deleted in compiling the wage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“Benefits” </w:t>
      </w:r>
      <w:r>
        <w:rPr>
          <w:rFonts w:ascii="Times New Roman" w:hAnsi="Times New Roman"/>
          <w:b w:val="false"/>
          <w:i w:val="false"/>
          <w:color w:val="000000"/>
          <w:sz w:val="22"/>
        </w:rPr>
        <w:t>means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Medical and dental insurance plans.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Pension and profit-sharing plans.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Child care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Life insurance coverage.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Vision insurance plan.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Disability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w:t>
      </w:r>
      <w:r>
        <w:rPr>
          <w:rFonts w:ascii="Times New Roman" w:hAnsi="Times New Roman"/>
          <w:b w:val="false"/>
          <w:i w:val="false"/>
          <w:color w:val="000000"/>
          <w:sz w:val="22"/>
        </w:rPr>
        <w:t>means the equivalent of employment of one person: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8 hours per day for a five-day, 40-hour workweek for 52 weeks per year, including paid holidays, vacations, and other paid leave,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number of hours or days per week, including paid holidays, vacations, and other paid leave, currently established by schedule, custom or otherwise, as constituting a week of full-time work for the kind of service an individual performs for an employing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“Grow Iowa values fund” </w:t>
      </w:r>
      <w:r>
        <w:rPr>
          <w:rFonts w:ascii="Times New Roman" w:hAnsi="Times New Roman"/>
          <w:b w:val="false"/>
          <w:i w:val="false"/>
          <w:color w:val="000000"/>
          <w:sz w:val="22"/>
        </w:rPr>
        <w:t xml:space="preserve">means the grow Iowa values fund created in Iowa Code Supplement section </w:t>
      </w:r>
      <w:hyperlink r:id="rId203">
        <w:r>
          <w:rPr>
            <w:rStyle w:val="Hyperlink"/>
            <w:rFonts w:ascii="Times New Roman" w:hAnsi="Times New Roman"/>
            <w:b w:val="false"/>
            <w:i w:val="false"/>
            <w:color w:val="000000"/>
            <w:sz w:val="22"/>
          </w:rPr>
          <w:t>15G.108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“Nonqualified new job” </w:t>
      </w:r>
      <w:r>
        <w:rPr>
          <w:rFonts w:ascii="Times New Roman" w:hAnsi="Times New Roman"/>
          <w:b w:val="false"/>
          <w:i w:val="false"/>
          <w:color w:val="000000"/>
          <w:sz w:val="22"/>
        </w:rPr>
        <w:t>means any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job previously filled by the same employee in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job that was relocated from another location in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job that is created as a result of a consolidation, merger, or restructuring of a business entity if the job does not represent a new job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new job”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“job creation” </w:t>
      </w:r>
      <w:r>
        <w:rPr>
          <w:rFonts w:ascii="Times New Roman" w:hAnsi="Times New Roman"/>
          <w:b w:val="false"/>
          <w:i w:val="false"/>
          <w:color w:val="000000"/>
          <w:sz w:val="22"/>
        </w:rPr>
        <w:t>means a job that meets all of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a new full-time job that has not existed in the business in Iowa within the previous 12 months.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filled by a new employee for at least 12 months.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 filled by a resident of the state of Iowa.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not created as a result of a change in ownership.</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Was created on or after June 9,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business” </w:t>
      </w:r>
      <w:r>
        <w:rPr>
          <w:rFonts w:ascii="Times New Roman" w:hAnsi="Times New Roman"/>
          <w:b w:val="false"/>
          <w:i w:val="false"/>
          <w:color w:val="000000"/>
          <w:sz w:val="22"/>
        </w:rPr>
        <w:t>means a business which sells its product directly to a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“Retained qualified new job”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“job retention” </w:t>
      </w:r>
      <w:r>
        <w:rPr>
          <w:rFonts w:ascii="Times New Roman" w:hAnsi="Times New Roman"/>
          <w:b w:val="false"/>
          <w:i w:val="false"/>
          <w:color w:val="000000"/>
          <w:sz w:val="22"/>
        </w:rPr>
        <w:t>means the continued employment, after the first 12 months of employment, of the same employee in a qualified new job for another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business” </w:t>
      </w:r>
      <w:r>
        <w:rPr>
          <w:rFonts w:ascii="Times New Roman" w:hAnsi="Times New Roman"/>
          <w:b w:val="false"/>
          <w:i w:val="false"/>
          <w:color w:val="000000"/>
          <w:sz w:val="22"/>
        </w:rPr>
        <w:t>means a business which is not engaged in the sale of tangible personal property, and which provides services to a local consumer market and does not have a significant proportion of its sales coming from outside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304.26(2)</w:t>
      </w:r>
      <w:r>
        <w:rPr>
          <w:rFonts w:ascii="Times New Roman" w:hAnsi="Times New Roman"/>
          <w:b w:val="false"/>
          <w:i w:val="false"/>
          <w:color w:val="000000"/>
          <w:sz w:val="22"/>
        </w:rPr>
        <w:t> </w:t>
      </w:r>
      <w:r>
        <w:rPr>
          <w:rFonts w:ascii="Times New Roman" w:hAnsi="Times New Roman"/>
          <w:b w:val="false"/>
          <w:i/>
          <w:color w:val="000000"/>
          <w:sz w:val="22"/>
        </w:rPr>
        <w:t xml:space="preserve">Calculation of credit. </w:t>
      </w:r>
      <w:r>
        <w:rPr>
          <w:rFonts w:ascii="Times New Roman" w:hAnsi="Times New Roman"/>
          <w:b w:val="false"/>
          <w:i w:val="false"/>
          <w:color w:val="000000"/>
          <w:sz w:val="22"/>
        </w:rPr>
        <w:t>A business which is not a retail or service business may claim the wage-benefits tax credit which is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annual wages and benefits for the qualified new job equal less than 130 percent of the average county wage, the credit is 0 percent of the annual wage and benefits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annual wages and benefits for the qualified new job equal at least 130 percent but less than 160 percent of the average county wage, the credit is 5 percent of the annual wage and benefits paid for each qualified new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annual wages and benefits for the qualified new job equal at least 160 percent of the average county wage, the credit is 10 percent of the annual wage and benefits paid for each qualified new job.</w:t>
      </w:r>
    </w:p>
    <w:p>
      <w:pPr>
        <w:spacing w:before="0" w:after="0"/>
        <w:ind w:left="120"/>
        <w:jc w:val="both"/>
      </w:pPr>
      <w:r>
        <w:rPr>
          <w:rFonts w:ascii="Times New Roman" w:hAnsi="Times New Roman"/>
          <w:b w:val="false"/>
          <w:i w:val="false"/>
          <w:color w:val="000000"/>
          <w:sz w:val="22"/>
        </w:rPr>
        <w:t>If the business is a partnership, S corporation, limited liability company, or estate or trust electing to have the income taxed directly to the individual, an individual may claim the tax credit. The amount claimed by the individual shall be based upon the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304.26(3)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the tax credit; tax credit certificate; amount of tax credit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claim the wage-benefits tax credit, the business must submit an application to the department along with information on the qualified new job or retained qualified new job. The application cannot be submitted until the end of the twelfth month after the qualified job was filled. For example, if the new job was created on June 9, 2005, the application cannot be submitted until June 9, 2006. The following information must be submitted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and federal identification number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activities of the business. If applicable, the proportion of the sales of the business which come from outside Iowa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wages and benefits paid to each employee for each new job for the previous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computation of the amount of credit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address and state of residence of each new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that the qualified new job was 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indication of whether the job is a qualified new job or a retained qualified new job for which an application was filed for a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type of tax for which the credit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If the business is a partnership, S corporation, limited liability company, or estate or trust, a schedule of the partners, shareholders, members or beneficiaries. This schedule shall include the names, addresses and federal identification numbers of the partners, shareholders, members or beneficiaries, along with their percentage of the pro rata share of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the application, the department has 45 days either to approve or deny the application. If the department does not act on the application within 45 days, the application is deemed approved. If the department denies the application, the business may appeal the decision to the Iowa economic development board within 30 days of the notice of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application is approved, or if the Iowa economic development board approves the application that was previously denied by the department, a tax credit certificate will be issued by the department to the business, subject to the availability of the amount of credits that may be issued. The tax credit certificate shall contain the name, address and tax identification number of the business (or individual, estate or trust, if applicable), the date of the qualified new job(s), the wage and benefits paid for each job(s) for the 12-month period, the amount of the credit, the tax period for which the credit may be applied, and the type of tax for which the credit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tax credit certificates that are issued in a fiscal year cannot exceed $10 million for the fiscal year ending June 30, 2007, and shall not exceed $4 million for the fiscal years ending June 30, 2008, through June 30, 2011. The tax credit certificates are issued on a first-come, first-served basis. Therefore, if tax credit certificates have already been issued for the $10 million limit for the fiscal year ending June 30, 2007, any applications for tax credit certificates received after the $10 million limit has been reached will be denied. Similarly, if tax credit certificates have already been issued for the $4 million limit for the fiscal years ending June 30, 2008, through June 30, 2011, any applications for tax credit certificates received after the $4 million limit has been reached will be denied. If a business failed to receive all or a part of the tax credit due to the $10 million or $4 million limitation, the business may reapply for the tax credit for the retained new job for a subsequent tax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which qualifies for the tax credit for the fiscal year ending June 30, 2007, is eligible to receive the tax credit certificate for each of the fiscal years ending June 30, 2008, through June 30, 2011, subject to the $4 million limit for tax credits for the fiscal years ending June 30, 2008, through June 30, 2011, if the business retains the qualified new job during each of the fiscal years ending June 30, 2008, through June 30, 2011. The business must reapply by June 30 of each fiscal year for the tax credit, and the percentage of the wages and benefits allowed for the credit set forth in subrule </w:t>
      </w:r>
      <w:hyperlink r:id="rId204">
        <w:r>
          <w:rPr>
            <w:rStyle w:val="Hyperlink"/>
            <w:rFonts w:ascii="Times New Roman" w:hAnsi="Times New Roman"/>
            <w:b w:val="false"/>
            <w:i w:val="false"/>
            <w:color w:val="000000"/>
            <w:sz w:val="22"/>
          </w:rPr>
          <w:t>304.26(2)</w:t>
        </w:r>
      </w:hyperlink>
      <w:r>
        <w:rPr>
          <w:rFonts w:ascii="Times New Roman" w:hAnsi="Times New Roman"/>
          <w:b w:val="false"/>
          <w:i w:val="false"/>
          <w:color w:val="000000"/>
          <w:sz w:val="22"/>
        </w:rPr>
        <w:t xml:space="preserve"> for the first year is applicable for each subsequent period. Preference will be given in issuing tax credit certificates for those businesses that retain qualified new jobs, and preference will be given in the order in which applications were filed for the fiscal year ending June 30, 2007. Therefore, those businesses which received the first $4 million of tax credits for the year ending June 30, 2007, in which the qualified jobs were created will automatically receive a tax credit for the fiscal years ending June 30, 2008, through June 30, 2011, as long as the qualified jobs are retained and an application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the fiscal years ending June 30, 2008, through June 30, 2011, if credits become available because the jobs were not retained by businesses which received the first $4 million of credits for the year ending June 30, 2007, an application which was originally denied will be considered in the order in which the application was received for the fiscal year ending June 30, 2007.</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Wage-benefits tax credits of $4 million are issued for the fiscal year ending June 30, 2007, relating to applications filed between July 1, 2006, and March 31, 2007. For the next fiscal year ending June 30, 2008, the same businesses that received the $4 million in wage-benefits tax credits filed applications totaling $3 million for the retained jobs for which the application for the prior year was filed on or before March 31, 2007. The first $3 million of the available $4 million will be allowed to these same businesses. The remaining $1 million that is still available for the fiscal year ending June 30, 2008, will be allowed for those retained jobs for which applications for the prior year were filed starting on April 1, 2007, until the remaining $1 million in tax credits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business may apply in writing to the Iowa economic development board for a waiver of the average wage and benefit requirement. If a waiver is granted, the business must provide the department with the waiver and it must be attached to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may receive other federal, state, and local incentives and tax credits in addition to the wage-benefits tax credit. However, a business that receives a wage-benefits tax credit cannot receive tax incentives under the high quality job creation program set forth in Iowa Code chapter </w:t>
      </w:r>
      <w:hyperlink r:id="rId205">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or moneys from the grow Iowa values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304.26(4)</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noninclusive examples illustrate how this 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Business A operates a grocery store and hires five new employees, each of whom will earn wages and benefits in excess of 130 percent of the average county wage. Business A would not qualify for the wage-benefits tax credit because Business A is a retail business.</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Business B operates an accounting firm and hires two new accountants, each of whom will earn wages and benefits in excess of 160 percent of the average county wage. The accounting firm provides services to clients wholly within Iowa. Business B would not qualify for the wage-benefits tax credit because it is a service business. The majority of its sales are generated from within the state of Iowa and thus Business B, because it is a service business, is not eligible for the credit.</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Business C operates a software development business and hires two new programmers, each of whom will earn wages and benefits in excess of 160 percent of the average county wage. Over 50 percent of the customers of Business C are located outside Iowa. Business C would qualify for the wage-benefits tax credit because a majority of its sales are coming from outside the state, even though Business C is engaged in the performance of services.</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Business D is a manufacturer that hires a new employee in Clayton County, Iowa, on July 8, 2005. The average county wage for Clayton County for the third quarter of 2005 is $11.86 per hour. If the average county wage per hour for Clayton County is $11.95 for the fourth quarter of 2005, $12.05 for the first quarter of 2006, and $12.14 for the second quarter of 2006, the annualized average county wage for this 12-month period is $12.00 per hour. This wage equates to an average annual wage of $24,960 ($12.00 × 40 hours × 52 weeks). In order for Business D to qualify for the 5 percent wage-benefits tax credit, the new employee must receive wages and benefits totaling $32,448 (130 percent of $24,960) for the 12-month period from July 8, 2005, through July 7, 2006. In order for Business D to qualify for the 10 percent wage-benefits tax credit, the new employee must receive wages and benefits totaling $39,936 (160 percent of $24,960) for the 12-month period from July 8, 2005, through July 7, 2006.</w:t>
      </w:r>
    </w:p>
    <w:p>
      <w:pPr>
        <w:spacing w:before="0" w:after="0"/>
        <w:ind w:left="120"/>
        <w:jc w:val="both"/>
      </w:pPr>
      <w:r>
        <w:rPr>
          <w:rFonts w:ascii="Times New Roman" w:hAnsi="Times New Roman"/>
          <w:b w:val="false"/>
          <w:i w:val="false"/>
          <w:color w:val="000000"/>
          <w:sz w:val="22"/>
        </w:rPr>
        <w:t xml:space="preserve">EXAMPLE 5: </w:t>
      </w:r>
      <w:r>
        <w:rPr>
          <w:rFonts w:ascii="Times New Roman" w:hAnsi="Times New Roman"/>
          <w:b w:val="false"/>
          <w:i w:val="false"/>
          <w:color w:val="000000"/>
          <w:sz w:val="22"/>
        </w:rPr>
        <w:t>Business E is a manufacturer that hires three new employees in Grundy County, Iowa, on July 1, 2005. If the average county wage for the 12-month period from July 1, 2005, through June 30, 2006, is $13.75 per hour in Grundy County, this wage equates to an average county wage of $28,600. The wages and benefits for each of these three new employees is $40,000 for the period from July 1, 2005, through June 30, 2006, which is 140 percent of the average county wage. Business E is entitled to a wage-benefits tax credit of $2,000 for each employee ($40,000 × 5 percent), for a total wage-benefits tax credit of $6,000. If Business E files on a calendar-year basis, the $6,000 wage-benefits tax credit can be claimed on the tax return for the period ending December 31, 2006.</w:t>
      </w:r>
    </w:p>
    <w:p>
      <w:pPr>
        <w:spacing w:before="0" w:after="0"/>
        <w:ind w:left="120"/>
        <w:jc w:val="both"/>
      </w:pPr>
      <w:r>
        <w:rPr>
          <w:rFonts w:ascii="Times New Roman" w:hAnsi="Times New Roman"/>
          <w:b w:val="false"/>
          <w:i w:val="false"/>
          <w:color w:val="000000"/>
          <w:sz w:val="22"/>
        </w:rPr>
        <w:t xml:space="preserve">EXAMPLE 6: </w:t>
      </w:r>
      <w:r>
        <w:rPr>
          <w:rFonts w:ascii="Times New Roman" w:hAnsi="Times New Roman"/>
          <w:b w:val="false"/>
          <w:i w:val="false"/>
          <w:color w:val="000000"/>
          <w:sz w:val="22"/>
        </w:rPr>
        <w:t>Business F is a manufacturer that hires ten new employees on July 1, 2005, and qualifies for the wage-benefits tax credit because the wages and benefits paid exceed 130 percent of the average county wage. Business F receives a wage-benefits tax credit in July 2006 for these ten employees, which can be used on the tax return for the period ending December 31, 2006. On August 31, 2006, two of the employees leave the business and are replaced by two new employees. Business F is entitled to a wage-benefits tax credit for only eight employees in July 2007 because only eight employees continued employment for the subsequent 12 months in a job which meets the definition of a retained qualified new job. Business F cannot request a wage-benefits tax credit for the two employees hired on August 31, 2006. Business F cannot request the wage-benefits tax credit because these two full-time jobs existed in the business within the previous 12 months in Iowa, and these jobs do not meet the definition of a qualified new job or retained qualified new job.</w:t>
      </w:r>
    </w:p>
    <w:p>
      <w:pPr>
        <w:spacing w:before="0" w:after="0"/>
        <w:ind w:left="120"/>
        <w:jc w:val="both"/>
      </w:pPr>
      <w:r>
        <w:rPr>
          <w:rFonts w:ascii="Times New Roman" w:hAnsi="Times New Roman"/>
          <w:b w:val="false"/>
          <w:i w:val="false"/>
          <w:color w:val="000000"/>
          <w:sz w:val="22"/>
        </w:rPr>
        <w:t xml:space="preserve">EXAMPLE 7: </w:t>
      </w:r>
      <w:r>
        <w:rPr>
          <w:rFonts w:ascii="Times New Roman" w:hAnsi="Times New Roman"/>
          <w:b w:val="false"/>
          <w:i w:val="false"/>
          <w:color w:val="000000"/>
          <w:sz w:val="22"/>
        </w:rPr>
        <w:t>Business G is a manufacturer that hires ten new employees on July 1, 2005, and qualifies for the wage-benefits tax credit because the wages and benefits paid exceed 130 percent of the average county wage. Business G receives a wage-benefits tax credit in July 2006 for these ten employees equal to 5 percent of the wages and benefits paid. On October 1, 2006, Business G hires an additional five employees, each of whom receives wages and benefits in excess of 130 percent of the average county wage. Business G can apply for the wage-benefits tax credit on October 1, 2007, for these five employees, since these employees have now been employed for 12 months. However, the credit may not be allowed if more than $4 million of retained job tax credits have been issued for the fiscal year ending June 30, 2008.</w:t>
      </w:r>
    </w:p>
    <w:p>
      <w:pPr>
        <w:spacing w:before="0" w:after="0"/>
        <w:ind w:left="120"/>
        <w:jc w:val="both"/>
      </w:pPr>
      <w:r>
        <w:rPr>
          <w:rFonts w:ascii="Times New Roman" w:hAnsi="Times New Roman"/>
          <w:b w:val="false"/>
          <w:i w:val="false"/>
          <w:color w:val="000000"/>
          <w:sz w:val="22"/>
        </w:rPr>
        <w:t xml:space="preserve">EXAMPLE 8: </w:t>
      </w:r>
      <w:r>
        <w:rPr>
          <w:rFonts w:ascii="Times New Roman" w:hAnsi="Times New Roman"/>
          <w:b w:val="false"/>
          <w:i w:val="false"/>
          <w:color w:val="000000"/>
          <w:sz w:val="22"/>
        </w:rPr>
        <w:t>Assume the same facts as Example 6, except that the $10 million limit of tax credits has already been met for the fiscal year ending June 30, 2007, and Business F hired five new employees on August 31, 2006. Business F can apply for the wage-benefits tax credit for the three employees on August 31, 2007, a number which is above the ten full-time jobs originally created, but Business F may not receive the tax credit if more than $4 million of retained job tax credits have been issued for the fiscal year ending June 30, 2008.</w:t>
      </w:r>
    </w:p>
    <w:p>
      <w:pPr>
        <w:spacing w:before="0" w:after="0"/>
        <w:ind w:left="120"/>
        <w:jc w:val="both"/>
      </w:pPr>
      <w:r>
        <w:rPr>
          <w:rFonts w:ascii="Times New Roman" w:hAnsi="Times New Roman"/>
          <w:b w:val="false"/>
          <w:i w:val="false"/>
          <w:color w:val="000000"/>
          <w:sz w:val="22"/>
        </w:rPr>
        <w:t xml:space="preserve">EXAMPLE 9: </w:t>
      </w:r>
      <w:r>
        <w:rPr>
          <w:rFonts w:ascii="Times New Roman" w:hAnsi="Times New Roman"/>
          <w:b w:val="false"/>
          <w:i w:val="false"/>
          <w:color w:val="000000"/>
          <w:sz w:val="22"/>
        </w:rPr>
        <w:t>Assume the same facts as Example 7, except that the ten employees hired on July 1, 2005, by Business G received wages and benefits equal to 155 percent of the average county wage, and the five employees hired on October 1, 2006, by Business G received wages equal to 161 percent of the average county wage. Business G can apply for the tax credit on October 1, 2007, equal to 10 percent of the wages and benefits paid for the employees hired on October 1, 2006. On July 1, 2007, Business G can reapply for the tax credit equal to 5 percent of the wages and benefits paid only for the ten employees originally hired on July 1, 2005, even if the wages and benefits for these ten employees exceed 160 percent of the average county wage for the period from July 1, 2006, through June 30, 2007.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304.26(5)</w:t>
      </w:r>
      <w:r>
        <w:rPr>
          <w:rFonts w:ascii="Times New Roman" w:hAnsi="Times New Roman"/>
          <w:b w:val="false"/>
          <w:i w:val="false"/>
          <w:color w:val="000000"/>
          <w:sz w:val="22"/>
        </w:rPr>
        <w:t> </w:t>
      </w:r>
      <w:r>
        <w:rPr>
          <w:rFonts w:ascii="Times New Roman" w:hAnsi="Times New Roman"/>
          <w:b w:val="false"/>
          <w:i/>
          <w:color w:val="000000"/>
          <w:sz w:val="22"/>
        </w:rPr>
        <w:t xml:space="preserve">Repeal of the wage-benefits tax credit. </w:t>
      </w:r>
      <w:r>
        <w:rPr>
          <w:rFonts w:ascii="Times New Roman" w:hAnsi="Times New Roman"/>
          <w:b w:val="false"/>
          <w:i w:val="false"/>
          <w:color w:val="000000"/>
          <w:sz w:val="22"/>
        </w:rPr>
        <w:t xml:space="preserve">The wage-benefits tax credit is repealed effective July 1, 2008. However, the wage-benefits tax credit is still available through the fiscal year ending June 30, 2011, as provided in paragraphs </w:t>
      </w:r>
      <w:hyperlink r:id="rId206">
        <w:r>
          <w:rPr>
            <w:rStyle w:val="Hyperlink"/>
            <w:rFonts w:ascii="Times New Roman" w:hAnsi="Times New Roman"/>
            <w:b w:val="false"/>
            <w:i w:val="false"/>
            <w:color w:val="000000"/>
            <w:sz w:val="22"/>
          </w:rPr>
          <w:t>304.26(3)</w:t>
        </w:r>
      </w:hyperlink>
      <w:r>
        <w:rPr>
          <w:rFonts w:ascii="Times New Roman" w:hAnsi="Times New Roman"/>
          <w:b w:val="false"/>
          <w:i/>
          <w:color w:val="000000"/>
          <w:sz w:val="22"/>
        </w:rPr>
        <w:t>“d,”</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A business is not entitled to a wage-benefits tax credit for a qualified new job created on or after July 1, 2008.</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07">
        <w:r>
          <w:rPr>
            <w:rStyle w:val="Hyperlink"/>
            <w:rFonts w:ascii="Times New Roman" w:hAnsi="Times New Roman"/>
            <w:b w:val="false"/>
            <w:i w:val="false"/>
            <w:color w:val="000000"/>
            <w:sz w:val="22"/>
          </w:rPr>
          <w:t>15I</w:t>
        </w:r>
      </w:hyperlink>
      <w:r>
        <w:rPr>
          <w:rFonts w:ascii="Times New Roman" w:hAnsi="Times New Roman"/>
          <w:b w:val="false"/>
          <w:i w:val="false"/>
          <w:color w:val="000000"/>
          <w:sz w:val="22"/>
        </w:rPr>
        <w:t xml:space="preserve"> and section </w:t>
      </w:r>
      <w:hyperlink r:id="rId208">
        <w:r>
          <w:rPr>
            <w:rStyle w:val="Hyperlink"/>
            <w:rFonts w:ascii="Times New Roman" w:hAnsi="Times New Roman"/>
            <w:b w:val="false"/>
            <w:i w:val="false"/>
            <w:color w:val="000000"/>
            <w:sz w:val="22"/>
          </w:rPr>
          <w:t>422.11L</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701—304.27</w:t>
      </w:r>
      <w:r>
        <w:rPr>
          <w:rFonts w:ascii="Times New Roman" w:hAnsi="Times New Roman"/>
          <w:b/>
          <w:i w:val="false"/>
          <w:color w:val="000000"/>
          <w:sz w:val="22"/>
        </w:rPr>
        <w:t xml:space="preserve">(422,476B) </w:t>
      </w:r>
      <w:r>
        <w:rPr>
          <w:rFonts w:ascii="Times New Roman" w:hAnsi="Times New Roman"/>
          <w:b/>
          <w:i w:val="false"/>
          <w:color w:val="000000"/>
          <w:sz w:val="22"/>
        </w:rPr>
        <w:t xml:space="preserve">Wind energy production tax credit. </w:t>
      </w:r>
      <w:r>
        <w:rPr>
          <w:rFonts w:ascii="Times New Roman" w:hAnsi="Times New Roman"/>
          <w:b w:val="false"/>
          <w:i w:val="false"/>
          <w:color w:val="000000"/>
          <w:sz w:val="22"/>
        </w:rPr>
        <w:t xml:space="preserve">Effective for tax years beginning on or after July 1, 2006, an owner of a qualified wind energy production facility that has been approved by the Iowa utilities board may claim a wind energy production tax credit for qualified electricity sold by the owner or used for on-site consumption against a taxpayer’s Iowa individual income tax liability. The administrative rules for the certification of eligibility for the wind energy production tax credit for the Iowa utilities board may be found in rule </w:t>
      </w:r>
      <w:hyperlink r:id="rId209">
        <w:r>
          <w:rPr>
            <w:rStyle w:val="Hyperlink"/>
            <w:rFonts w:ascii="Times New Roman" w:hAnsi="Times New Roman"/>
            <w:b w:val="false"/>
            <w:i w:val="false"/>
            <w:color w:val="000000"/>
            <w:sz w:val="22"/>
          </w:rPr>
          <w:t>199—15.18</w:t>
        </w:r>
      </w:hyperlink>
      <w:r>
        <w:rPr>
          <w:rFonts w:ascii="Times New Roman" w:hAnsi="Times New Roman"/>
          <w:b w:val="false"/>
          <w:i w:val="false"/>
          <w:color w:val="000000"/>
          <w:sz w:val="22"/>
        </w:rPr>
        <w:t>(476B).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304.27(1)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review process for the wind energy production tax credit. </w:t>
      </w:r>
      <w:r>
        <w:rPr>
          <w:rFonts w:ascii="Times New Roman" w:hAnsi="Times New Roman"/>
          <w:b w:val="false"/>
          <w:i w:val="false"/>
          <w:color w:val="000000"/>
          <w:sz w:val="22"/>
        </w:rPr>
        <w:t xml:space="preserve">An owner of a wind energy production facility must be approved by the Iowa utilities board in order to qualify for the wind energy production tax credit. The facility must be an electrical production facility that produces electricity from wind, that is located in Iowa, and that is placed in service on or after July 1, 2005, but before July 1, 2012. For applications filed on or after March 1, 2008, a facility must consist of one or more wind turbines which have a combined nameplate generating capacity of at least 2 megawatts and no more than 30 megawatts. For applications filed on or after July 1, 2009, by a private college or university, community college, institution under the control of the state board of regents, public or accredited nonpublic elementary and secondary school, or public hospital as defined in Iowa Code section </w:t>
      </w:r>
      <w:hyperlink r:id="rId210">
        <w:r>
          <w:rPr>
            <w:rStyle w:val="Hyperlink"/>
            <w:rFonts w:ascii="Times New Roman" w:hAnsi="Times New Roman"/>
            <w:b w:val="false"/>
            <w:i w:val="false"/>
            <w:color w:val="000000"/>
            <w:sz w:val="22"/>
          </w:rPr>
          <w:t>249J.3</w:t>
        </w:r>
      </w:hyperlink>
      <w:r>
        <w:rPr>
          <w:rFonts w:ascii="Times New Roman" w:hAnsi="Times New Roman"/>
          <w:b w:val="false"/>
          <w:i w:val="false"/>
          <w:color w:val="000000"/>
          <w:sz w:val="22"/>
        </w:rPr>
        <w:t>, the facility must have a combined nameplate generating capacity of no less than ¾ of a megawatt.</w:t>
      </w:r>
    </w:p>
    <w:p>
      <w:pPr>
        <w:spacing w:before="0" w:after="0"/>
        <w:ind w:left="120"/>
        <w:jc w:val="both"/>
      </w:pPr>
      <w:r>
        <w:rPr>
          <w:rFonts w:ascii="Times New Roman" w:hAnsi="Times New Roman"/>
          <w:b w:val="false"/>
          <w:i w:val="false"/>
          <w:color w:val="000000"/>
          <w:sz w:val="22"/>
        </w:rPr>
        <w:t>The maximum amount of nameplate generating capacity for all qualified wind energy production facilities cannot exceed 50 megawatts. An owner shall not own more than two qualified facilities. A facility that is not operational within 18 months after issuance of the approval from the Iowa utilities board will no longer be considered a qualified facility. However, a facility that is not operational within 18 months due to the unavailability of necessary equipment shall be granted an additional 12 months to become operational.</w:t>
      </w:r>
    </w:p>
    <w:p>
      <w:pPr>
        <w:spacing w:before="0" w:after="0"/>
        <w:ind w:left="120"/>
        <w:jc w:val="both"/>
      </w:pPr>
      <w:r>
        <w:rPr>
          <w:rFonts w:ascii="Times New Roman" w:hAnsi="Times New Roman"/>
          <w:b w:val="false"/>
          <w:i w:val="false"/>
          <w:color w:val="000000"/>
          <w:sz w:val="22"/>
        </w:rPr>
        <w:t xml:space="preserve">An owner of the qualified facility must apply to the Iowa utilities board for the wind energy production tax credit. The application for the tax credit must be filed no later than 30 days after the close of the tax year for which the credit is applied. The information to be included in the application is set forth in </w:t>
      </w:r>
      <w:hyperlink r:id="rId211">
        <w:r>
          <w:rPr>
            <w:rStyle w:val="Hyperlink"/>
            <w:rFonts w:ascii="Times New Roman" w:hAnsi="Times New Roman"/>
            <w:b w:val="false"/>
            <w:i w:val="false"/>
            <w:color w:val="000000"/>
            <w:sz w:val="22"/>
          </w:rPr>
          <w:t>199—subrule 15.20(1)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304.27(2)</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credit. </w:t>
      </w:r>
      <w:r>
        <w:rPr>
          <w:rFonts w:ascii="Times New Roman" w:hAnsi="Times New Roman"/>
          <w:b w:val="false"/>
          <w:i w:val="false"/>
          <w:color w:val="000000"/>
          <w:sz w:val="22"/>
        </w:rPr>
        <w:t>The wind energy production credit equals one cent multiplied by the number of kilowatt-hours of qualified electricity sold or used for on-site consumption by the owner during the tax year. For the first tax year in which the credit is applied, the kilowatt-hours of qualified electricity sold may exceed 12 months.</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qualified facility was placed in service on April 1, 2006, and the taxpayer files on a calendar-year basis. The first year for which the credit can be claimed is the period ending December 31, 2007, since that is the first tax year that began on or after July 1, 2006. The credit for the 2007 tax year can include electricity sold between April 1, 2006, and December 31, 2007.</w:t>
      </w:r>
    </w:p>
    <w:p>
      <w:pPr>
        <w:spacing w:before="0" w:after="0"/>
        <w:ind w:left="120"/>
        <w:jc w:val="both"/>
      </w:pPr>
      <w:r>
        <w:rPr>
          <w:rFonts w:ascii="Times New Roman" w:hAnsi="Times New Roman"/>
          <w:b w:val="false"/>
          <w:i w:val="false"/>
          <w:color w:val="000000"/>
          <w:sz w:val="22"/>
        </w:rPr>
        <w:t xml:space="preserve">The credit is not allowed for any kilowatt-hours of electricity sold to a related person. The definition of “related person” uses the same criteria set forth in </w:t>
      </w:r>
      <w:r>
        <w:rPr>
          <w:rFonts w:ascii="Times New Roman" w:hAnsi="Times New Roman"/>
          <w:b w:val="false"/>
          <w:i w:val="false"/>
          <w:color w:val="000000"/>
          <w:sz w:val="22"/>
        </w:rPr>
        <w:t>Section 45(e)(4) of the Internal Revenue Code</w:t>
      </w:r>
      <w:r>
        <w:rPr>
          <w:rFonts w:ascii="Times New Roman" w:hAnsi="Times New Roman"/>
          <w:b w:val="false"/>
          <w:i w:val="false"/>
          <w:color w:val="000000"/>
          <w:sz w:val="22"/>
        </w:rPr>
        <w:t xml:space="preserve"> relating to the federal renewable electricity production credit. Persons shall be treated as related to each other if such persons are treated as a single employer under Treasury Regulation § 1.52-1. In the case of a corporation that is a member of an affiliated group of corporations filing a federal consolidated return, such corporation shall be treated as selling electricity to an unrelated person if such electricity is sold to the person by another member of the affiliated group.</w:t>
      </w:r>
    </w:p>
    <w:p>
      <w:pPr>
        <w:spacing w:before="0" w:after="0"/>
        <w:ind w:left="120"/>
        <w:jc w:val="both"/>
      </w:pPr>
      <w:r>
        <w:rPr>
          <w:rFonts w:ascii="Times New Roman" w:hAnsi="Times New Roman"/>
          <w:b w:val="false"/>
          <w:i w:val="false"/>
          <w:color w:val="000000"/>
          <w:sz w:val="22"/>
        </w:rPr>
        <w:t xml:space="preserve">The utilities board will notify the department of the number of kilowatt-hours of electricity sold by the qualified facility or generated and used on site by the qualified facility during the tax year. The department will calculate the credit and issue a tax credit certificate to the owner. The tax credit certificate will include the taxpayer’s name, address and federal identification number, the tax type for which the credit will be claimed, the amount of the credit and the tax year for which the credit may be claimed. In addition, the tax credit certificate will include a place for the name and tax identification number of a transferee and the amount of the tax credit certificate, as provided in subrule </w:t>
      </w:r>
      <w:hyperlink r:id="rId212">
        <w:r>
          <w:rPr>
            <w:rStyle w:val="Hyperlink"/>
            <w:rFonts w:ascii="Times New Roman" w:hAnsi="Times New Roman"/>
            <w:b w:val="false"/>
            <w:i w:val="false"/>
            <w:color w:val="000000"/>
            <w:sz w:val="22"/>
          </w:rPr>
          <w:t>304.27(3)</w:t>
        </w:r>
      </w:hyperlink>
      <w:r>
        <w:rPr>
          <w:rFonts w:ascii="Times New Roman" w:hAnsi="Times New Roman"/>
          <w:b w:val="false"/>
          <w:i w:val="false"/>
          <w:color w:val="000000"/>
          <w:sz w:val="22"/>
        </w:rPr>
        <w:t xml:space="preserve">. If the department refuses to issue the tax credit certificate, the taxpayer shall be notified in writing and the taxpayer will have 60 days from the date of denial to file a protest in accordance with rule </w:t>
      </w:r>
      <w:hyperlink r:id="rId213">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 xml:space="preserve">(17A). The department will not issue a tax credit certificate if the facility is not operational within 18 months after approval was given by the utilities board, unless a 12-month extension is granted by the utilities board as provided in subrule </w:t>
      </w:r>
      <w:hyperlink r:id="rId214">
        <w:r>
          <w:rPr>
            <w:rStyle w:val="Hyperlink"/>
            <w:rFonts w:ascii="Times New Roman" w:hAnsi="Times New Roman"/>
            <w:b w:val="false"/>
            <w:i w:val="false"/>
            <w:color w:val="000000"/>
            <w:sz w:val="22"/>
          </w:rPr>
          <w:t>304.27(1)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If the taxpayer is a partnership, limited liability company, S corporation, or estate or trust requesting a credit for individual or corporation income tax, the tax credit certificate will be issued to the partners, members, shareholders or beneficiaries based on the partner’s, member’s, shareholder’s or beneficiary’s pro rata share of earnings of the partnership, limited liability company, S corporation, or estate or trust, except when the taxpayer is eligible to receive renewable electricity production tax credits authorized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xml:space="preserve">. In cases where the taxpayer is eligible to receive renewable electricity production tax credits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xml:space="preserve">, the partnership, limited liability company or S corporation may designate the amount of the tax credit to be allocated to each partner, member or shareholder. In addition, if a taxpayer is a partnership, limited liability company, S corporation, or estate or trust that is eligible to receive renewable electricity production tax credits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the taxpayer may distribute the tax credit to an equity holder or beneficiary as a liquidating distribution, or portion thereof, of an equity holder’s interest in the partnership, limited liability company or S corporation, or the beneficiary’s interest in the estate or trust.</w:t>
      </w:r>
    </w:p>
    <w:p>
      <w:pPr>
        <w:spacing w:before="0" w:after="0"/>
        <w:ind w:left="120"/>
        <w:jc w:val="both"/>
      </w:pPr>
      <w:r>
        <w:rPr>
          <w:rFonts w:ascii="Times New Roman" w:hAnsi="Times New Roman"/>
          <w:b w:val="false"/>
          <w:i w:val="false"/>
          <w:color w:val="000000"/>
          <w:sz w:val="22"/>
        </w:rPr>
        <w:t>The credit can be allowed for a ten-year period beginning on the date the qualified facility was originally placed in service. For example, if a facility was placed in service on April 1, 2006, the credit can be claimed for kilowatt-hours of electricity sold between April 1, 2006, and March 31, 2016.</w:t>
      </w:r>
    </w:p>
    <w:p>
      <w:pPr>
        <w:spacing w:before="0" w:after="0"/>
        <w:ind w:left="120"/>
        <w:jc w:val="both"/>
      </w:pPr>
      <w:r>
        <w:rPr>
          <w:rFonts w:ascii="Times New Roman" w:hAnsi="Times New Roman"/>
          <w:b w:val="false"/>
          <w:i w:val="false"/>
          <w:color w:val="000000"/>
          <w:sz w:val="22"/>
        </w:rPr>
        <w:t>To claim the tax credit, the taxpayer must include the tax credit certificate with the tax return for the tax year set forth on the certificate. Any tax credit in excess of the tax liability may be carried forward for seven years or until it is used, whichever is the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304.27(3)</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wind energy production tax credit certificate. </w:t>
      </w:r>
      <w:r>
        <w:rPr>
          <w:rFonts w:ascii="Times New Roman" w:hAnsi="Times New Roman"/>
          <w:b w:val="false"/>
          <w:i w:val="false"/>
          <w:color w:val="000000"/>
          <w:sz w:val="22"/>
        </w:rPr>
        <w:t>The wind energy production tax credit certificate may be transferred to any person or entity.</w:t>
      </w:r>
    </w:p>
    <w:p>
      <w:pPr>
        <w:spacing w:before="0" w:after="0"/>
        <w:ind w:left="120"/>
        <w:jc w:val="both"/>
      </w:pPr>
      <w:r>
        <w:rPr>
          <w:rFonts w:ascii="Times New Roman" w:hAnsi="Times New Roman"/>
          <w:b w:val="false"/>
          <w:i w:val="false"/>
          <w:color w:val="000000"/>
          <w:sz w:val="22"/>
        </w:rPr>
        <w:t>Within 30 days of transfer of the tax credit certificate, the transferee must submit the transferred tax credit certificate to the department, along with a statement which contains the transferee’s name, address and tax identification number and the amount of the tax credit being transferred. Within 30 days of receiving the transferred tax credit certificate and the statement from the transferee, the department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wind energy production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and the same expiration date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year for which the original transferor could have claimed the tax credit. 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5">
        <w:r>
          <w:rPr>
            <w:rStyle w:val="Hyperlink"/>
            <w:rFonts w:ascii="Times New Roman" w:hAnsi="Times New Roman"/>
            <w:b w:val="false"/>
            <w:i w:val="false"/>
            <w:color w:val="000000"/>
            <w:sz w:val="22"/>
          </w:rPr>
          <w:t>422.11J</w:t>
        </w:r>
      </w:hyperlink>
      <w:r>
        <w:rPr>
          <w:rFonts w:ascii="Times New Roman" w:hAnsi="Times New Roman"/>
          <w:b w:val="false"/>
          <w:i w:val="false"/>
          <w:color w:val="000000"/>
          <w:sz w:val="22"/>
        </w:rPr>
        <w:t xml:space="preserve"> and Iowa Code chapter </w:t>
      </w:r>
      <w:hyperlink r:id="rId216">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2011 Iowa Acts, House File 672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701—304.28</w:t>
      </w:r>
      <w:r>
        <w:rPr>
          <w:rFonts w:ascii="Times New Roman" w:hAnsi="Times New Roman"/>
          <w:b/>
          <w:i w:val="false"/>
          <w:color w:val="000000"/>
          <w:sz w:val="22"/>
        </w:rPr>
        <w:t xml:space="preserve">(422,476C) </w:t>
      </w:r>
      <w:r>
        <w:rPr>
          <w:rFonts w:ascii="Times New Roman" w:hAnsi="Times New Roman"/>
          <w:b/>
          <w:i w:val="false"/>
          <w:color w:val="000000"/>
          <w:sz w:val="22"/>
        </w:rPr>
        <w:t xml:space="preserve">Renewable energy tax credit. </w:t>
      </w:r>
      <w:r>
        <w:rPr>
          <w:rFonts w:ascii="Times New Roman" w:hAnsi="Times New Roman"/>
          <w:b w:val="false"/>
          <w:i w:val="false"/>
          <w:color w:val="000000"/>
          <w:sz w:val="22"/>
        </w:rPr>
        <w:t xml:space="preserve">Effective for tax years beginning on or after July 1, 2006, a purchaser or producer of renewable energy whose facility has been approved by the Iowa utilities board may claim a renewable energy tax credit for qualified renewable energy against a taxpayer’s Iowa individual income tax liability.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304.28(1)</w:t>
      </w:r>
      <w:r>
        <w:rPr>
          <w:rFonts w:ascii="Times New Roman" w:hAnsi="Times New Roman"/>
          <w:b w:val="false"/>
          <w:i w:val="false"/>
          <w:color w:val="000000"/>
          <w:sz w:val="22"/>
        </w:rPr>
        <w:t> </w:t>
      </w:r>
      <w:r>
        <w:rPr>
          <w:rFonts w:ascii="Times New Roman" w:hAnsi="Times New Roman"/>
          <w:b w:val="false"/>
          <w:i/>
          <w:color w:val="000000"/>
          <w:sz w:val="22"/>
        </w:rPr>
        <w:t xml:space="preserve">Eligible facility 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facility application process, generally. </w:t>
      </w:r>
      <w:r>
        <w:rPr>
          <w:rFonts w:ascii="Times New Roman" w:hAnsi="Times New Roman"/>
          <w:b w:val="false"/>
          <w:i w:val="false"/>
          <w:color w:val="000000"/>
          <w:sz w:val="22"/>
        </w:rPr>
        <w:t xml:space="preserve">A producer or purchaser of a renewable energy facility must be approved as an eligible renewable energy facility by the Iowa utilities board in order to qualify for the renewable energy tax credit. The eligible renewable energy facility can be a wind energy conversion facility, biogas recovery facility, biomass conversion facility, methane gas recovery facility, solar energy conversion facility or refuse conversion facility. The facility must be located in Iowa and placed in service on or after July 1, 2005, and before January 1, 2018. The administrative rules for the certification of eligibility for the renewable energy tax credit for the Iowa utilities board may be found in rule </w:t>
      </w:r>
      <w:hyperlink r:id="rId217">
        <w:r>
          <w:rPr>
            <w:rStyle w:val="Hyperlink"/>
            <w:rFonts w:ascii="Times New Roman" w:hAnsi="Times New Roman"/>
            <w:b w:val="false"/>
            <w:i w:val="false"/>
            <w:color w:val="000000"/>
            <w:sz w:val="22"/>
          </w:rPr>
          <w:t>199—15.19</w:t>
        </w:r>
      </w:hyperlink>
      <w:r>
        <w:rPr>
          <w:rFonts w:ascii="Times New Roman" w:hAnsi="Times New Roman"/>
          <w:b w:val="false"/>
          <w:i w:val="false"/>
          <w:color w:val="000000"/>
          <w:sz w:val="22"/>
        </w:rPr>
        <w:t>(476C).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Limitations on maximum energy production and nameplate generating capacity. </w:t>
      </w:r>
      <w:r>
        <w:rPr>
          <w:rFonts w:ascii="Times New Roman" w:hAnsi="Times New Roman"/>
          <w:b w:val="false"/>
          <w:i w:val="false"/>
          <w:color w:val="000000"/>
          <w:sz w:val="22"/>
        </w:rPr>
        <w:t xml:space="preserve">The maximum amount of nameplate generating capacity of all wind energy conversion facilities cannot exceed 363 megawatts. For tax years beginning prior to January 1, 2015, the maximum amount of energy production capacity for biogas recovery facilities, biomass conversion facilities, methane gas recovery facilities, solar energy conversion facilities and refuse conversion facilities cannot exceed a combined output of 53 megawatts of nameplate generating capacity and 167 billion British thermal units of heat for a commercial purpose. For tax years beginning on or after January 1, 2015, the maximum amount of energy production for biogas recovery facilities, biomass conversion facilities, methane gas recovery facilities, solar energy conversion facilities and refuse conversion facilities cannot exceed a combined output of 63 megawatts of nameplate generating capacity and, annually, 167 billion British thermal units of heat for a commercial purpose. A facility that is not operational within 30 months after issuance of approval from the utilities board will no longer be considered a qualified facility. However, if the facility is a wind energy conversion property and is not operational within 18 months due to the unavailability of necessary equipment, the facility may apply for a 12-month extension of the 30-month limit. Extensions can be renewed for succeeding 12-month periods if the facility applies for the extension prior to expiration of the current extension period. A producer of renewable energy, who is the person who owns the renewable energy facility, cannot own more than two eligible renewable energy facilities. A person that has an equity interest equal to or greater than 51 percent in an eligible renewable energy facility cannot have an equity interest greater than 10 percent in any other renewable energy facility. However, for tax years beginning on or after January 1, 2015, an entity described in Iowa Code section </w:t>
      </w:r>
      <w:hyperlink r:id="rId218">
        <w:r>
          <w:rPr>
            <w:rStyle w:val="Hyperlink"/>
            <w:rFonts w:ascii="Times New Roman" w:hAnsi="Times New Roman"/>
            <w:b w:val="false"/>
            <w:i w:val="false"/>
            <w:color w:val="000000"/>
            <w:sz w:val="22"/>
          </w:rPr>
          <w:t>476C.1(6)</w:t>
        </w:r>
      </w:hyperlink>
      <w:r>
        <w:rPr>
          <w:rFonts w:ascii="Times New Roman" w:hAnsi="Times New Roman"/>
          <w:b w:val="false"/>
          <w:i/>
          <w:color w:val="000000"/>
          <w:sz w:val="22"/>
        </w:rPr>
        <w:t>“b”</w:t>
      </w:r>
      <w:r>
        <w:rPr>
          <w:rFonts w:ascii="Times New Roman" w:hAnsi="Times New Roman"/>
          <w:b w:val="false"/>
          <w:i w:val="false"/>
          <w:color w:val="000000"/>
          <w:sz w:val="22"/>
        </w:rPr>
        <w:t xml:space="preserve">(4) or (5) may have an ownership interest in up to four solar energy conversion facilities described in Iowa Code section </w:t>
      </w:r>
      <w:hyperlink r:id="rId219">
        <w:r>
          <w:rPr>
            <w:rStyle w:val="Hyperlink"/>
            <w:rFonts w:ascii="Times New Roman" w:hAnsi="Times New Roman"/>
            <w:b w:val="false"/>
            <w:i w:val="false"/>
            <w:color w:val="000000"/>
            <w:sz w:val="22"/>
          </w:rPr>
          <w:t>476C.3(4)</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304.28(2)</w:t>
      </w:r>
      <w:r>
        <w:rPr>
          <w:rFonts w:ascii="Times New Roman" w:hAnsi="Times New Roman"/>
          <w:b w:val="false"/>
          <w:i w:val="false"/>
          <w:color w:val="000000"/>
          <w:sz w:val="22"/>
        </w:rPr>
        <w:t> </w:t>
      </w:r>
      <w:r>
        <w:rPr>
          <w:rFonts w:ascii="Times New Roman" w:hAnsi="Times New Roman"/>
          <w:b w:val="false"/>
          <w:i/>
          <w:color w:val="000000"/>
          <w:sz w:val="22"/>
        </w:rPr>
        <w:t xml:space="preserve">Tax credit certificate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Tax credit application process. </w:t>
      </w:r>
      <w:r>
        <w:rPr>
          <w:rFonts w:ascii="Times New Roman" w:hAnsi="Times New Roman"/>
          <w:b w:val="false"/>
          <w:i w:val="false"/>
          <w:color w:val="000000"/>
          <w:sz w:val="22"/>
        </w:rPr>
        <w:t xml:space="preserve">A producer or purchaser of a renewable energy facility must apply to the utilities board for the renewable energy tax credit. The application for the tax credit must be filed no later than 30 days after the close of the tax year for which the credit is applied. The information to be included in the application is set forth in </w:t>
      </w:r>
      <w:hyperlink r:id="rId220">
        <w:r>
          <w:rPr>
            <w:rStyle w:val="Hyperlink"/>
            <w:rFonts w:ascii="Times New Roman" w:hAnsi="Times New Roman"/>
            <w:b w:val="false"/>
            <w:i w:val="false"/>
            <w:color w:val="000000"/>
            <w:sz w:val="22"/>
          </w:rPr>
          <w:t>199—subrule 15.21(1)</w:t>
        </w:r>
      </w:hyperlink>
      <w:r>
        <w:rPr>
          <w:rFonts w:ascii="Times New Roman" w:hAnsi="Times New Roman"/>
          <w:b w:val="false"/>
          <w:i w:val="false"/>
          <w:color w:val="000000"/>
          <w:sz w:val="22"/>
        </w:rPr>
        <w:t>. The utilities board will notify the department of the number of kilowatt-hours, standard cubic feet or British thermal units that were generated and purchased from an eligible facility or used for on-site consumption by the producer during the tax year for which the credit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Tax credit calculation. </w:t>
      </w:r>
      <w:r>
        <w:rPr>
          <w:rFonts w:ascii="Times New Roman" w:hAnsi="Times New Roman"/>
          <w:b w:val="false"/>
          <w:i w:val="false"/>
          <w:color w:val="000000"/>
          <w:sz w:val="22"/>
        </w:rPr>
        <w:t xml:space="preserve">The department shall calculate the amount of the credit for which the applicant is eligible in accordance with subrules </w:t>
      </w:r>
      <w:hyperlink r:id="rId221">
        <w:r>
          <w:rPr>
            <w:rStyle w:val="Hyperlink"/>
            <w:rFonts w:ascii="Times New Roman" w:hAnsi="Times New Roman"/>
            <w:b w:val="false"/>
            <w:i w:val="false"/>
            <w:color w:val="000000"/>
            <w:sz w:val="22"/>
          </w:rPr>
          <w:t>304.28(3)</w:t>
        </w:r>
      </w:hyperlink>
      <w:r>
        <w:rPr>
          <w:rFonts w:ascii="Times New Roman" w:hAnsi="Times New Roman"/>
          <w:b w:val="false"/>
          <w:i w:val="false"/>
          <w:color w:val="000000"/>
          <w:sz w:val="22"/>
        </w:rPr>
        <w:t xml:space="preserve"> and </w:t>
      </w:r>
      <w:hyperlink r:id="rId222">
        <w:r>
          <w:rPr>
            <w:rStyle w:val="Hyperlink"/>
            <w:rFonts w:ascii="Times New Roman" w:hAnsi="Times New Roman"/>
            <w:b w:val="false"/>
            <w:i w:val="false"/>
            <w:color w:val="000000"/>
            <w:sz w:val="22"/>
          </w:rPr>
          <w:t>304.28(4)</w:t>
        </w:r>
      </w:hyperlink>
      <w:r>
        <w:rPr>
          <w:rFonts w:ascii="Times New Roman" w:hAnsi="Times New Roman"/>
          <w:b w:val="false"/>
          <w:i w:val="false"/>
          <w:color w:val="000000"/>
          <w:sz w:val="22"/>
        </w:rPr>
        <w:t xml:space="preserve"> and shall issue a tax credit certificate for that amount or shall notify the applicant in writing of its refusal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Tax credit certificate issuance. </w:t>
      </w:r>
      <w:r>
        <w:rPr>
          <w:rFonts w:ascii="Times New Roman" w:hAnsi="Times New Roman"/>
          <w:b w:val="false"/>
          <w:i w:val="false"/>
          <w:color w:val="000000"/>
          <w:sz w:val="22"/>
        </w:rPr>
        <w:t xml:space="preserve">The tax credit certificate will include the taxpayer’s name, address and federal identification number; the tax type for which the credit will be claimed; the amount of the credit; and the tax year for which the credit may be claimed. In addition, the tax credit certificate will include a place for the name and tax identification number of a transferee and the amount of the tax credit certificate, as provided in subrule </w:t>
      </w:r>
      <w:hyperlink r:id="rId223">
        <w:r>
          <w:rPr>
            <w:rStyle w:val="Hyperlink"/>
            <w:rFonts w:ascii="Times New Roman" w:hAnsi="Times New Roman"/>
            <w:b w:val="false"/>
            <w:i w:val="false"/>
            <w:color w:val="000000"/>
            <w:sz w:val="22"/>
          </w:rPr>
          <w:t>304.28(5)</w:t>
        </w:r>
      </w:hyperlink>
      <w:r>
        <w:rPr>
          <w:rFonts w:ascii="Times New Roman" w:hAnsi="Times New Roman"/>
          <w:b w:val="false"/>
          <w:i w:val="false"/>
          <w:color w:val="000000"/>
          <w:sz w:val="22"/>
        </w:rPr>
        <w:t xml:space="preserve">. Once a tax credit certificate is issued pursuant to Iowa Code chapter </w:t>
      </w:r>
      <w:hyperlink r:id="rId224">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it shall not be terminated or rescinded.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Taxpayers that are partnerships, limited liability companies, S corporations, or estates or trusts. </w:t>
      </w:r>
      <w:r>
        <w:rPr>
          <w:rFonts w:ascii="Times New Roman" w:hAnsi="Times New Roman"/>
          <w:b w:val="false"/>
          <w:i w:val="false"/>
          <w:color w:val="000000"/>
          <w:sz w:val="22"/>
        </w:rPr>
        <w:t xml:space="preserve">If the taxpayer is a partnership, limited liability company, S corporation, or estate or trust requesting a credit for individual or corporation income tax, the tax credit certificate will be issued to the partners, members, shareholders or beneficiaries based on the partner’s, member’s, shareholder’s or beneficiary’s pro rata share of earnings of the partnership, limited liability company, S corporation, or estate or trust, except when the taxpayer is eligible to receive renewable electricity production tax credits authorized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xml:space="preserve">. In cases where the taxpayer is eligible to receive renewable electricity production tax credits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xml:space="preserve">, the partnership, limited liability company or S corporation may designate the amount of the tax credit to be allocated to each partner, member or shareholder. In addition, if a taxpayer is a partnership, limited liability company, S corporation, or estate or trust that is eligible to receive renewable electricity production tax credits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the taxpayer may distribute the tax credit to an equity holder or beneficiary as a liquidating distribution, or portion thereof, of an equity holder’s interest in the partnership, limited liability company or S corporation or of the beneficiary’s interest in the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To claim the tax credit, the taxpayer must include the tax credit certificate with the tax return for the tax period set forth on the certificate. Any tax credit in excess of the tax liability may be carried forward for seven years or until it is used, whichever is the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304.28(3)</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Energy production. </w:t>
      </w:r>
      <w:r>
        <w:rPr>
          <w:rFonts w:ascii="Times New Roman" w:hAnsi="Times New Roman"/>
          <w:b w:val="false"/>
          <w:i w:val="false"/>
          <w:color w:val="000000"/>
          <w:sz w:val="22"/>
        </w:rPr>
        <w:t>Of the maximum amount of energy production capacity equivalent for biogas recovery facilities, biomass conversion facilities, methane gas recovery facilities, solar energy conversion facilities and refuse conversion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 single facility may be allocated more than ten megawatts of nameplate generating capacity or energy production capacity equivalent.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beginning on or after January 1, 2015, ten megawatts of nameplate generating capacity or energy production capacity equivalent shall be reserved for solar energy conversion facilities described in Iowa Code section </w:t>
      </w:r>
      <w:r>
        <w:rPr>
          <w:rFonts w:ascii="Times New Roman" w:hAnsi="Times New Roman"/>
          <w:b w:val="false"/>
          <w:i w:val="false"/>
          <w:color w:val="000000"/>
          <w:sz w:val="22"/>
        </w:rPr>
        <w:t>476C.3(4)</w:t>
      </w:r>
      <w:r>
        <w:rPr>
          <w:rFonts w:ascii="Times New Roman" w:hAnsi="Times New Roman"/>
          <w:b w:val="false"/>
          <w:i/>
          <w:color w:val="000000"/>
          <w:sz w:val="22"/>
        </w:rPr>
        <w:t>“b”</w:t>
      </w:r>
      <w:r>
        <w:rPr>
          <w:rFonts w:ascii="Times New Roman" w:hAnsi="Times New Roman"/>
          <w:b w:val="false"/>
          <w:i w:val="false"/>
          <w:color w:val="000000"/>
          <w:sz w:val="22"/>
        </w:rPr>
        <w:t>(3) that have a generating capacity of one and one-half megawatts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2014, 55 billion British thermal units of heat for a commercial purpose shall be reserved annually for an eligible facility that is a refuse conversion facility for processed, engineered fuel from a multicounty solid waste management planning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2014, the maximum annual amount of energy production capacity for a single refuse conversion facility is 55 billion British thermal units of heat for a commercial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Related persons. </w:t>
      </w:r>
      <w:r>
        <w:rPr>
          <w:rFonts w:ascii="Times New Roman" w:hAnsi="Times New Roman"/>
          <w:b w:val="false"/>
          <w:i w:val="false"/>
          <w:color w:val="000000"/>
          <w:sz w:val="22"/>
        </w:rPr>
        <w:t>The credit is not allowed for any kilowatt-hours, standard cubic feet or British thermal units that are purchased from an eligible facility by a related person. Persons shall be treated as related to each other if either person owns an 80 percent or more equity interest in the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Operation. </w:t>
      </w:r>
      <w:r>
        <w:rPr>
          <w:rFonts w:ascii="Times New Roman" w:hAnsi="Times New Roman"/>
          <w:b w:val="false"/>
          <w:i w:val="false"/>
          <w:color w:val="000000"/>
          <w:sz w:val="22"/>
        </w:rPr>
        <w:t xml:space="preserve">The facility must be operational within 30 months after approval was given by the utilities board, unless a 12-month extension is granted by the utilities board as provided in subrule </w:t>
      </w:r>
      <w:hyperlink r:id="rId225">
        <w:r>
          <w:rPr>
            <w:rStyle w:val="Hyperlink"/>
            <w:rFonts w:ascii="Times New Roman" w:hAnsi="Times New Roman"/>
            <w:b w:val="false"/>
            <w:i w:val="false"/>
            <w:color w:val="000000"/>
            <w:sz w:val="22"/>
          </w:rPr>
          <w:t>304.28(1)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Prohibited for persons that have received a credit under Iowa Code chapter </w:t>
      </w:r>
      <w:hyperlink r:id="rId226">
        <w:r>
          <w:rPr>
            <w:rStyle w:val="Hyperlink"/>
            <w:rFonts w:ascii="Times New Roman" w:hAnsi="Times New Roman"/>
            <w:b w:val="false"/>
            <w:i/>
            <w:color w:val="000000"/>
            <w:sz w:val="22"/>
          </w:rPr>
          <w:t>476B</w:t>
        </w:r>
      </w:hyperlink>
      <w:r>
        <w:rPr>
          <w:rFonts w:ascii="Times New Roman" w:hAnsi="Times New Roman"/>
          <w:b w:val="false"/>
          <w:i/>
          <w:color w:val="000000"/>
          <w:sz w:val="22"/>
        </w:rPr>
        <w:t xml:space="preserve">. </w:t>
      </w:r>
      <w:r>
        <w:rPr>
          <w:rFonts w:ascii="Times New Roman" w:hAnsi="Times New Roman"/>
          <w:b w:val="false"/>
          <w:i w:val="false"/>
          <w:color w:val="000000"/>
          <w:sz w:val="22"/>
        </w:rPr>
        <w:t xml:space="preserve">A person that has received a wind energy production tax credit pursuant to Iowa Code chapter </w:t>
      </w:r>
      <w:hyperlink r:id="rId227">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 xml:space="preserve"> may not be issued a renewable energy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Ten-year award limitation. </w:t>
      </w:r>
      <w:r>
        <w:rPr>
          <w:rFonts w:ascii="Times New Roman" w:hAnsi="Times New Roman"/>
          <w:b w:val="false"/>
          <w:i w:val="false"/>
          <w:color w:val="000000"/>
          <w:sz w:val="22"/>
        </w:rPr>
        <w:t>The credit is allowed for a ten-year period beginning on the date the purchaser first purchases renewable energy from a qualified facility or on the date the qualified facility first began producing renewable energy for on-site consumption. For example, if a renewable energy facility first began producing energy for on-site consumption on April 1, 2006, the credit can be claimed for kilowatt-hours, standard cubic feet or British thermal units generated and used for on-site consumption by the producer between April 1, 2006, and March 31, 2016. Tax credit certificates cannot be issued for renewable energy purchased or produced for on-site consumption after December 31, 2027.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304.28(4)</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credit. </w:t>
      </w:r>
      <w:r>
        <w:rPr>
          <w:rFonts w:ascii="Times New Roman" w:hAnsi="Times New Roman"/>
          <w:b w:val="false"/>
          <w:i w:val="false"/>
          <w:color w:val="000000"/>
          <w:sz w:val="22"/>
        </w:rPr>
        <w:t>The renewable energy tax credit equals 1½ cents per kilowatt-hour of electricity, or $1.44 per 1000 standard cubic feet of hydrogen fuel, or $4.50 per 1 million British thermal units of methane gas or other biogas used to generate electricity, or $4.50 per 1 million British thermal units of heat for a commercial purpose generated by and purchased from an eligible renewable energy facility or used for on-site consumption by the producer during the tax year. For the first tax year in which the credit is applied, the kilowatt-hours, standard cubic feet or British thermal units generated by and purchased from the facility or used for on-site consumption by the producer may exceed 12 months if the facility was operational for fewer than 12 months in its initial year of operation.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qualified wind energy production facility was placed in service on April 1, 2006, and the taxpayer files on a calendar-year basis. The first year for which the credit can be claimed is the year ending December 31, 2007, since that is the first tax year that began on or after July 1, 2006. The credit for the 2007 tax year can include electricity generated and purchased or used for on-site consumption by the producer between April 1, 2006, and December 31, 2007.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304.28(5)</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renewable energy tax credit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One-transfer limitation. </w:t>
      </w:r>
      <w:r>
        <w:rPr>
          <w:rFonts w:ascii="Times New Roman" w:hAnsi="Times New Roman"/>
          <w:b w:val="false"/>
          <w:i w:val="false"/>
          <w:color w:val="000000"/>
          <w:sz w:val="22"/>
        </w:rPr>
        <w:t>The renewable energy tax credit certificate may be transferred once to any person or entity. A decision between a producer and purchaser of renewable energy regarding who may claim the tax credit is not considered a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Transfer process—information required. </w:t>
      </w:r>
      <w:r>
        <w:rPr>
          <w:rFonts w:ascii="Times New Roman" w:hAnsi="Times New Roman"/>
          <w:b w:val="false"/>
          <w:i w:val="false"/>
          <w:color w:val="000000"/>
          <w:sz w:val="22"/>
        </w:rPr>
        <w:t>Within 30 days of transfer of the tax credit certificate, the transferee must submit the transferred tax credit certificate to the department, along with a statement which contains the transferee’s name, address and tax identification number; the amount of the tax credit being transferred; the value of any consideration provided by the transferee to the transferor; and any other information required by the department. Within 30 days of receiving the transferred tax credit certificate and the statement from the transferee, the department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renewable energy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and the same expiration date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Tax year. </w:t>
      </w:r>
      <w:r>
        <w:rPr>
          <w:rFonts w:ascii="Times New Roman" w:hAnsi="Times New Roman"/>
          <w:b w:val="false"/>
          <w:i w:val="false"/>
          <w:color w:val="000000"/>
          <w:sz w:val="22"/>
        </w:rPr>
        <w:t xml:space="preserve">The transferee may use the amount of the tax credit for any tax year for which the original transferor could have claimed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Consideration. </w:t>
      </w:r>
      <w:r>
        <w:rPr>
          <w:rFonts w:ascii="Times New Roman" w:hAnsi="Times New Roman"/>
          <w:b w:val="false"/>
          <w:i w:val="false"/>
          <w:color w:val="000000"/>
          <w:sz w:val="22"/>
        </w:rPr>
        <w:t>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304.28(6)</w:t>
      </w:r>
      <w:r>
        <w:rPr>
          <w:rFonts w:ascii="Times New Roman" w:hAnsi="Times New Roman"/>
          <w:b w:val="false"/>
          <w:i w:val="false"/>
          <w:color w:val="000000"/>
          <w:sz w:val="22"/>
        </w:rPr>
        <w:t> </w:t>
      </w:r>
      <w:r>
        <w:rPr>
          <w:rFonts w:ascii="Times New Roman" w:hAnsi="Times New Roman"/>
          <w:b w:val="false"/>
          <w:i/>
          <w:color w:val="000000"/>
          <w:sz w:val="22"/>
        </w:rPr>
        <w:t xml:space="preserve">Small wind innovation zones. </w:t>
      </w:r>
      <w:r>
        <w:rPr>
          <w:rFonts w:ascii="Times New Roman" w:hAnsi="Times New Roman"/>
          <w:b w:val="false"/>
          <w:i w:val="false"/>
          <w:color w:val="000000"/>
          <w:sz w:val="22"/>
        </w:rPr>
        <w:t xml:space="preserve">Effective for tax years beginning on or after January 1, 2009, an owner of a small wind energy system operating within a small wind innovation zone which has been approved by the Iowa utilities board is eligible for the renewable energy tax credit. The administrative rules of the Iowa utilities board for the certification of eligibility for owners of small wind energy systems operating within a small wind innovation zone may be found in rule </w:t>
      </w:r>
      <w:hyperlink r:id="rId228">
        <w:r>
          <w:rPr>
            <w:rStyle w:val="Hyperlink"/>
            <w:rFonts w:ascii="Times New Roman" w:hAnsi="Times New Roman"/>
            <w:b w:val="false"/>
            <w:i w:val="false"/>
            <w:color w:val="000000"/>
            <w:sz w:val="22"/>
          </w:rPr>
          <w:t>199—15.22</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304.28(7)</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If the department refuses to issue the tax credit certificate, the taxpayer shall be notified in writing, and the taxpayer will have 60 days from the date of denial to file a protest in accordance with rule </w:t>
      </w:r>
      <w:hyperlink r:id="rId229">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0">
        <w:r>
          <w:rPr>
            <w:rStyle w:val="Hyperlink"/>
            <w:rFonts w:ascii="Times New Roman" w:hAnsi="Times New Roman"/>
            <w:b w:val="false"/>
            <w:i w:val="false"/>
            <w:color w:val="000000"/>
            <w:sz w:val="22"/>
          </w:rPr>
          <w:t>422.11J</w:t>
        </w:r>
      </w:hyperlink>
      <w:r>
        <w:rPr>
          <w:rFonts w:ascii="Times New Roman" w:hAnsi="Times New Roman"/>
          <w:b w:val="false"/>
          <w:i w:val="false"/>
          <w:color w:val="000000"/>
          <w:sz w:val="22"/>
        </w:rPr>
        <w:t xml:space="preserve"> and Iowa Code chapter </w:t>
      </w:r>
      <w:hyperlink r:id="rId231">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xml:space="preserve"> as amended by 2015 Iowa Acts, chapter </w:t>
      </w:r>
      <w:r>
        <w:rPr>
          <w:rFonts w:ascii="Times New Roman" w:hAnsi="Times New Roman"/>
          <w:b w:val="false"/>
          <w:i w:val="false"/>
          <w:color w:val="000000"/>
          <w:sz w:val="22"/>
        </w:rPr>
        <w:t>124</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2016 Iowa Acts, House File 2468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2772C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701—304.29</w:t>
      </w:r>
      <w:r>
        <w:rPr>
          <w:rFonts w:ascii="Times New Roman" w:hAnsi="Times New Roman"/>
          <w:b/>
          <w:i w:val="false"/>
          <w:color w:val="000000"/>
          <w:sz w:val="22"/>
        </w:rPr>
        <w:t xml:space="preserve">(15) </w:t>
      </w:r>
      <w:r>
        <w:rPr>
          <w:rFonts w:ascii="Times New Roman" w:hAnsi="Times New Roman"/>
          <w:b/>
          <w:i w:val="false"/>
          <w:color w:val="000000"/>
          <w:sz w:val="22"/>
        </w:rPr>
        <w:t xml:space="preserve">High quality job creation program. </w:t>
      </w:r>
      <w:r>
        <w:rPr>
          <w:rFonts w:ascii="Times New Roman" w:hAnsi="Times New Roman"/>
          <w:b w:val="false"/>
          <w:i w:val="false"/>
          <w:color w:val="000000"/>
          <w:sz w:val="22"/>
        </w:rPr>
        <w:t xml:space="preserve">Effective for tax periods ending on or after July 1, 2005, for programs approved on or after July 1, 2005, but before July 1, 2009, a business which qualifies under the high quality job creation program is eligible to receive tax credits. The high quality job creation program replaces the new jobs and income program and the new capital investment program. An eligible business under the high quality job creation program must be approved by the Iowa department of economic development and meet the qualifications of Iowa Code section </w:t>
      </w:r>
      <w:hyperlink r:id="rId232">
        <w:r>
          <w:rPr>
            <w:rStyle w:val="Hyperlink"/>
            <w:rFonts w:ascii="Times New Roman" w:hAnsi="Times New Roman"/>
            <w:b w:val="false"/>
            <w:i w:val="false"/>
            <w:color w:val="000000"/>
            <w:sz w:val="22"/>
          </w:rPr>
          <w:t>15.329</w:t>
        </w:r>
      </w:hyperlink>
      <w:r>
        <w:rPr>
          <w:rFonts w:ascii="Times New Roman" w:hAnsi="Times New Roman"/>
          <w:b w:val="false"/>
          <w:i w:val="false"/>
          <w:color w:val="000000"/>
          <w:sz w:val="22"/>
        </w:rPr>
        <w:t xml:space="preserve">. The administrative rules for the high quality job creation program for the Iowa department of economic development may be found at </w:t>
      </w:r>
      <w:hyperlink r:id="rId233">
        <w:r>
          <w:rPr>
            <w:rStyle w:val="Hyperlink"/>
            <w:rFonts w:ascii="Times New Roman" w:hAnsi="Times New Roman"/>
            <w:b w:val="false"/>
            <w:i w:val="false"/>
            <w:color w:val="000000"/>
            <w:sz w:val="22"/>
          </w:rPr>
          <w:t>261—Chapter 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high quality job creation program was repealed on July 1, 2009, and has been replaced with the high quality jobs program. See rule </w:t>
      </w:r>
      <w:hyperlink r:id="rId234">
        <w:r>
          <w:rPr>
            <w:rStyle w:val="Hyperlink"/>
            <w:rFonts w:ascii="Times New Roman" w:hAnsi="Times New Roman"/>
            <w:b w:val="false"/>
            <w:i w:val="false"/>
            <w:color w:val="000000"/>
            <w:sz w:val="22"/>
          </w:rPr>
          <w:t>701—304.42</w:t>
        </w:r>
      </w:hyperlink>
      <w:r>
        <w:rPr>
          <w:rFonts w:ascii="Times New Roman" w:hAnsi="Times New Roman"/>
          <w:b w:val="false"/>
          <w:i w:val="false"/>
          <w:color w:val="000000"/>
          <w:sz w:val="22"/>
        </w:rPr>
        <w:t>(15) for information on the investment tax credit and additional research activities credit under the high quality jobs program. Any investment tax credit and additional research activities credit earned by businesses approved under the high quality job creation program prior to July 1, 2009, remains valid and can be claimed on tax returns filed after July 1, 2009.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304.29(1)</w:t>
      </w:r>
      <w:r>
        <w:rPr>
          <w:rFonts w:ascii="Times New Roman" w:hAnsi="Times New Roman"/>
          <w:b w:val="false"/>
          <w:i w:val="false"/>
          <w:color w:val="000000"/>
          <w:sz w:val="22"/>
        </w:rPr>
        <w:t> </w:t>
      </w:r>
      <w:r>
        <w:rPr>
          <w:rFonts w:ascii="Times New Roman" w:hAnsi="Times New Roman"/>
          <w:b w:val="false"/>
          <w:i/>
          <w:color w:val="000000"/>
          <w:sz w:val="22"/>
        </w:rPr>
        <w:t xml:space="preserve">Research activities credit. </w:t>
      </w:r>
      <w:r>
        <w:rPr>
          <w:rFonts w:ascii="Times New Roman" w:hAnsi="Times New Roman"/>
          <w:b w:val="false"/>
          <w:i w:val="false"/>
          <w:color w:val="000000"/>
          <w:sz w:val="22"/>
        </w:rPr>
        <w:t xml:space="preserve">An eligible business approved under the high quality job creation program is eligible for an additional research activities credit as described in </w:t>
      </w:r>
      <w:hyperlink r:id="rId235">
        <w:r>
          <w:rPr>
            <w:rStyle w:val="Hyperlink"/>
            <w:rFonts w:ascii="Times New Roman" w:hAnsi="Times New Roman"/>
            <w:b w:val="false"/>
            <w:i w:val="false"/>
            <w:color w:val="000000"/>
            <w:sz w:val="22"/>
          </w:rPr>
          <w:t>701—subrule 501.7(4)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Research activities allowable for the Iowa research activities credit include expenses related to the development and deployment of innovative renewable energy generation components manufactured or assembled in Iowa; such expenses related to the development and deployment of innovative renewable energy generation components are not eligible for the federal credit for increasing research activities. For purposes of this subrule, innovative renewable energy generation components do not include components with more than 200 megawatts in installed effective nameplate generating capacity. The research activities credit related to renewable energy generation components under the high quality job creation program and the enterprise zone program shall not exceed $1 million in the aggregate.</w:t>
      </w:r>
    </w:p>
    <w:p>
      <w:pPr>
        <w:spacing w:before="0" w:after="0"/>
        <w:ind w:left="120"/>
        <w:jc w:val="both"/>
      </w:pPr>
      <w:r>
        <w:rPr>
          <w:rFonts w:ascii="Times New Roman" w:hAnsi="Times New Roman"/>
          <w:b w:val="false"/>
          <w:i w:val="false"/>
          <w:color w:val="000000"/>
          <w:sz w:val="22"/>
        </w:rPr>
        <w:t xml:space="preserve">These expenses related to the development and deployment of innovative renewable energy generation components are applicable only to the additional research activities credit set forth in this subrule and are not applicable to the research activities credit set forth in paragraphs </w:t>
      </w:r>
      <w:hyperlink r:id="rId236">
        <w:r>
          <w:rPr>
            <w:rStyle w:val="Hyperlink"/>
            <w:rFonts w:ascii="Times New Roman" w:hAnsi="Times New Roman"/>
            <w:b w:val="false"/>
            <w:i w:val="false"/>
            <w:color w:val="000000"/>
            <w:sz w:val="22"/>
          </w:rPr>
          <w:t>304.11(3)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research activities credit is subject to the threshold amounts of qualifying investment set forth in Iowa department of economic development </w:t>
      </w:r>
      <w:hyperlink r:id="rId237">
        <w:r>
          <w:rPr>
            <w:rStyle w:val="Hyperlink"/>
            <w:rFonts w:ascii="Times New Roman" w:hAnsi="Times New Roman"/>
            <w:b w:val="false"/>
            <w:i w:val="false"/>
            <w:color w:val="000000"/>
            <w:sz w:val="22"/>
          </w:rPr>
          <w:t>261—subrule 68.4(7)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304.29(2)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 xml:space="preserve">An eligible business can claim an investment tax credit equal to a percentage of the new investment directly related to new jobs created by the location or expansion of an eligible business. The percentage is equal to the amount provided in Iowa department of economic development </w:t>
      </w:r>
      <w:hyperlink r:id="rId238">
        <w:r>
          <w:rPr>
            <w:rStyle w:val="Hyperlink"/>
            <w:rFonts w:ascii="Times New Roman" w:hAnsi="Times New Roman"/>
            <w:b w:val="false"/>
            <w:i w:val="false"/>
            <w:color w:val="000000"/>
            <w:sz w:val="22"/>
          </w:rPr>
          <w:t>261—subrule 68.4(7)</w:t>
        </w:r>
      </w:hyperlink>
      <w:r>
        <w:rPr>
          <w:rFonts w:ascii="Times New Roman" w:hAnsi="Times New Roman"/>
          <w:b w:val="false"/>
          <w:i w:val="false"/>
          <w:color w:val="000000"/>
          <w:sz w:val="22"/>
        </w:rPr>
        <w:t>. New investment directly related to new jobs created by the location or expansion of an eligible business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machinery and equipment, as defined in Iowa Code section </w:t>
      </w:r>
      <w:hyperlink r:id="rId239">
        <w:r>
          <w:rPr>
            <w:rStyle w:val="Hyperlink"/>
            <w:rFonts w:ascii="Times New Roman" w:hAnsi="Times New Roman"/>
            <w:b w:val="false"/>
            <w:i w:val="false"/>
            <w:color w:val="000000"/>
            <w:sz w:val="22"/>
          </w:rPr>
          <w:t>427A.1(1), paragraphs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“j,”</w:t>
        </w:r>
      </w:hyperlink>
      <w:r>
        <w:rPr>
          <w:rFonts w:ascii="Times New Roman" w:hAnsi="Times New Roman"/>
          <w:b w:val="false"/>
          <w:i w:val="false"/>
          <w:color w:val="000000"/>
          <w:sz w:val="22"/>
        </w:rPr>
        <w:t xml:space="preserve"> purchased for use in the operation of the eligible business. The purchase price shall be depreciated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purchase price of real property and any buildings and structures located on the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 of improvements made to real property which is used in the operation of the eligible business.</w:t>
      </w:r>
    </w:p>
    <w:p>
      <w:pPr>
        <w:spacing w:before="0" w:after="0"/>
        <w:ind w:left="120"/>
        <w:jc w:val="both"/>
      </w:pPr>
      <w:r>
        <w:rPr>
          <w:rFonts w:ascii="Times New Roman" w:hAnsi="Times New Roman"/>
          <w:b w:val="false"/>
          <w:i w:val="false"/>
          <w:color w:val="000000"/>
          <w:sz w:val="22"/>
        </w:rPr>
        <w:t>In addition, certain lease payments made by eligible businesses to a third-party developer will be considered to be new investment for purposes of computing the investment tax credit. The eligible business shall enter into a lease agreement with the third-party developer for a minimum of five years. The investment tax credit is based on the annual base rent paid to a third-party developer by the eligible business for a period not to exceed ten years. The total costs of the annual base rent payments for the ten-year period cannot exceed the cost of the land and the third-party developer’s cost to build or renovate the building used by the eligible business. The annual base rent is defined as the total lease payment less taxes, insurance and operating and maintenance expenses.</w:t>
      </w:r>
    </w:p>
    <w:p>
      <w:pPr>
        <w:spacing w:before="0" w:after="0"/>
        <w:ind w:left="120"/>
        <w:jc w:val="both"/>
      </w:pPr>
      <w:r>
        <w:rPr>
          <w:rFonts w:ascii="Times New Roman" w:hAnsi="Times New Roman"/>
          <w:b w:val="false"/>
          <w:i w:val="false"/>
          <w:color w:val="000000"/>
          <w:sz w:val="22"/>
        </w:rPr>
        <w:t>The investment tax credit can be claimed in the tax year in which the qualifying assets are placed in service. The investment tax credit will be amortized over a five-year period. Any credit in excess of the tax liability for the tax period may be carried forward seven years or until used, whichever is the earlier.</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An eligible business which files tax returns on a calendar-year basis earned $100,000 of investment tax credits for new investment made in 2006. The business can claim $20,000 of investment tax credits for each of the years from 2006 through 2010. The $20,000 of investment tax credit that can be claimed in 2006 can be carried forward to the 2007-2013 tax years if the entire credit cannot be claimed on the 2006 return. Similarly, the $20,000 investment tax credit that can be claimed in 2007 can be carried forward to the 2008-2014 tax years if the entire credit cannot be claimed on the 2007 return.</w:t>
      </w:r>
    </w:p>
    <w:p>
      <w:pPr>
        <w:spacing w:before="0" w:after="0"/>
        <w:ind w:left="120"/>
        <w:jc w:val="both"/>
      </w:pPr>
      <w:r>
        <w:rPr>
          <w:rFonts w:ascii="Times New Roman" w:hAnsi="Times New Roman"/>
          <w:b w:val="false"/>
          <w:i w:val="false"/>
          <w:color w:val="000000"/>
          <w:sz w:val="22"/>
        </w:rPr>
        <w:t xml:space="preserve">If the business is a partnership, S corporation, limited liability company, cooperative organized under Iowa Code chapter </w:t>
      </w:r>
      <w:hyperlink r:id="rId240">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federal tax purposes, or estate or trust electing to have the income taxed directly to an individual, an individual may claim the credit. The amount of the credit claimed by an individual must be based on the individual’s pro rata share of the individual’s earnings of the partnership, S corporation, limited liability company, cooperative organized under Iowa Code chapter </w:t>
      </w:r>
      <w:hyperlink r:id="rId241">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federal tax purposes, or estate or trust electing to have the income taxed directly to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credit—value-added agricultural products or biotechnology-related processes. </w:t>
      </w:r>
      <w:r>
        <w:rPr>
          <w:rFonts w:ascii="Times New Roman" w:hAnsi="Times New Roman"/>
          <w:b w:val="false"/>
          <w:i w:val="false"/>
          <w:color w:val="000000"/>
          <w:sz w:val="22"/>
        </w:rPr>
        <w:t xml:space="preserve">An eligible business whose project primarily involves the production of value-added agricultural products or uses biotechnology-related processes may elect to receive a refund for all or a portion of an unused investment tax credit. An eligible business includes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whose project primarily involves the production of ethanol.</w:t>
      </w:r>
    </w:p>
    <w:p>
      <w:pPr>
        <w:spacing w:before="0" w:after="0"/>
        <w:ind w:left="120"/>
        <w:jc w:val="both"/>
      </w:pPr>
      <w:r>
        <w:rPr>
          <w:rFonts w:ascii="Times New Roman" w:hAnsi="Times New Roman"/>
          <w:b w:val="false"/>
          <w:i w:val="false"/>
          <w:color w:val="000000"/>
          <w:sz w:val="22"/>
        </w:rPr>
        <w:t xml:space="preserve">Eligible businesses that elect to receive a refund shall apply to the Iowa department of economic development for tax credit certificates between May 1 and May 15 of each fiscal year through the fiscal year ending June 30, 2009. The election to receive a refund of all or a portion of an unused investment tax credit is no longer available beginning with the fiscal year ending June 30, 2010. Only those businesses that have completed projects before the May 1 filing date may apply for a tax credit certificate. The Iowa department of economic development shall not issue tax credit certificates for more than $4 million during a fiscal year to eligible businesses for this program and the enterprise zone program described in subrule </w:t>
      </w:r>
      <w:hyperlink r:id="rId242">
        <w:r>
          <w:rPr>
            <w:rStyle w:val="Hyperlink"/>
            <w:rFonts w:ascii="Times New Roman" w:hAnsi="Times New Roman"/>
            <w:b w:val="false"/>
            <w:i w:val="false"/>
            <w:color w:val="000000"/>
            <w:sz w:val="22"/>
          </w:rPr>
          <w:t>304.14(2)</w:t>
        </w:r>
      </w:hyperlink>
      <w:r>
        <w:rPr>
          <w:rFonts w:ascii="Times New Roman" w:hAnsi="Times New Roman"/>
          <w:b w:val="false"/>
          <w:i w:val="false"/>
          <w:color w:val="000000"/>
          <w:sz w:val="22"/>
        </w:rPr>
        <w:t>. If applications are received for more than $4 million, the applicants shall receive certificates for a prorated amount.</w:t>
      </w:r>
    </w:p>
    <w:p>
      <w:pPr>
        <w:spacing w:before="0" w:after="0"/>
        <w:ind w:left="120"/>
        <w:jc w:val="both"/>
      </w:pPr>
      <w:r>
        <w:rPr>
          <w:rFonts w:ascii="Times New Roman" w:hAnsi="Times New Roman"/>
          <w:b w:val="false"/>
          <w:i w:val="false"/>
          <w:color w:val="000000"/>
          <w:sz w:val="22"/>
        </w:rPr>
        <w:t xml:space="preserve">The economic development authority shall issue tax credit certificates within a reasonable period of time. Tax credit certificates are valid for the tax year following project completion. The tax credit certificate must be included with the tax return for the tax year during which the tax credit is claimed. The tax credit certificate shall not be transferred, except for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whose project primarily involves the production of ethanol, as provided in subrule </w:t>
      </w:r>
      <w:hyperlink r:id="rId243">
        <w:r>
          <w:rPr>
            <w:rStyle w:val="Hyperlink"/>
            <w:rFonts w:ascii="Times New Roman" w:hAnsi="Times New Roman"/>
            <w:b w:val="false"/>
            <w:i w:val="false"/>
            <w:color w:val="000000"/>
            <w:sz w:val="22"/>
          </w:rPr>
          <w:t>304.14(2)</w:t>
        </w:r>
      </w:hyperlink>
      <w:r>
        <w:rPr>
          <w:rFonts w:ascii="Times New Roman" w:hAnsi="Times New Roman"/>
          <w:b w:val="false"/>
          <w:i w:val="false"/>
          <w:color w:val="000000"/>
          <w:sz w:val="22"/>
        </w:rPr>
        <w:t>. For value-added agricultural projects involving ethanol, the cooperative must submit a list of its members and the share of each member’s interest in the cooperative. The economic development authority shall issue a tax credit certificate to each member on the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Repayment of benefits. </w:t>
      </w:r>
      <w:r>
        <w:rPr>
          <w:rFonts w:ascii="Times New Roman" w:hAnsi="Times New Roman"/>
          <w:b w:val="false"/>
          <w:i w:val="false"/>
          <w:color w:val="000000"/>
          <w:sz w:val="22"/>
        </w:rPr>
        <w:t xml:space="preserve">If an eligible business fails to maintain the requirements of the high quality job creation program, the taxpayer may be required to repay all or a portion of the tax incentives taken on Iowa returns. Irrespective of the fact that the statute of limitations to assess the taxpayer for repayment of the tax credits may have expired, the department may proceed to collect the tax incentives forfeited by failure of the eligible business to maintain the requirements of the high quality job creation program because the repayment is a recovery of an incentive, rather than an adjustment to the taxpayer’s tax liability. Details on the calculation of the repayment can be found in </w:t>
      </w:r>
      <w:hyperlink r:id="rId244">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An eligible business in the high quality job creation program may also be required to repay all or a portion of the tax incentives received on Iowa returns if the eligible business experiences a layoff of employees in Iowa or closes any of its facilities in Iowa.</w:t>
      </w:r>
    </w:p>
    <w:p>
      <w:pPr>
        <w:spacing w:before="0" w:after="0"/>
        <w:ind w:left="120"/>
        <w:jc w:val="both"/>
      </w:pPr>
      <w:r>
        <w:rPr>
          <w:rFonts w:ascii="Times New Roman" w:hAnsi="Times New Roman"/>
          <w:b w:val="false"/>
          <w:i w:val="false"/>
          <w:color w:val="000000"/>
          <w:sz w:val="22"/>
        </w:rPr>
        <w:t>If, within five years of purchase, the eligible business sells, disposes of, razes, or otherwise renders unusable all or a part of the land, buildings, or other existing structures for which a tax credit was claimed under this subrule, the income tax liability of the eligible business shall be increased by one of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hundred percent of the investment tax credit claimed if the property ceases to be eligible for the tax credit within one full year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Eighty percent of the investment tax credit claimed if the property ceases to be eligible for the tax credit within two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Sixty percent of the investment tax credit claimed if the property ceases to be eligible for the tax credit within three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Forty percent of the tax credit claimed if the property ceases to be eligible for the tax credit within four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Twenty percent of the investment tax credit claimed if the property ceases to be eligible for the tax credit within five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304.29(3)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tax credit amounts. </w:t>
      </w:r>
      <w:r>
        <w:rPr>
          <w:rFonts w:ascii="Times New Roman" w:hAnsi="Times New Roman"/>
          <w:b w:val="false"/>
          <w:i w:val="false"/>
          <w:color w:val="000000"/>
          <w:sz w:val="22"/>
        </w:rPr>
        <w:t>The amount of tax credit claimed under the high quality job creation program shall be based on the number of high quality jobs created and the amount of qualifying investment made as determined by the Iowa department of economic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high quality jobs have a starting wage, including benefits, equal to or greater than 130 percent of the average county wage but less than 160 percent of the average county wage, see Iowa department of economic development </w:t>
      </w:r>
      <w:hyperlink r:id="rId245">
        <w:r>
          <w:rPr>
            <w:rStyle w:val="Hyperlink"/>
            <w:rFonts w:ascii="Times New Roman" w:hAnsi="Times New Roman"/>
            <w:b w:val="false"/>
            <w:i w:val="false"/>
            <w:color w:val="000000"/>
            <w:sz w:val="22"/>
          </w:rPr>
          <w:t>261—paragraph 68.4(7)</w:t>
        </w:r>
        <w:r>
          <w:rPr>
            <w:rFonts w:ascii="Times New Roman" w:hAnsi="Times New Roman"/>
            <w:b w:val="false"/>
            <w:i/>
            <w:color w:val="000000"/>
            <w:sz w:val="22"/>
          </w:rPr>
          <w:t>“a”</w:t>
        </w:r>
      </w:hyperlink>
      <w:r>
        <w:rPr>
          <w:rFonts w:ascii="Times New Roman" w:hAnsi="Times New Roman"/>
          <w:b w:val="false"/>
          <w:i w:val="false"/>
          <w:color w:val="000000"/>
          <w:sz w:val="22"/>
        </w:rPr>
        <w:t xml:space="preserve"> for the amount of tax credits that may be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high quality jobs have a starting wage, including benefits, equal to or greater than 160 percent of the average county wage, see Iowa department of economic development </w:t>
      </w:r>
      <w:hyperlink r:id="rId246">
        <w:r>
          <w:rPr>
            <w:rStyle w:val="Hyperlink"/>
            <w:rFonts w:ascii="Times New Roman" w:hAnsi="Times New Roman"/>
            <w:b w:val="false"/>
            <w:i w:val="false"/>
            <w:color w:val="000000"/>
            <w:sz w:val="22"/>
          </w:rPr>
          <w:t>261—paragraph 68.4(7)</w:t>
        </w:r>
        <w:r>
          <w:rPr>
            <w:rFonts w:ascii="Times New Roman" w:hAnsi="Times New Roman"/>
            <w:b w:val="false"/>
            <w:i/>
            <w:color w:val="000000"/>
            <w:sz w:val="22"/>
          </w:rPr>
          <w:t>“b”</w:t>
        </w:r>
      </w:hyperlink>
      <w:r>
        <w:rPr>
          <w:rFonts w:ascii="Times New Roman" w:hAnsi="Times New Roman"/>
          <w:b w:val="false"/>
          <w:i w:val="false"/>
          <w:color w:val="000000"/>
          <w:sz w:val="22"/>
        </w:rPr>
        <w:t xml:space="preserve"> for the amount of tax credits that may be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business approved under the high quality job creation program is not eligible for the wage-benefits tax credit set forth in rule </w:t>
      </w:r>
      <w:hyperlink r:id="rId247">
        <w:r>
          <w:rPr>
            <w:rStyle w:val="Hyperlink"/>
            <w:rFonts w:ascii="Times New Roman" w:hAnsi="Times New Roman"/>
            <w:b w:val="false"/>
            <w:i w:val="false"/>
            <w:color w:val="000000"/>
            <w:sz w:val="22"/>
          </w:rPr>
          <w:t>701—304.26</w:t>
        </w:r>
      </w:hyperlink>
      <w:r>
        <w:rPr>
          <w:rFonts w:ascii="Times New Roman" w:hAnsi="Times New Roman"/>
          <w:b w:val="false"/>
          <w:i w:val="false"/>
          <w:color w:val="000000"/>
          <w:sz w:val="22"/>
        </w:rPr>
        <w:t>(15I,422).</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8">
        <w:r>
          <w:rPr>
            <w:rStyle w:val="Hyperlink"/>
            <w:rFonts w:ascii="Times New Roman" w:hAnsi="Times New Roman"/>
            <w:b w:val="false"/>
            <w:i w:val="false"/>
            <w:color w:val="000000"/>
            <w:sz w:val="22"/>
          </w:rPr>
          <w:t>15.326 to 15.337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701—304.30</w:t>
      </w:r>
      <w:r>
        <w:rPr>
          <w:rFonts w:ascii="Times New Roman" w:hAnsi="Times New Roman"/>
          <w:b/>
          <w:i w:val="false"/>
          <w:color w:val="000000"/>
          <w:sz w:val="22"/>
        </w:rPr>
        <w:t xml:space="preserve">(15E,422) </w:t>
      </w:r>
      <w:r>
        <w:rPr>
          <w:rFonts w:ascii="Times New Roman" w:hAnsi="Times New Roman"/>
          <w:b/>
          <w:i w:val="false"/>
          <w:color w:val="000000"/>
          <w:sz w:val="22"/>
        </w:rPr>
        <w:t xml:space="preserve">Economic development region revolving fund tax credit. </w:t>
      </w:r>
      <w:r>
        <w:rPr>
          <w:rFonts w:ascii="Times New Roman" w:hAnsi="Times New Roman"/>
          <w:b w:val="false"/>
          <w:i w:val="false"/>
          <w:color w:val="000000"/>
          <w:sz w:val="22"/>
        </w:rPr>
        <w:t xml:space="preserve">Effective for tax years ending on or after July 1, 2005, but beginning before January 1, 2010, a taxpayer who makes a contribution to an economic development region revolving fund may claim a tax credit, subject to the availability of the credit. The tax credit is equal to 20 percent of a taxpayer’s contribution to the economic development region revolving fund approved by the Iowa department of economic development. The administrative rules for the economic development region revolving fund tax credit for the Iowa department of economic development may be found at </w:t>
      </w:r>
      <w:hyperlink r:id="rId249">
        <w:r>
          <w:rPr>
            <w:rStyle w:val="Hyperlink"/>
            <w:rFonts w:ascii="Times New Roman" w:hAnsi="Times New Roman"/>
            <w:b w:val="false"/>
            <w:i w:val="false"/>
            <w:color w:val="000000"/>
            <w:sz w:val="22"/>
          </w:rPr>
          <w:t>261—Chapter 32</w:t>
        </w:r>
      </w:hyperlink>
      <w:r>
        <w:rPr>
          <w:rFonts w:ascii="Times New Roman" w:hAnsi="Times New Roman"/>
          <w:b w:val="false"/>
          <w:i w:val="false"/>
          <w:color w:val="000000"/>
          <w:sz w:val="22"/>
        </w:rPr>
        <w:t>. The tax credit is repealed for tax years beginning on or after January 1, 2010.</w:t>
      </w:r>
    </w:p>
    <w:p>
      <w:pPr>
        <w:spacing w:before="0" w:after="0"/>
        <w:ind w:left="120"/>
        <w:jc w:val="both"/>
      </w:pPr>
      <w:r>
        <w:rPr>
          <w:rFonts w:ascii="Times New Roman" w:hAnsi="Times New Roman"/>
          <w:b w:val="false"/>
          <w:i w:val="false"/>
          <w:color w:val="000000"/>
          <w:sz w:val="22"/>
        </w:rPr>
        <w:t>The total amount of economic development region revolving fund tax credits available shall not exceed $2 million per fiscal year. The tax credit shall not be carried back to a tax year prior to the year in which the taxpayer redeems the credit. The economic development region revolving fund tax credit is not transferable to any other taxpayer.</w:t>
      </w:r>
    </w:p>
    <w:p>
      <w:pPr>
        <w:spacing w:before="0" w:after="0"/>
        <w:ind w:left="120"/>
        <w:jc w:val="both"/>
      </w:pPr>
      <w:r>
        <w:rPr>
          <w:rFonts w:ascii="Times New Roman" w:hAnsi="Times New Roman"/>
          <w:b w:val="false"/>
          <w:i w:val="false"/>
          <w:color w:val="000000"/>
          <w:sz w:val="22"/>
        </w:rPr>
        <w:t>Any tax credit in excess of the tax liability for the tax year may be credited to the tax liability for the following ten years or until used, whichever is the earlier.</w:t>
      </w:r>
    </w:p>
    <w:p>
      <w:pPr>
        <w:spacing w:before="0" w:after="0"/>
        <w:ind w:left="120"/>
        <w:jc w:val="both"/>
      </w:pPr>
      <w:r>
        <w:rPr>
          <w:rFonts w:ascii="Times New Roman" w:hAnsi="Times New Roman"/>
          <w:b w:val="false"/>
          <w:i w:val="false"/>
          <w:color w:val="000000"/>
          <w:sz w:val="22"/>
        </w:rPr>
        <w:t>If a taxpayer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0">
        <w:r>
          <w:rPr>
            <w:rStyle w:val="Hyperlink"/>
            <w:rFonts w:ascii="Times New Roman" w:hAnsi="Times New Roman"/>
            <w:b w:val="false"/>
            <w:i w:val="false"/>
            <w:color w:val="000000"/>
            <w:sz w:val="22"/>
          </w:rPr>
          <w:t>15E.232</w:t>
        </w:r>
      </w:hyperlink>
      <w:r>
        <w:rPr>
          <w:rFonts w:ascii="Times New Roman" w:hAnsi="Times New Roman"/>
          <w:b w:val="false"/>
          <w:i w:val="false"/>
          <w:color w:val="000000"/>
          <w:sz w:val="22"/>
        </w:rPr>
        <w:t xml:space="preserve"> and </w:t>
      </w:r>
      <w:hyperlink r:id="rId251">
        <w:r>
          <w:rPr>
            <w:rStyle w:val="Hyperlink"/>
            <w:rFonts w:ascii="Times New Roman" w:hAnsi="Times New Roman"/>
            <w:b w:val="false"/>
            <w:i w:val="false"/>
            <w:color w:val="000000"/>
            <w:sz w:val="22"/>
          </w:rPr>
          <w:t>422.11K</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Senate File 2380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701—304.31</w:t>
      </w:r>
      <w:r>
        <w:rPr>
          <w:rFonts w:ascii="Times New Roman" w:hAnsi="Times New Roman"/>
          <w:b/>
          <w:i w:val="false"/>
          <w:color w:val="000000"/>
          <w:sz w:val="22"/>
        </w:rPr>
        <w:t xml:space="preserve">(422) </w:t>
      </w:r>
      <w:r>
        <w:rPr>
          <w:rFonts w:ascii="Times New Roman" w:hAnsi="Times New Roman"/>
          <w:b/>
          <w:i w:val="false"/>
          <w:color w:val="000000"/>
          <w:sz w:val="22"/>
        </w:rPr>
        <w:t xml:space="preserve">Early childhood development tax credit. </w:t>
      </w:r>
      <w:r>
        <w:rPr>
          <w:rFonts w:ascii="Times New Roman" w:hAnsi="Times New Roman"/>
          <w:b w:val="false"/>
          <w:i w:val="false"/>
          <w:color w:val="000000"/>
          <w:sz w:val="22"/>
        </w:rPr>
        <w:t xml:space="preserve">Taxpayers may claim a tax credit equal to 25 percent of the first $1,000 of expenses paid to others for early childhood development for each dependent three to five years of age. The credit is available only to taxpayers whose net income is less than $90,000. If a taxpayer claims the early childhood development tax credit, the taxpayer cannot claim the child and dependent care credit described in rule </w:t>
      </w:r>
      <w:hyperlink r:id="rId252">
        <w:r>
          <w:rPr>
            <w:rStyle w:val="Hyperlink"/>
            <w:rFonts w:ascii="Times New Roman" w:hAnsi="Times New Roman"/>
            <w:b w:val="false"/>
            <w:i w:val="false"/>
            <w:color w:val="000000"/>
            <w:sz w:val="22"/>
          </w:rPr>
          <w:t>701—304.15</w:t>
        </w:r>
      </w:hyperlink>
      <w:r>
        <w:rPr>
          <w:rFonts w:ascii="Times New Roman" w:hAnsi="Times New Roman"/>
          <w:b w:val="false"/>
          <w:i w:val="false"/>
          <w:color w:val="000000"/>
          <w:sz w:val="22"/>
        </w:rPr>
        <w:t xml:space="preserve">(422). The early childhood development tax credit is refundable to the extent that the credit exceeds the taxpayer’s income tax liability. </w:t>
      </w:r>
    </w:p>
    <w:p>
      <w:pPr>
        <w:spacing w:before="0" w:after="0"/>
        <w:ind w:left="120"/>
        <w:jc w:val="both"/>
      </w:pPr>
      <w:r>
        <w:rPr>
          <w:rFonts w:ascii="Times New Roman" w:hAnsi="Times New Roman"/>
          <w:b w:val="false"/>
          <w:i w:val="false"/>
          <w:color w:val="000000"/>
          <w:sz w:val="22"/>
        </w:rPr>
        <w:t>For married taxpayers who elect to file separately on a combined form or elect to file separate returns for Iowa tax purposes, the combined net income of the taxpayers must be less than $90,000 to be eligible for the credit. If the combined net income is less than $90,000, the early childhood development tax credit shall be prorated to each spouse in the proportion that each spouse’s respective net income bears to the total combined net income.</w:t>
      </w:r>
    </w:p>
    <w:p>
      <w:pPr>
        <w:spacing w:before="0" w:after="0"/>
        <w:ind w:left="120"/>
        <w:jc w:val="both"/>
      </w:pPr>
      <w:r>
        <w:rPr>
          <w:rFonts w:ascii="Times New Roman" w:hAnsi="Times New Roman"/>
          <w:b w:val="false"/>
          <w:i w:val="false"/>
          <w:color w:val="000000"/>
          <w:sz w:val="22"/>
        </w:rPr>
        <w:t>Nonresidents and part-year residents who have income from Iowa sources in the tax year may claim the early childhood development tax credit on their Iowa returns. If the taxpayer’s all-source net income is $90,000 or higher, the taxpayer will not qualify for the credit. Nonresidents or part-year residents of Iowa must determine the early childhood development tax credit in the ratio of their Iowa-source net income to their all-source net income. In addition, if nonresidents or part-year residents of Iowa are married and elect to file separate returns or to file separately on a combined Iowa return, the early childhood development tax credit must be allocated between the spouses in the ratio of each spouse’s Iowa-source net income to their combined Iowa-source net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304.31(1)</w:t>
      </w:r>
      <w:r>
        <w:rPr>
          <w:rFonts w:ascii="Times New Roman" w:hAnsi="Times New Roman"/>
          <w:b w:val="false"/>
          <w:i w:val="false"/>
          <w:color w:val="000000"/>
          <w:sz w:val="22"/>
        </w:rPr>
        <w:t> </w:t>
      </w:r>
      <w:r>
        <w:rPr>
          <w:rFonts w:ascii="Times New Roman" w:hAnsi="Times New Roman"/>
          <w:b w:val="false"/>
          <w:i/>
          <w:color w:val="000000"/>
          <w:sz w:val="22"/>
        </w:rPr>
        <w:t xml:space="preserve">Expenses eligible for the credit. </w:t>
      </w:r>
      <w:r>
        <w:rPr>
          <w:rFonts w:ascii="Times New Roman" w:hAnsi="Times New Roman"/>
          <w:b w:val="false"/>
          <w:i w:val="false"/>
          <w:color w:val="000000"/>
          <w:sz w:val="22"/>
        </w:rPr>
        <w:t>The following expenses qualify for the early childhood development tax credit, to the extent they are paid during the time period that a dependent is either three, four, or five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Expenses for services provided by a preschool, as defined in Iowa Code section </w:t>
      </w:r>
      <w:hyperlink r:id="rId253">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 The preschool may only provide services for periods of time not exceeding three hours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Books that improve child development, including textbooks, music books, art books, teacher editions, and reading books.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Expenses paid for instructional materials required to be used in a child development or educational lesson activity. These materials include, but are not limited to, paper, notebooks, pencils, and art supplies. In addition, software and toys which are directly and primarily used for educational or learning purposes are considered instructional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Expenses paid for lesson plans and curricula.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Expenses paid for child development and educational activities outside the home. These activities include, but are not limited to, drama, art, music, and museum activities, including the entrance fees for such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304.31(2)</w:t>
      </w:r>
      <w:r>
        <w:rPr>
          <w:rFonts w:ascii="Times New Roman" w:hAnsi="Times New Roman"/>
          <w:b w:val="false"/>
          <w:i w:val="false"/>
          <w:color w:val="000000"/>
          <w:sz w:val="22"/>
        </w:rPr>
        <w:t> </w:t>
      </w:r>
      <w:r>
        <w:rPr>
          <w:rFonts w:ascii="Times New Roman" w:hAnsi="Times New Roman"/>
          <w:b w:val="false"/>
          <w:i/>
          <w:color w:val="000000"/>
          <w:sz w:val="22"/>
        </w:rPr>
        <w:t xml:space="preserve">Expenses not eligible for the credit. </w:t>
      </w:r>
      <w:r>
        <w:rPr>
          <w:rFonts w:ascii="Times New Roman" w:hAnsi="Times New Roman"/>
          <w:b w:val="false"/>
          <w:i w:val="false"/>
          <w:color w:val="000000"/>
          <w:sz w:val="22"/>
        </w:rPr>
        <w:t>The following expenses do not qualify for the early childhood development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expenses, including expenses paid to a preschool, once a dependent reaches the age of six.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Expenses relating to food, lodging, membership fees, or other nonacademic expenses relating to child development and educational activities outside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Expenses related to services, materials, or activities for the teaching of religious tenets, doctrines, or worship, in cases where the purpose of the teaching is to inculcate the religious tenets, doctrines, or worship.</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4">
        <w:r>
          <w:rPr>
            <w:rStyle w:val="Hyperlink"/>
            <w:rFonts w:ascii="Times New Roman" w:hAnsi="Times New Roman"/>
            <w:b w:val="false"/>
            <w:i w:val="false"/>
            <w:color w:val="000000"/>
            <w:sz w:val="22"/>
          </w:rPr>
          <w:t>422.12C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6149C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701—304.32</w:t>
      </w:r>
      <w:r>
        <w:rPr>
          <w:rFonts w:ascii="Times New Roman" w:hAnsi="Times New Roman"/>
          <w:b/>
          <w:i w:val="false"/>
          <w:color w:val="000000"/>
          <w:sz w:val="22"/>
        </w:rPr>
        <w:t xml:space="preserve">(422) </w:t>
      </w:r>
      <w:r>
        <w:rPr>
          <w:rFonts w:ascii="Times New Roman" w:hAnsi="Times New Roman"/>
          <w:b/>
          <w:i w:val="false"/>
          <w:color w:val="000000"/>
          <w:sz w:val="22"/>
        </w:rPr>
        <w:t xml:space="preserve">School tuition organization tax credit. </w:t>
      </w:r>
      <w:r>
        <w:rPr>
          <w:rFonts w:ascii="Times New Roman" w:hAnsi="Times New Roman"/>
          <w:b w:val="false"/>
          <w:i w:val="false"/>
          <w:color w:val="000000"/>
          <w:sz w:val="22"/>
        </w:rPr>
        <w:t>For tax years beginning prior to January 1, 2021, a school tuition organization tax credit is available which is equal to 65 percent of the amount of voluntary cash or noncash contributions made by a taxpayer to a school tuition organization. For tax years beginning on or after January 1, 2021, the tax credit is equal to 75 percent of the amount of voluntary cash or noncash contributions made by a taxpayer to a school tuition organization. There are numerous federal revenue regulations, rulings, court cases and other provisions relating to the determination of the value of a noncash contribution, and these are equally applicable to the determination of the amount of a school tuition organization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enrollment” </w:t>
      </w:r>
      <w:r>
        <w:rPr>
          <w:rFonts w:ascii="Times New Roman" w:hAnsi="Times New Roman"/>
          <w:b w:val="false"/>
          <w:i w:val="false"/>
          <w:color w:val="000000"/>
          <w:sz w:val="22"/>
        </w:rPr>
        <w:t>means the enrollment at schools served by school tuition organizations as of October 1, or the first Monday in October if October 1 falls on a Saturday or Sunday, of the appropriate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“Contribution” </w:t>
      </w:r>
      <w:r>
        <w:rPr>
          <w:rFonts w:ascii="Times New Roman" w:hAnsi="Times New Roman"/>
          <w:b w:val="false"/>
          <w:i w:val="false"/>
          <w:color w:val="000000"/>
          <w:sz w:val="22"/>
        </w:rPr>
        <w:t>means a voluntary cash or noncash contribution to a school tuition organization that is not used for the direct benefit of any dependent of the taxpayer or any other student designated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student” </w:t>
      </w:r>
      <w:r>
        <w:rPr>
          <w:rFonts w:ascii="Times New Roman" w:hAnsi="Times New Roman"/>
          <w:b w:val="false"/>
          <w:i w:val="false"/>
          <w:color w:val="000000"/>
          <w:sz w:val="22"/>
        </w:rPr>
        <w:t>means a student residing in Iowa who is a member of a household whose total annual income during the calendar year prior to the school year in which the student receives a tuition grant from a school tuition organization does not exceed an amount equal to four times the most recently published federal poverty guidelines in the Federal Register by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school” </w:t>
      </w:r>
      <w:r>
        <w:rPr>
          <w:rFonts w:ascii="Times New Roman" w:hAnsi="Times New Roman"/>
          <w:b w:val="false"/>
          <w:i w:val="false"/>
          <w:color w:val="000000"/>
          <w:sz w:val="22"/>
        </w:rPr>
        <w:t xml:space="preserve">means a nonpublic elementary or secondary school in Iowa which is accredited under Iowa Code section </w:t>
      </w:r>
      <w:hyperlink r:id="rId255">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 including a prekindergarten program for students who are five years of age by September 15 of the appropriate year, and adheres to the provisions of the federal Civil Rights Act of 1964 and Iowa Code chapter </w:t>
      </w:r>
      <w:hyperlink r:id="rId256">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 and which is represented by only one school tuition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tuition organization” </w:t>
      </w:r>
      <w:r>
        <w:rPr>
          <w:rFonts w:ascii="Times New Roman" w:hAnsi="Times New Roman"/>
          <w:b w:val="false"/>
          <w:i w:val="false"/>
          <w:color w:val="000000"/>
          <w:sz w:val="22"/>
        </w:rPr>
        <w:t xml:space="preserve">means a charitable organization in Iowa that is exempt from federal taxation under </w:t>
      </w:r>
      <w:r>
        <w:rPr>
          <w:rFonts w:ascii="Times New Roman" w:hAnsi="Times New Roman"/>
          <w:b w:val="false"/>
          <w:i w:val="false"/>
          <w:color w:val="000000"/>
          <w:sz w:val="22"/>
        </w:rPr>
        <w:t>Section 501(c)(3) of the Internal Revenue Code</w:t>
      </w:r>
      <w:r>
        <w:rPr>
          <w:rFonts w:ascii="Times New Roman" w:hAnsi="Times New Roman"/>
          <w:b w:val="false"/>
          <w:i w:val="false"/>
          <w:color w:val="000000"/>
          <w:sz w:val="22"/>
        </w:rPr>
        <w:t xml:space="preserve"> and that does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Allocates at least 90 percent of its annual revenue in tuition grants for children to allow them to attend a qualified school of their parents’ choice.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Awards tuition grants only to children who reside in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Provides tuition grants to students without limiting availability to students of only one school.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Provides tuition grants only to eligible students.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Prepares an annual financial statement certified by a public accounting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“Tuition grant” </w:t>
      </w:r>
      <w:r>
        <w:rPr>
          <w:rFonts w:ascii="Times New Roman" w:hAnsi="Times New Roman"/>
          <w:b w:val="false"/>
          <w:i w:val="false"/>
          <w:color w:val="000000"/>
          <w:sz w:val="22"/>
        </w:rPr>
        <w:t>means a grant to a student to cover all or part of the student’s tuition at a qualified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304.32(2)</w:t>
      </w:r>
      <w:r>
        <w:rPr>
          <w:rFonts w:ascii="Times New Roman" w:hAnsi="Times New Roman"/>
          <w:b w:val="false"/>
          <w:i w:val="false"/>
          <w:color w:val="000000"/>
          <w:sz w:val="22"/>
        </w:rPr>
        <w:t> </w:t>
      </w:r>
      <w:r>
        <w:rPr>
          <w:rFonts w:ascii="Times New Roman" w:hAnsi="Times New Roman"/>
          <w:b w:val="false"/>
          <w:i/>
          <w:color w:val="000000"/>
          <w:sz w:val="22"/>
        </w:rPr>
        <w:t xml:space="preserve">Initial registration. </w:t>
      </w:r>
      <w:r>
        <w:rPr>
          <w:rFonts w:ascii="Times New Roman" w:hAnsi="Times New Roman"/>
          <w:b w:val="false"/>
          <w:i w:val="false"/>
          <w:color w:val="000000"/>
          <w:sz w:val="22"/>
        </w:rPr>
        <w:t>In order for contributions to a school tuition organization to qualify for the credit, the school tuition organization must initially register with the department. The following information must be provided with this initial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from the Internal Revenue Service that Section 501(c)(3) status was granted and that the school tuition organization is exempt from federal income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all qualified schools that the school tuition organization 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all the members of the board of directors of the school tuition organization.</w:t>
      </w:r>
    </w:p>
    <w:p>
      <w:pPr>
        <w:spacing w:before="0" w:after="0"/>
        <w:ind w:left="120"/>
        <w:jc w:val="both"/>
      </w:pPr>
      <w:r>
        <w:rPr>
          <w:rFonts w:ascii="Times New Roman" w:hAnsi="Times New Roman"/>
          <w:b w:val="false"/>
          <w:i w:val="false"/>
          <w:color w:val="000000"/>
          <w:sz w:val="22"/>
        </w:rPr>
        <w:t>Once the school tuition organization is registered with the department, it is not required to subsequently register unless there is a change in the qualified schools that the organization serves. The school tuition organization must notify the department in writing of any changes in the qualified schools it serves.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304.32(3)</w:t>
      </w:r>
      <w:r>
        <w:rPr>
          <w:rFonts w:ascii="Times New Roman" w:hAnsi="Times New Roman"/>
          <w:b w:val="false"/>
          <w:i w:val="false"/>
          <w:color w:val="000000"/>
          <w:sz w:val="22"/>
        </w:rPr>
        <w:t> </w:t>
      </w:r>
      <w:r>
        <w:rPr>
          <w:rFonts w:ascii="Times New Roman" w:hAnsi="Times New Roman"/>
          <w:b w:val="false"/>
          <w:i/>
          <w:color w:val="000000"/>
          <w:sz w:val="22"/>
        </w:rPr>
        <w:t xml:space="preserve">Participation forms. </w:t>
      </w:r>
      <w:r>
        <w:rPr>
          <w:rFonts w:ascii="Times New Roman" w:hAnsi="Times New Roman"/>
          <w:b w:val="false"/>
          <w:i w:val="false"/>
          <w:color w:val="000000"/>
          <w:sz w:val="22"/>
        </w:rPr>
        <w:t>Each qualified school that is served by a school tuition organization must annually submit a participation form to the department by November 1. The following information must be provided with this participation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certified enrollment of the qualified school as of October 1, or the first Monday in October if October 1 falls on a Saturday or Sunday.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school tuition organization that represents the qualified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304.32(4)</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issue tax credit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December 1 of each year, the department will authorize school tuition organizations to issue tax credit certificates for the following calendar year. The total amount of tax credit certificates that may be authorized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$2.5 million for the 2006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$5 million for the 2007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$7.5 million for the 2008 through 2011 calendar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$8.75 million for the 2012 and 2013 calendar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$12 million for the 2014 through 2018 calendar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$13 million for the 2019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$15 million for the 2020 and 2021 calendar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$20 million for the 2022 calendar year and subsequent calendar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authorized tax credit certificates for each school tuition organization is determined by dividing the total amount of tax credit available by the total certified enrollment of all qualified participating schools. This result, which is the per-student tax credit, is then multiplied by the certified enrollment of each school tuition organization to determine the tax credit authorized to each school tuition organization.</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For determining the authorized tax credits for the 2022 calendar year, if the certified enrollment of all qualified schools in Iowa, as provided to the department by November 1, 2021, was 40,000, the per-student tax credit would be $500 ($20 million ÷ 40,000). If a school tuition organization located in Scott County represents four qualified schools with a certified enrollment of 1,400 students, the school tuition organization would be authorized to issue $700,000 ($500 × 1,400) of tax credit certificates for the 2022 calendar year. The department would notify this school tuition organization by December 1, 2021, of the authorization to issue $700,000 of tax credit certificates for the 2022 calendar year. This authorization would allow the school tuition organization to solicit contributions totaling $933,333 ($700,000 ÷ 75%) during the 2022 calendar year which would be eligible for the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304.32(5)</w:t>
      </w:r>
      <w:r>
        <w:rPr>
          <w:rFonts w:ascii="Times New Roman" w:hAnsi="Times New Roman"/>
          <w:b w:val="false"/>
          <w:i w:val="false"/>
          <w:color w:val="000000"/>
          <w:sz w:val="22"/>
        </w:rPr>
        <w:t> </w:t>
      </w:r>
      <w:r>
        <w:rPr>
          <w:rFonts w:ascii="Times New Roman" w:hAnsi="Times New Roman"/>
          <w:b w:val="false"/>
          <w:i/>
          <w:color w:val="000000"/>
          <w:sz w:val="22"/>
        </w:rPr>
        <w:t xml:space="preserve">Issuance of tax credit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 tuition organization shall issue tax credit certificates to each taxpayer who made a cash or noncash contribution to the school tuition organization. The tax credit certificate, designed by the department, shall contain the name, address and tax identification number of the taxpayer; the amount and date that the contribution was made; the amount of the credit; the tax year that the credit may be applied; the school tuition organization to which the contribution was made; and the tax credit certificate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tax credit certificate may be issued to a partnership, limited liability company, S corporation, estate or trust. The amount of credit claimed by an individual shall be based on the pro rata share of the individual’s earnings of the partnership, limited liability company, S corporation,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304.32(6)</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The taxpayer must include the tax credit certificate with the tax return for which the credit is claimed. The tax credit shall be claimed in the tax year during which the contribution is made. Any credit in excess of the tax liability for the tax year may be credited to the tax liability for the following five years or until used, whichever is the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taxpayer shall not claim an itemized deduction for charitable contributions for Iowa income tax purposes for the amount of the contribution made to the school tuition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Married taxpayers who file separate returns or file separately on a combined return must allocate the school tuition organization tax credit to each spouse in the proportion that each spouse’s respective net income bears to the total combined net income. Nonresidents or part-year residents of Iowa, including those who are claiming a tax credit of a partnership, limited liability company, S corporation, estate, or trust of which they are a member, must determine the school tuition organization tax credit in the ratio of their Iowa source net income to their total source net income. In addition, if nonresidents or part-year residents of Iowa are married and elect to file separate returns or to file separately on a combined return, the school tuition organization tax credit must be allocated between the spouses in the ratio of each spouse’s Iowa source net income to the combined Iowa source net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304.32(7)</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Each school tuition organization that issues tax credit certificates must report to the department, postmarked by January 12 of each calendar year,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all the members of the board of directors of the school tuition organization, along with the name of the chairperson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number and dollar value of contributions received by the school tuition organization for the previous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total number and dollar value of tax credit certificates issued by the school tuition organization for the previous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list of each taxpayer who received a tax credit certificate for the previous calendar year, including the amount of the contribution and the amount of tax credit issued to each taxpayer for the previous calendar year. This list should also include the tax identification number of the taxpayer and the tax credit certificate number for each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total number of children utilizing tuition grants for the school year in progress as of January 12, along with the total dollar value of the tuition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qualified school represented by the school tuition organization at which tuition grants are being utilized for the school year in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number of tuition grant students and the total dollar value of tuition grants being utilized for the school year in progress at each qualified school served by the school tuition organization.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7">
        <w:r>
          <w:rPr>
            <w:rStyle w:val="Hyperlink"/>
            <w:rFonts w:ascii="Times New Roman" w:hAnsi="Times New Roman"/>
            <w:b w:val="false"/>
            <w:i w:val="false"/>
            <w:color w:val="000000"/>
            <w:sz w:val="22"/>
          </w:rPr>
          <w:t>422.11S</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5978C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701—304.33</w:t>
      </w:r>
      <w:r>
        <w:rPr>
          <w:rFonts w:ascii="Times New Roman" w:hAnsi="Times New Roman"/>
          <w:b/>
          <w:i w:val="false"/>
          <w:color w:val="000000"/>
          <w:sz w:val="22"/>
        </w:rPr>
        <w:t xml:space="preserve">(422) </w:t>
      </w:r>
      <w:r>
        <w:rPr>
          <w:rFonts w:ascii="Times New Roman" w:hAnsi="Times New Roman"/>
          <w:b/>
          <w:i w:val="false"/>
          <w:color w:val="000000"/>
          <w:sz w:val="22"/>
        </w:rPr>
        <w:t xml:space="preserve">E-85 gasoline promotion tax credit. </w:t>
      </w:r>
      <w:r>
        <w:rPr>
          <w:rFonts w:ascii="Times New Roman" w:hAnsi="Times New Roman"/>
          <w:b w:val="false"/>
          <w:i w:val="false"/>
          <w:color w:val="000000"/>
          <w:sz w:val="22"/>
        </w:rPr>
        <w:t xml:space="preserve">Effective for tax years beginning on or after January 1, 2006, a retail dealer of gasoline may claim an E-85 gasoline promotion tax credit. “E-85 gasoline” means ethanol blended gasoline formulated with a minimum percentage of between 70 percent and 85 percent of volume of ethanol, if the formulation meets the standards provided in Iowa Code section </w:t>
      </w:r>
      <w:hyperlink r:id="rId258">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For purposes of this rule, tank wagon sales are considered retail sales. The credit is calculated on Form IA 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304.33(1)</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Amount of the credit. </w:t>
      </w:r>
      <w:r>
        <w:rPr>
          <w:rFonts w:ascii="Times New Roman" w:hAnsi="Times New Roman"/>
          <w:b w:val="false"/>
          <w:i w:val="false"/>
          <w:color w:val="000000"/>
          <w:sz w:val="22"/>
        </w:rPr>
        <w:t>The credit is calculated by multiplying the total number of E-85 gallons sold by the retail dealer during the tax year by the following designated rates:</w:t>
      </w:r>
    </w:p>
    <w:tbl>
      <w:tblPr>
        <w:tblW w:w="5000" w:type="pct"/>
        <w:tblCellSpacing w:w="0" w:type="auto"/>
        <w:tblBorders>
          <w:top w:val="none"/>
          <w:left w:val="none"/>
          <w:bottom w:val="none"/>
          <w:right w:val="none"/>
          <w:insideH w:val="none"/>
          <w:insideV w:val="none"/>
        </w:tblBorders>
        <w:tblLayout w:type="fixed"/>
      </w:tblPr>
      <w:tblGrid>
        <w:gridCol w:w="7035"/>
        <w:gridCol w:w="4155"/>
      </w:tblGrid>
      <w:tr>
        <w:trPr>
          <w:trHeight w:val="21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years 2006, 2007, and 2008</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 cents</w:t>
            </w:r>
          </w:p>
        </w:tc>
      </w:tr>
      <w:tr>
        <w:trPr>
          <w:trHeight w:val="21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years 2009 and 2010</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 cents</w:t>
            </w:r>
          </w:p>
        </w:tc>
      </w:tr>
      <w:tr>
        <w:trPr>
          <w:trHeight w:val="21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 2011</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cents</w:t>
            </w:r>
          </w:p>
        </w:tc>
      </w:tr>
      <w:tr>
        <w:trPr>
          <w:trHeight w:val="21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years 2012 through 2024</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 cents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with other credits. </w:t>
      </w:r>
      <w:r>
        <w:rPr>
          <w:rFonts w:ascii="Times New Roman" w:hAnsi="Times New Roman"/>
          <w:b w:val="false"/>
          <w:i w:val="false"/>
          <w:color w:val="000000"/>
          <w:sz w:val="22"/>
        </w:rPr>
        <w:t xml:space="preserve">A taxpayer may claim the E-85 gasoline promotion tax credit even if the taxpayer also claims the ethanol blended gasoline tax credit provided in rule </w:t>
      </w:r>
      <w:hyperlink r:id="rId259">
        <w:r>
          <w:rPr>
            <w:rStyle w:val="Hyperlink"/>
            <w:rFonts w:ascii="Times New Roman" w:hAnsi="Times New Roman"/>
            <w:b w:val="false"/>
            <w:i w:val="false"/>
            <w:color w:val="000000"/>
            <w:sz w:val="22"/>
          </w:rPr>
          <w:t>701—304.20</w:t>
        </w:r>
      </w:hyperlink>
      <w:r>
        <w:rPr>
          <w:rFonts w:ascii="Times New Roman" w:hAnsi="Times New Roman"/>
          <w:b w:val="false"/>
          <w:i w:val="false"/>
          <w:color w:val="000000"/>
          <w:sz w:val="22"/>
        </w:rPr>
        <w:t xml:space="preserve">(422) for gallons sold prior to January 1, 2009, or the ethanol promotion tax credit provided in rule </w:t>
      </w:r>
      <w:hyperlink r:id="rId260">
        <w:r>
          <w:rPr>
            <w:rStyle w:val="Hyperlink"/>
            <w:rFonts w:ascii="Times New Roman" w:hAnsi="Times New Roman"/>
            <w:b w:val="false"/>
            <w:i w:val="false"/>
            <w:color w:val="000000"/>
            <w:sz w:val="22"/>
          </w:rPr>
          <w:t>701—304.39</w:t>
        </w:r>
      </w:hyperlink>
      <w:r>
        <w:rPr>
          <w:rFonts w:ascii="Times New Roman" w:hAnsi="Times New Roman"/>
          <w:b w:val="false"/>
          <w:i w:val="false"/>
          <w:color w:val="000000"/>
          <w:sz w:val="22"/>
        </w:rPr>
        <w:t>(422) for gallons sold on or after January 1, 2009, but prior to January 1, 2021, for the same tax year for the same ethanol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The credit may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Example. </w:t>
      </w:r>
      <w:r>
        <w:rPr>
          <w:rFonts w:ascii="Times New Roman" w:hAnsi="Times New Roman"/>
          <w:b w:val="false"/>
          <w:i w:val="false"/>
          <w:color w:val="000000"/>
          <w:sz w:val="22"/>
        </w:rPr>
        <w:t>A taxpayer operated one retail motor fuel site in 2008 and sold 200,000 gallons of gasoline, of which 160,000 gallons was ethanol blended gasoline. Of these 160,000 gallons, 1,000 gallons was E-85 gasoline. Taxpayer may claim the E-85 gasoline promotion tax credit on the 1,000 gallons of E-85 gasoline sold during 2008. Taxpayer is also entitled to claim the ethanol blended gasoline tax credit of two and one-half cents multiplied by 40,000 gallons, since this constitutes the gallons in excess of 60 percent of the total gasoline gallons sold for the 2008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304.33(2)</w:t>
      </w:r>
      <w:r>
        <w:rPr>
          <w:rFonts w:ascii="Times New Roman" w:hAnsi="Times New Roman"/>
          <w:b w:val="false"/>
          <w:i w:val="false"/>
          <w:color w:val="000000"/>
          <w:sz w:val="22"/>
        </w:rPr>
        <w:t> </w:t>
      </w:r>
      <w:r>
        <w:rPr>
          <w:rFonts w:ascii="Times New Roman" w:hAnsi="Times New Roman"/>
          <w:b w:val="false"/>
          <w:i/>
          <w:color w:val="000000"/>
          <w:sz w:val="22"/>
        </w:rPr>
        <w:t xml:space="preserve">Fiscal year filers. </w:t>
      </w:r>
      <w:r>
        <w:rPr>
          <w:rFonts w:ascii="Times New Roman" w:hAnsi="Times New Roman"/>
          <w:b w:val="false"/>
          <w:i w:val="false"/>
          <w:color w:val="000000"/>
          <w:sz w:val="22"/>
        </w:rPr>
        <w:t>For taxpayers whose tax year is not on a calendar-year basis, the taxpayer may compute the tax credit on the gallons of E-85 gasoline sold during the year using the designated rates as shown above. Because the tax credit is repealed on January 1, 2025, a taxpayer whose tax year ends prior to December 31, 2024, may continue to claim the tax credit in the following tax year for any E-85 gallons sold through December 31, 2024. For a retail dealer whose tax year is not on a calendar-year basis and who did not claim the E-85 credit on the previous return, the dealer may claim the credit for the current tax year for the period beginning on January 1 of the previous tax year until the last day of the previous tax year.</w:t>
      </w:r>
    </w:p>
    <w:p>
      <w:pPr>
        <w:spacing w:before="0" w:after="0"/>
        <w:ind w:left="120"/>
        <w:jc w:val="both"/>
      </w:pPr>
      <w:r>
        <w:rPr>
          <w:rFonts w:ascii="Times New Roman" w:hAnsi="Times New Roman"/>
          <w:b w:val="false"/>
          <w:i w:val="false"/>
          <w:color w:val="000000"/>
          <w:sz w:val="22"/>
        </w:rPr>
        <w:t xml:space="preserve">See </w:t>
      </w:r>
      <w:hyperlink r:id="rId261">
        <w:r>
          <w:rPr>
            <w:rStyle w:val="Hyperlink"/>
            <w:rFonts w:ascii="Times New Roman" w:hAnsi="Times New Roman"/>
            <w:b w:val="false"/>
            <w:i w:val="false"/>
            <w:color w:val="000000"/>
            <w:sz w:val="22"/>
          </w:rPr>
          <w:t>701—subrule 501.30(2)</w:t>
        </w:r>
      </w:hyperlink>
      <w:r>
        <w:rPr>
          <w:rFonts w:ascii="Times New Roman" w:hAnsi="Times New Roman"/>
          <w:b w:val="false"/>
          <w:i w:val="false"/>
          <w:color w:val="000000"/>
          <w:sz w:val="22"/>
        </w:rPr>
        <w:t xml:space="preserve"> for examples illustrating how this subrule is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304.33(3)</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or to beneficiaries of an estate or trust. </w:t>
      </w:r>
      <w:r>
        <w:rPr>
          <w:rFonts w:ascii="Times New Roman" w:hAnsi="Times New Roman"/>
          <w:b w:val="false"/>
          <w:i w:val="false"/>
          <w:color w:val="000000"/>
          <w:sz w:val="22"/>
        </w:rPr>
        <w:t>If a taxpayer claiming the E-85 ethanol promotion tax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2">
        <w:r>
          <w:rPr>
            <w:rStyle w:val="Hyperlink"/>
            <w:rFonts w:ascii="Times New Roman" w:hAnsi="Times New Roman"/>
            <w:b w:val="false"/>
            <w:i w:val="false"/>
            <w:color w:val="000000"/>
            <w:sz w:val="22"/>
          </w:rPr>
          <w:t>422.11O</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Senate File 2309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3043C</w:t>
      </w:r>
      <w:r>
        <w:rPr>
          <w:rFonts w:ascii="Times New Roman" w:hAnsi="Times New Roman"/>
          <w:b w:val="false"/>
          <w:i w:val="false"/>
          <w:color w:val="000000"/>
          <w:sz w:val="16"/>
        </w:rPr>
        <w:t>, IAB 4/26/17, effective 5/31/17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701—304.34</w:t>
      </w:r>
      <w:r>
        <w:rPr>
          <w:rFonts w:ascii="Times New Roman" w:hAnsi="Times New Roman"/>
          <w:b/>
          <w:i w:val="false"/>
          <w:color w:val="000000"/>
          <w:sz w:val="22"/>
        </w:rPr>
        <w:t xml:space="preserve">(422) </w:t>
      </w:r>
      <w:r>
        <w:rPr>
          <w:rFonts w:ascii="Times New Roman" w:hAnsi="Times New Roman"/>
          <w:b/>
          <w:i w:val="false"/>
          <w:color w:val="000000"/>
          <w:sz w:val="22"/>
        </w:rPr>
        <w:t xml:space="preserve">Biodiesel blended fuel tax credit. </w:t>
      </w:r>
      <w:r>
        <w:rPr>
          <w:rFonts w:ascii="Times New Roman" w:hAnsi="Times New Roman"/>
          <w:b w:val="false"/>
          <w:i w:val="false"/>
          <w:color w:val="000000"/>
          <w:sz w:val="22"/>
        </w:rPr>
        <w:t xml:space="preserve">Effective for tax years beginning on or after January 1, 2006, a retail dealer of biodiesel blended fuel may claim a biodiesel blended fuel tax credit. “Biodiesel blended fuel” means a blend of biodiesel with petroleum-based diesel fuel that meets the standards provided in Iowa Code section </w:t>
      </w:r>
      <w:hyperlink r:id="rId263">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In determining the minimum percentage by volume of biodiesel, the department will take into account reasonable variances due to testing and other limitations. For purposes of this rule, tank wagon sales are considered retail sales. The credit is calculated on Form IA 8864.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304.34(1)</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Gallonage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Tax years beginning on or after January 1, 2006, but prior to January 1, 2009. In order for a retail dealer to qualify for the biodiesel blended fuel tax credit for tax years beginning on or after January 1, 2006, but prior to January 1, 2009, of the total gallons of diesel fuel that the retail dealer sells and dispenses during the tax year, 50 percent or more of those gallons must be biodiesel blended fuel formulated with a minimum percentage of 2 percent by volume of biodiesel. The gallonage amounts for all motor fuel sites of a retail dealer are combined when calculating this gallonage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Tax years beginning on or after January 1, 2009, but prior to January 1, 2012. For tax years beginning on or after January 1, 2009, but prior to January 1, 2012, the biodiesel blended fuel tax credit is calculated separately for each retail motor fuel site for which 50 percent or more of the total gallons of diesel fuel sold at the motor fuel site was biodiesel blended fuel formulated with a minimum percentage of 2 percent by volume of biodiesel.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Tax years beginning on or after January 1, 2012. For tax years beginning on or after January 1, 2012, the requirement that 50 percent of all diesel fuel gallons sold be biodiesel gallons to be eligible for the tax credit is eliminated. A retail dealer may qualify for the biodiesel blended fuel tax credit even if the number of gallons of biodiesel blended fuel sold is less than 50 percent of the total gallons of diesel fuel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Amount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Fuel sold on or after January 1, 2006, but prior to January 1, 2012. For biodiesel blended fuel sold on or after January 1, 2006, but prior to January 1, 2012, the tax credit equals three cents multiplied by the qualifying number of biodiesel blended fuel gallons sold by the taxpayer during the tax year. Qualifying biodiesel blended fuel must be formulated with a minimum percentage of 2 percent by volume of biodiesel.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Fuel sold on or after January 1, 2012, but prior to January 1, 2013. For biodiesel blended fuel sold on or after January 1, 2012, but prior to January 1, 2013, the tax credit equals the sum of two cents multiplied by the qualifying number of biodiesel blended fuel gallons sold by the taxpayer during the tax year that have a minimum percentage of 2 percent by volume of biodiesel but less than 5 percent by volume of biodiesel plus four and one-half cents multiplied by the qualifying number of biodiesel blended fuel gallons sold by the taxpayer during the tax year that have a minimum percentage of 5 percent by volume of biodiesel. In addition, the gallonage requirements described in paragraph </w:t>
      </w:r>
      <w:hyperlink r:id="rId264">
        <w:r>
          <w:rPr>
            <w:rStyle w:val="Hyperlink"/>
            <w:rFonts w:ascii="Times New Roman" w:hAnsi="Times New Roman"/>
            <w:b w:val="false"/>
            <w:i w:val="false"/>
            <w:color w:val="000000"/>
            <w:sz w:val="22"/>
          </w:rPr>
          <w:t>304.34(1)</w:t>
        </w:r>
      </w:hyperlink>
      <w:r>
        <w:rPr>
          <w:rFonts w:ascii="Times New Roman" w:hAnsi="Times New Roman"/>
          <w:b w:val="false"/>
          <w:i/>
          <w:color w:val="000000"/>
          <w:sz w:val="22"/>
        </w:rPr>
        <w:t>“a”</w:t>
      </w:r>
      <w:r>
        <w:rPr>
          <w:rFonts w:ascii="Times New Roman" w:hAnsi="Times New Roman"/>
          <w:b w:val="false"/>
          <w:i w:val="false"/>
          <w:color w:val="000000"/>
          <w:sz w:val="22"/>
        </w:rPr>
        <w:t xml:space="preserve"> do not apply to fuel sold on or after January 1, 2012.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Fuel sold on or after January 1, 2013, but prior to January 1, 2018. For biodiesel blended fuel sold on or after January 1, 2013, but prior to January 1, 2018, the tax credit equals four and one-half cents multiplied by the qualifying number of biodiesel blended fuel gallons sold by the taxpayer during the tax year that have a minimum percentage of 5 percent by volume of biodiesel. Diesel fuel sold that contains less than 5 percent by volume of biodiesel does not qualify for the biodiesel blended fuel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Fuel sold on or after January 1, 2018, but prior to January 1, 2025.</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Amount of credit. For biodiesel blended fuel sold on or after January 1, 2018, but prior to January 1, 2025, the tax credit equals the sum of three and one-half cents multiplied by the qualifying number of biodiesel blended fuel gallons sold by the taxpayer during the tax year that have a minimum percentage of 5 percent by volume of biodiesel but less than 11 percent by volume of biodiesel plus five and one-half cents multiplied by the qualifying number of biodiesel blended fuel gallons sold by the taxpayer during the tax year that have a minimum percentage of 11 percent by volume of biodiesel. Diesel fuel sold that contains less than 5 percent by volume of biodiesel does not qualify for the biodiesel blended fuel tax credit.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Blending errors. Where a blending error occurs and an insufficient amount of biodiesel has inadvertently been blended with petroleum-based diesel fuel so that the mixture fails to contain 11 percent by volume of biodiesel, a 1 percent tolerance applies in determining the credit amount for the blended product as described in </w:t>
      </w:r>
      <w:hyperlink r:id="rId265">
        <w:r>
          <w:rPr>
            <w:rStyle w:val="Hyperlink"/>
            <w:rFonts w:ascii="Times New Roman" w:hAnsi="Times New Roman"/>
            <w:b w:val="false"/>
            <w:i w:val="false"/>
            <w:color w:val="000000"/>
            <w:sz w:val="22"/>
          </w:rPr>
          <w:t>304.34(1)</w:t>
        </w:r>
      </w:hyperlink>
      <w:r>
        <w:rPr>
          <w:rFonts w:ascii="Times New Roman" w:hAnsi="Times New Roman"/>
          <w:b w:val="false"/>
          <w:i/>
          <w:color w:val="000000"/>
          <w:sz w:val="22"/>
        </w:rPr>
        <w:t>“b”</w:t>
      </w:r>
      <w:r>
        <w:rPr>
          <w:rFonts w:ascii="Times New Roman" w:hAnsi="Times New Roman"/>
          <w:b w:val="false"/>
          <w:i w:val="false"/>
          <w:color w:val="000000"/>
          <w:sz w:val="22"/>
        </w:rPr>
        <w:t>(4)“2”:</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 If the amount of the biodiesel erroneously blended with petroleum-based diesel is at least 10 percent of the total blended product by volume, the entire blended product qualifies for the credit amount available for biodiesel blended fuel that has a minimum percentage of 11 percent by volume of biodiesel.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 If the amount of biodiesel blended with petroleum-based diesel is at least 5 percent but less than 10 percent of the total blended product by volume, the entire blended product qualifies for the credit amount available for biodiesel blended fuel that has a minimum percentage of 5 percent by volume of biodiesel but less than 11 percent by volume of biodiesel.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 Numbered paragraph </w:t>
      </w:r>
      <w:hyperlink r:id="rId266">
        <w:r>
          <w:rPr>
            <w:rStyle w:val="Hyperlink"/>
            <w:rFonts w:ascii="Times New Roman" w:hAnsi="Times New Roman"/>
            <w:b w:val="false"/>
            <w:i w:val="false"/>
            <w:color w:val="000000"/>
            <w:sz w:val="22"/>
          </w:rPr>
          <w:t>304.34(1)</w:t>
        </w:r>
      </w:hyperlink>
      <w:r>
        <w:rPr>
          <w:rFonts w:ascii="Times New Roman" w:hAnsi="Times New Roman"/>
          <w:b w:val="false"/>
          <w:i/>
          <w:color w:val="000000"/>
          <w:sz w:val="22"/>
        </w:rPr>
        <w:t>“b”</w:t>
      </w:r>
      <w:r>
        <w:rPr>
          <w:rFonts w:ascii="Times New Roman" w:hAnsi="Times New Roman"/>
          <w:b w:val="false"/>
          <w:i w:val="false"/>
          <w:color w:val="000000"/>
          <w:sz w:val="22"/>
        </w:rPr>
        <w:t>(4)“2” applies only if a retail dealer intends to sell and dispense biodiesel blended fuel that has a minimum percentage of 11 percent by volume of biodiesel. If a retail dealer does not intend to sell and dispense biodiesel blended fuel that has a minimum percentage of 11 percent by volume of biodiesel and the product sold and dispensed contains less than 11 percent biodiesel by volume, no error has occurred and the product does not qualify for the credit amount available for biodiesel blended fuel that has a minimum percentage of 11 percent by volume of biodiesel.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The credit may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operated four retail motor fuel sites during 2008 and sold a combined total at all four sites of 100,000 gallons of diesel fuel, of which 55,000 gallons was biodiesel blended fuel containing a minimum percentage of 2 percent by volume of biodiesel. Because 50 percent or more of the diesel fuel sold was biodiesel blended fuel, the taxpayer may claim the biodiesel blended fuel tax credit totaling $1,650, which is 55,000 gallons multiplied by three cents.</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operated two retail motor fuel sites during 2008, and each site sold 40,000 gallons of diesel fuel. One site sold 25,000 gallons of biodiesel blended fuel containing a minimum percentage of 2 percent by volume of biodiesel, and the other site sold 10,000 gallons of biodiesel blended fuel containing a minimum percentage of 2 percent by volume of biodiesel. The taxpayer would not be eligible for the biodiesel blended fuel tax credit because only 35,000 gallons of the total 80,000 gallons, or 43.75 percent of the total diesel fuel gallons sold, was biodiesel blended fuel. The 50 percent requirement is based on the aggregate number of diesel fuel gallons sold by the taxpayer, and the fact that one retail motor fuel site met the 50 percent requirement does not allow the taxpayer to claim the biodiesel blended fuel tax credit for the 2008 tax year.</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Same facts as in example 2, except the fuel sales occurred in 2009. The taxpayer can claim a biodiesel blended fuel tax credit totaling $750, which is 25,000 gallons multiplied by three cents, since one of the retail motor fuel sites met the 50 percent biodiesel blended fuel requirement.</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Same facts as in example 2, except the fuel sales occurred in 2016, and all biodiesel blended fuel sold contains a minimum percentage of 5 percent by volume of biodiesel. The taxpayer can claim a biodiesel blended fuel tax credit totaling $1,575, which is 35,000 gallons multiplied by four and one-half cents, since the 50 percent biodiesel blended fuel requirement has been eliminated.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304.34(2)</w:t>
      </w:r>
      <w:r>
        <w:rPr>
          <w:rFonts w:ascii="Times New Roman" w:hAnsi="Times New Roman"/>
          <w:b w:val="false"/>
          <w:i w:val="false"/>
          <w:color w:val="000000"/>
          <w:sz w:val="22"/>
        </w:rPr>
        <w:t> </w:t>
      </w:r>
      <w:r>
        <w:rPr>
          <w:rFonts w:ascii="Times New Roman" w:hAnsi="Times New Roman"/>
          <w:b w:val="false"/>
          <w:i/>
          <w:color w:val="000000"/>
          <w:sz w:val="22"/>
        </w:rPr>
        <w:t xml:space="preserve">Fiscal year filers. </w:t>
      </w:r>
      <w:r>
        <w:rPr>
          <w:rFonts w:ascii="Times New Roman" w:hAnsi="Times New Roman"/>
          <w:b w:val="false"/>
          <w:i w:val="false"/>
          <w:color w:val="000000"/>
          <w:sz w:val="22"/>
        </w:rPr>
        <w:t>Taxpayers whose tax year is not on a calendar-year basis and whose tax year ends before December 31, 2006, may compute the tax credit on the gallons of biodiesel blended fuel sold during the period from January 1, 2006, through the end of the tax year, provided that 50 percent of all diesel fuel sold during that period was biodiesel blended fuel. Because the tax credit is repealed on January 1, 2025, a taxpayer whose tax year ends prior to December 31, 2024, may continue to claim the tax credit in the following tax year for any biodiesel blended fuel sold through December 31, 2024.</w:t>
      </w:r>
    </w:p>
    <w:p>
      <w:pPr>
        <w:spacing w:before="0" w:after="0"/>
        <w:ind w:left="120"/>
        <w:jc w:val="both"/>
      </w:pPr>
      <w:r>
        <w:rPr>
          <w:rFonts w:ascii="Times New Roman" w:hAnsi="Times New Roman"/>
          <w:b w:val="false"/>
          <w:i w:val="false"/>
          <w:color w:val="000000"/>
          <w:sz w:val="22"/>
        </w:rPr>
        <w:t xml:space="preserve">See </w:t>
      </w:r>
      <w:hyperlink r:id="rId267">
        <w:r>
          <w:rPr>
            <w:rStyle w:val="Hyperlink"/>
            <w:rFonts w:ascii="Times New Roman" w:hAnsi="Times New Roman"/>
            <w:b w:val="false"/>
            <w:i w:val="false"/>
            <w:color w:val="000000"/>
            <w:sz w:val="22"/>
          </w:rPr>
          <w:t>701—subrule 501.31(2)</w:t>
        </w:r>
      </w:hyperlink>
      <w:r>
        <w:rPr>
          <w:rFonts w:ascii="Times New Roman" w:hAnsi="Times New Roman"/>
          <w:b w:val="false"/>
          <w:i w:val="false"/>
          <w:color w:val="000000"/>
          <w:sz w:val="22"/>
        </w:rPr>
        <w:t xml:space="preserve"> for examples illustrating how this subrule is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304.34(3)</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or to beneficiaries of an estate or trust. </w:t>
      </w:r>
      <w:r>
        <w:rPr>
          <w:rFonts w:ascii="Times New Roman" w:hAnsi="Times New Roman"/>
          <w:b w:val="false"/>
          <w:i w:val="false"/>
          <w:color w:val="000000"/>
          <w:sz w:val="22"/>
        </w:rPr>
        <w:t>If a taxpayer claiming the biodiesel blended fuel tax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8">
        <w:r>
          <w:rPr>
            <w:rStyle w:val="Hyperlink"/>
            <w:rFonts w:ascii="Times New Roman" w:hAnsi="Times New Roman"/>
            <w:b w:val="false"/>
            <w:i w:val="false"/>
            <w:color w:val="000000"/>
            <w:sz w:val="22"/>
          </w:rPr>
          <w:t>422.11P</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Senate File 2309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3043C</w:t>
      </w:r>
      <w:r>
        <w:rPr>
          <w:rFonts w:ascii="Times New Roman" w:hAnsi="Times New Roman"/>
          <w:b w:val="false"/>
          <w:i w:val="false"/>
          <w:color w:val="000000"/>
          <w:sz w:val="16"/>
        </w:rPr>
        <w:t>, IAB 4/26/17, effective 5/31/17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701—304.35</w:t>
      </w:r>
      <w:r>
        <w:rPr>
          <w:rFonts w:ascii="Times New Roman" w:hAnsi="Times New Roman"/>
          <w:b/>
          <w:i w:val="false"/>
          <w:color w:val="000000"/>
          <w:sz w:val="22"/>
        </w:rPr>
        <w:t xml:space="preserve">(422) </w:t>
      </w:r>
      <w:r>
        <w:rPr>
          <w:rFonts w:ascii="Times New Roman" w:hAnsi="Times New Roman"/>
          <w:b/>
          <w:i w:val="false"/>
          <w:color w:val="000000"/>
          <w:sz w:val="22"/>
        </w:rPr>
        <w:t xml:space="preserve">Soy-based transformer fluid tax credit. </w:t>
      </w:r>
      <w:r>
        <w:rPr>
          <w:rFonts w:ascii="Times New Roman" w:hAnsi="Times New Roman"/>
          <w:b w:val="false"/>
          <w:i w:val="false"/>
          <w:color w:val="000000"/>
          <w:sz w:val="22"/>
        </w:rPr>
        <w:t>Effective for tax periods ending after June 30, 2006, and beginning before January 1, 2009, an electric utility may claim a soy-based transformer fluid tax credit. An electric utility, which is a public utility, city utility, or electric cooperative which furnishes electricity, may claim a credit equal to the costs incurred during the tax year for the purchase and replacement costs relating to the transition from using nonsoy-based transformer fluid to using soy-based transformer fluid.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304.35(1)</w:t>
      </w:r>
      <w:r>
        <w:rPr>
          <w:rFonts w:ascii="Times New Roman" w:hAnsi="Times New Roman"/>
          <w:b w:val="false"/>
          <w:i w:val="false"/>
          <w:color w:val="000000"/>
          <w:sz w:val="22"/>
        </w:rPr>
        <w:t> </w:t>
      </w:r>
      <w:r>
        <w:rPr>
          <w:rFonts w:ascii="Times New Roman" w:hAnsi="Times New Roman"/>
          <w:b w:val="false"/>
          <w:i/>
          <w:color w:val="000000"/>
          <w:sz w:val="22"/>
        </w:rPr>
        <w:t xml:space="preserve">Eligibility requirements for the tax credit. </w:t>
      </w:r>
      <w:r>
        <w:rPr>
          <w:rFonts w:ascii="Times New Roman" w:hAnsi="Times New Roman"/>
          <w:b w:val="false"/>
          <w:i w:val="false"/>
          <w:color w:val="000000"/>
          <w:sz w:val="22"/>
        </w:rPr>
        <w:t>All of the following conditions must be met for the electric utility to qualify for the soy-based transformer fluid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costs must be incurred after June 30, 2006, and before January 1,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costs must be incurred in the first 18 months of the transition from using nonsoy-based transformer fluid to using soy-based transformer fluid.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soy-based transformer fluid must be dielectric fluid that contains at least 98 percent soy-based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costs of the purchase and replacement must not exceed $2 per gallon of soy-based transformer fluid used in the transition.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gallons used in the transition must not exceed 20,000 gallons per electric utility, and the total number of gallons eligible for the credit must not exceed 60,000 gallons in the aggregate.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electric utility shall not deduct for Iowa income tax purposes the costs incurred in the transition to using soy-based transformer fluid which are deductible for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304.35(2)</w:t>
      </w:r>
      <w:r>
        <w:rPr>
          <w:rFonts w:ascii="Times New Roman" w:hAnsi="Times New Roman"/>
          <w:b w:val="false"/>
          <w:i w:val="false"/>
          <w:color w:val="000000"/>
          <w:sz w:val="22"/>
        </w:rPr>
        <w:t> </w:t>
      </w:r>
      <w:r>
        <w:rPr>
          <w:rFonts w:ascii="Times New Roman" w:hAnsi="Times New Roman"/>
          <w:b w:val="false"/>
          <w:i/>
          <w:color w:val="000000"/>
          <w:sz w:val="22"/>
        </w:rPr>
        <w:t xml:space="preserve">Applying for the tax credit. </w:t>
      </w:r>
      <w:r>
        <w:rPr>
          <w:rFonts w:ascii="Times New Roman" w:hAnsi="Times New Roman"/>
          <w:b w:val="false"/>
          <w:i w:val="false"/>
          <w:color w:val="000000"/>
          <w:sz w:val="22"/>
        </w:rPr>
        <w:t>An electric utility must apply to the department for the soy-based transformer fluid tax credit. The application for the tax credit must be filed no later than 30 days after the close of the tax year for which the credit is claimed. The application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signed purchase agreement or other agreement to purchase soy-based transformer fluid.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gallons of soy-based transformer fluid purchased during the tax year, along with the cost per gallon of each purchase made during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address, and tax identification number of the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type of tax for which the credit will be claimed, and the first year in which the credit will be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application is filed by a partnership, limited liability company, S corporation, or estate or trust requesting a credit for individual or corporation income tax, a list of the partners, members, shareholders or beneficiaries of the entity. This list shall include the name, address, tax identification number and pro rata share of earnings from the entity for each of the partners, members, shareholders or beneficiaries.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304.35(3)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 xml:space="preserve">After the application is reviewed, the department will issue a tax credit certificate to the electric utility. The tax credit certificate will include the taxpayer’s name, address and federal identification number, the tax type for which the credit will be claimed, the amount of the credit and the tax year for which the credit may be claimed. Once the tax credit certificate is issued, the credit may be claimed only against the type of tax reflected on the certificate. If the department refuses to issue the tax credit certificate, the taxpayer shall be notified in writing; and the taxpayer will have 60 days from the date of denial to file a protest in accordance with rule </w:t>
      </w:r>
      <w:hyperlink r:id="rId269">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If the taxpayer is a partnership, limited liability company, S corporation, or estate or trust requesting a credit for individual or corporation income tax, the tax credit certificate will be issued to the partners, members, shareholders or beneficiaries based on the partner’s, member’s, shareholder’s or beneficiary’s pro rata share of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0">
        <w:r>
          <w:rPr>
            <w:rStyle w:val="Hyperlink"/>
            <w:rFonts w:ascii="Times New Roman" w:hAnsi="Times New Roman"/>
            <w:b w:val="false"/>
            <w:i w:val="false"/>
            <w:color w:val="000000"/>
            <w:sz w:val="22"/>
          </w:rPr>
          <w:t>422.11R</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701—304.36</w:t>
      </w:r>
      <w:r>
        <w:rPr>
          <w:rFonts w:ascii="Times New Roman" w:hAnsi="Times New Roman"/>
          <w:b/>
          <w:i w:val="false"/>
          <w:color w:val="000000"/>
          <w:sz w:val="22"/>
        </w:rPr>
        <w:t xml:space="preserve">(16,422) </w:t>
      </w:r>
      <w:r>
        <w:rPr>
          <w:rFonts w:ascii="Times New Roman" w:hAnsi="Times New Roman"/>
          <w:b/>
          <w:i w:val="false"/>
          <w:color w:val="000000"/>
          <w:sz w:val="22"/>
        </w:rPr>
        <w:t xml:space="preserve">Agricultural assets transfer tax credit and custom farming contract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304.36(1)</w:t>
      </w:r>
      <w:r>
        <w:rPr>
          <w:rFonts w:ascii="Times New Roman" w:hAnsi="Times New Roman"/>
          <w:b w:val="false"/>
          <w:i w:val="false"/>
          <w:color w:val="000000"/>
          <w:sz w:val="22"/>
        </w:rPr>
        <w:t> </w:t>
      </w:r>
      <w:r>
        <w:rPr>
          <w:rFonts w:ascii="Times New Roman" w:hAnsi="Times New Roman"/>
          <w:b w:val="false"/>
          <w:i/>
          <w:color w:val="000000"/>
          <w:sz w:val="22"/>
        </w:rPr>
        <w:t xml:space="preserve">Agricultural assets transfer tax credit. </w:t>
      </w:r>
      <w:r>
        <w:rPr>
          <w:rFonts w:ascii="Times New Roman" w:hAnsi="Times New Roman"/>
          <w:b w:val="false"/>
          <w:i w:val="false"/>
          <w:color w:val="000000"/>
          <w:sz w:val="22"/>
        </w:rPr>
        <w:t>For tax years beginning on or after January 1, 2007, but before January 1, 2013, an owner of agricultural assets that rents assets to qualified beginning farmers may claim an agricultural assets transfer tax credit for Iowa individual income tax equal to 5 percent of the rental income received by the owner for cash rental agreements and 15 percent of the rental income received by the owner for commodity share agreements. Effective for tax years beginning on or after January 1, 2013, an owner of agricultural assets that rents assets to qualified beginning farmers may claim an agricultural assets transfer tax credit for Iowa individual income tax equal to 7 percent of the rental income received by the owner for cash rental agreements and 17 percent of the rental income received by the owner for commodity share agreements.</w:t>
      </w:r>
    </w:p>
    <w:p>
      <w:pPr>
        <w:spacing w:before="0" w:after="0"/>
        <w:ind w:left="120"/>
        <w:jc w:val="both"/>
      </w:pPr>
      <w:r>
        <w:rPr>
          <w:rFonts w:ascii="Times New Roman" w:hAnsi="Times New Roman"/>
          <w:b w:val="false"/>
          <w:i w:val="false"/>
          <w:color w:val="000000"/>
          <w:sz w:val="22"/>
        </w:rPr>
        <w:t xml:space="preserve">Also effective for tax years beginning on or after January 1, 2013, if the beginning farmer is a veteran, the credit is equal to 8 percent of the rental income received by the owner for cash rental agreements, and the credit is equal to 18 percent of the rental income received by the owner for commodity share agreements for the first year that the credit is allowed. However, the taxpayer may only claim 7 percent of the rental income for cash rental agreements and 17 percent of the rental income for commodity share agreements in subsequent years if the agreement is renewed or a new agreement is executed by the same parties. The administrative rules for the agricultural assets transfer tax credit for the Iowa finance authority may be found under </w:t>
      </w:r>
      <w:hyperlink r:id="rId271">
        <w:r>
          <w:rPr>
            <w:rStyle w:val="Hyperlink"/>
            <w:rFonts w:ascii="Times New Roman" w:hAnsi="Times New Roman"/>
            <w:b w:val="false"/>
            <w:i w:val="false"/>
            <w:color w:val="000000"/>
            <w:sz w:val="22"/>
          </w:rPr>
          <w:t>265—Chapter 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To qualify for the tax credit, an owner of agricultural assets must enter into a lease or rental agreement with a beginning farmer for a term of at least two years, but not more than five years. Both the owner of agricultural assets and the beginning farmer must meet certain qualifications set forth by the Iowa finance authority, and the beginning farmer must be eligible to receive financial assistance under Iowa Code section </w:t>
      </w:r>
      <w:hyperlink r:id="rId272">
        <w:r>
          <w:rPr>
            <w:rStyle w:val="Hyperlink"/>
            <w:rFonts w:ascii="Times New Roman" w:hAnsi="Times New Roman"/>
            <w:b w:val="false"/>
            <w:i w:val="false"/>
            <w:color w:val="000000"/>
            <w:sz w:val="22"/>
          </w:rPr>
          <w:t>16.75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Iowa finance authority will issue a tax credit certificate to the owner of agricultural assets which will include the name, address and tax identification number of the owner, the amount of the credit, and the tax period for which the credit may be applied. To claim the tax credit, the owner must include the tax credit certificate with the tax return for the tax period set forth on the certificate. The tax credit certificates will be issued on a first-come, first-served basis. For fiscal years beginning on or after July 1, 2009, but before July 1, 2013, the amount of tax credit certificates issued by the Iowa agricultural development authority for the agricultural assets transfer tax credit program cannot exceed $6 million. For fiscal years beginning on or after July 1, 2013, the amount of the tax credit certificates issued by the Iowa finance authority for the agricultural assets transfer tax credit program cannot exceed $8 million and the amount of the credit issued to an individual taxpayer cannot exceed $50,000. However, effective December 31, 2017, the amount of tax credits issued by the Iowa finance authority for the agricultural assets transfer tax credit shall revert back to $6 million.</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used, whichever is the earlier. However, for any agricultural assets transfer tax credits originally issued for tax years beginning on or after January 1, 2008, any credit in excess of the tax liability may be credited to the tax liability for the following ten years. The tax credit shall not be carried back to a tax year prior to the year in which the owner redeems the credit. The credit is not transferable to any other person other than the taxpayer’s estate or trust upon the death of the taxpayer.</w:t>
      </w:r>
    </w:p>
    <w:p>
      <w:pPr>
        <w:spacing w:before="0" w:after="0"/>
        <w:ind w:left="120"/>
        <w:jc w:val="both"/>
      </w:pPr>
      <w:r>
        <w:rPr>
          <w:rFonts w:ascii="Times New Roman" w:hAnsi="Times New Roman"/>
          <w:b w:val="false"/>
          <w:i w:val="false"/>
          <w:color w:val="000000"/>
          <w:sz w:val="22"/>
        </w:rPr>
        <w:t>If an owner of agricultural assets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The lease or rental agreement may be terminated by either the owner or the beginning farmer. If the Iowa finance authority determines that the owner is not at fault for the termination, the authority will not issue a tax credit certificate for subsequent years, but any prior tax credit certificates issued will be allowed. If the Iowa finance authority determines that the owner is at fault for the termination, any prior tax credit certificates will be disallowed. The amount of tax credits previously allowed will be recaptured, and the owner will be required to repay the entire amount of tax credits previously claimed on Iowa returns.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304.36(2)</w:t>
      </w:r>
      <w:r>
        <w:rPr>
          <w:rFonts w:ascii="Times New Roman" w:hAnsi="Times New Roman"/>
          <w:b w:val="false"/>
          <w:i w:val="false"/>
          <w:color w:val="000000"/>
          <w:sz w:val="22"/>
        </w:rPr>
        <w:t> </w:t>
      </w:r>
      <w:r>
        <w:rPr>
          <w:rFonts w:ascii="Times New Roman" w:hAnsi="Times New Roman"/>
          <w:b w:val="false"/>
          <w:i/>
          <w:color w:val="000000"/>
          <w:sz w:val="22"/>
        </w:rPr>
        <w:t xml:space="preserve">Custom farming contract tax credit. </w:t>
      </w:r>
      <w:r>
        <w:rPr>
          <w:rFonts w:ascii="Times New Roman" w:hAnsi="Times New Roman"/>
          <w:b w:val="false"/>
          <w:i w:val="false"/>
          <w:color w:val="000000"/>
          <w:sz w:val="22"/>
        </w:rPr>
        <w:t xml:space="preserve">Effective for tax years beginning on or after January 1, 2013, a landowner that hires a beginning farmer to custom farm agricultural land in this state may claim a custom farming contract tax credit for Iowa individual income tax. The credit is equal to 7 percent of the value of the contract. If the beginning farmer is a veteran, the credit is equal to 8 percent of the value of the contract for the first year. However, the taxpayer may only claim 7 percent of the value of the contract in subsequent years if the agreement is renewed or a new agreement is executed by the same parties. The administrative rules for the custom farming contract tax credit for the Iowa finance authority may be found under </w:t>
      </w:r>
      <w:hyperlink r:id="rId273">
        <w:r>
          <w:rPr>
            <w:rStyle w:val="Hyperlink"/>
            <w:rFonts w:ascii="Times New Roman" w:hAnsi="Times New Roman"/>
            <w:b w:val="false"/>
            <w:i w:val="false"/>
            <w:color w:val="000000"/>
            <w:sz w:val="22"/>
          </w:rPr>
          <w:t>265—Chapter 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To qualify for the tax credit, the taxpayer must enter into a lease or rental agreement with a beginning farmer for a term of at least two years but not more than five years. Both the taxpayer and the beginning farmer must meet certain qualifications set forth by the Iowa finance authority, and the beginning farmer must be eligible to receive financial assistance under Iowa Code section </w:t>
      </w:r>
      <w:hyperlink r:id="rId274">
        <w:r>
          <w:rPr>
            <w:rStyle w:val="Hyperlink"/>
            <w:rFonts w:ascii="Times New Roman" w:hAnsi="Times New Roman"/>
            <w:b w:val="false"/>
            <w:i w:val="false"/>
            <w:color w:val="000000"/>
            <w:sz w:val="22"/>
          </w:rPr>
          <w:t>16.75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Iowa finance authority will issue a tax credit certificate to the taxpayer which will include the name, address and tax identification number of the owner, the amount of the credit, and the tax period for which the credit may be applied. To claim the tax credit, the owner must include the tax credit certificate with the tax return for the tax period set forth on the certificate. For fiscal years beginning on or after July 1, 2013, the amount of tax credit certificates issued by the Iowa finance authority for the custom farming contract tax credit program cannot exceed $4 million, and the credit certificates will be issued on a first-come, first-served basis. The amount of the credit issued to an individual taxpayer cannot exceed $50,000. However, effective December 31, 2017, the Iowa finance authority will no longer issue custom farming contract tax credits.</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ten years or until used, whichever is the earlier. The tax credit shall not be carried back to a tax year prior to the year in which the owner redeems the credit. The credit is not transferable to any other person other than the taxpayer’s estate or trust upon the death of the taxpayer.</w:t>
      </w:r>
    </w:p>
    <w:p>
      <w:pPr>
        <w:spacing w:before="0" w:after="0"/>
        <w:ind w:left="120"/>
        <w:jc w:val="both"/>
      </w:pPr>
      <w:r>
        <w:rPr>
          <w:rFonts w:ascii="Times New Roman" w:hAnsi="Times New Roman"/>
          <w:b w:val="false"/>
          <w:i w:val="false"/>
          <w:color w:val="000000"/>
          <w:sz w:val="22"/>
        </w:rPr>
        <w:t>If the party entering into the custom farming contract with the beginning farmer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The custom farming contract may be terminated by either the taxpayer or the beginning farmer. If the Iowa finance authority determines that the taxpayer is not at fault for the termination, the authority will not issue a tax credit certificate for subsequent years, but any prior tax credit certificates issued will be allowed. If the Iowa finance authority determines that the taxpayer is at fault for the termination, any prior tax credit certificates will be disallowed. The amount of tax credits previously allowed will be recaptured, and the taxpayer will be required to repay the entire amount of tax credits previously claimed on Iowa returns.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5">
        <w:r>
          <w:rPr>
            <w:rStyle w:val="Hyperlink"/>
            <w:rFonts w:ascii="Times New Roman" w:hAnsi="Times New Roman"/>
            <w:b w:val="false"/>
            <w:i w:val="false"/>
            <w:color w:val="000000"/>
            <w:sz w:val="22"/>
          </w:rPr>
          <w:t>422.11M</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2014 Iowa Acts, Senate File 2328, sections 60 and 61</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2454</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2014 Iowa Acts, Senate File 2328, sections 120 and 122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1138C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701—304.37</w:t>
      </w:r>
      <w:r>
        <w:rPr>
          <w:rFonts w:ascii="Times New Roman" w:hAnsi="Times New Roman"/>
          <w:b/>
          <w:i w:val="false"/>
          <w:color w:val="000000"/>
          <w:sz w:val="22"/>
        </w:rPr>
        <w:t xml:space="preserve">(15,422) </w:t>
      </w:r>
      <w:r>
        <w:rPr>
          <w:rFonts w:ascii="Times New Roman" w:hAnsi="Times New Roman"/>
          <w:b/>
          <w:i w:val="false"/>
          <w:color w:val="000000"/>
          <w:sz w:val="22"/>
        </w:rPr>
        <w:t xml:space="preserve">Film qualified expenditure tax credit. </w:t>
      </w:r>
      <w:r>
        <w:rPr>
          <w:rFonts w:ascii="Times New Roman" w:hAnsi="Times New Roman"/>
          <w:b w:val="false"/>
          <w:i w:val="false"/>
          <w:color w:val="000000"/>
          <w:sz w:val="22"/>
        </w:rPr>
        <w:t xml:space="preserve">Effective for tax years beginning on or after January 1, 2007, a film qualified expenditure tax credit is available for individual income tax. The tax credit cannot exceed 25 percent of the taxpayer’s qualified expenditures in a film, television, or video project registered with the film office of the Iowa department of economic development (IDED). The film office may negotiate the amount of the tax credit. The administrative rules for the film qualified expenditure tax credit for IDED may be found at </w:t>
      </w:r>
      <w:hyperlink r:id="rId276">
        <w:r>
          <w:rPr>
            <w:rStyle w:val="Hyperlink"/>
            <w:rFonts w:ascii="Times New Roman" w:hAnsi="Times New Roman"/>
            <w:b w:val="false"/>
            <w:i w:val="false"/>
            <w:color w:val="000000"/>
            <w:sz w:val="22"/>
          </w:rPr>
          <w:t>261—Chapter 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304.37(1)</w:t>
      </w:r>
      <w:r>
        <w:rPr>
          <w:rFonts w:ascii="Times New Roman" w:hAnsi="Times New Roman"/>
          <w:b w:val="false"/>
          <w:i w:val="false"/>
          <w:color w:val="000000"/>
          <w:sz w:val="22"/>
        </w:rPr>
        <w:t> </w:t>
      </w:r>
      <w:r>
        <w:rPr>
          <w:rFonts w:ascii="Times New Roman" w:hAnsi="Times New Roman"/>
          <w:b w:val="false"/>
          <w:i/>
          <w:color w:val="000000"/>
          <w:sz w:val="22"/>
        </w:rPr>
        <w:t xml:space="preserve">Qualified expenditures. </w:t>
      </w:r>
      <w:r>
        <w:rPr>
          <w:rFonts w:ascii="Times New Roman" w:hAnsi="Times New Roman"/>
          <w:b w:val="false"/>
          <w:i w:val="false"/>
          <w:color w:val="000000"/>
          <w:sz w:val="22"/>
        </w:rPr>
        <w:t>A qualified expenditure is a payment to an Iowa resident or an Iowa-based business for the sale, rental or furnishing of tangible personal property or services directly related to the registered project. The qualified expenditures include, but are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Aircraft.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Vehicles.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Equipment.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Materials.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Supplies.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Accounting services.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Animals and animal care services.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Artistic and design services.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Graphics.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Construction.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Data and information services.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Delivery and pickup services.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 xml:space="preserve">Labor and personnel. For limitations on the amount of labor and personnel expenditures, see Iowa department of economic development </w:t>
      </w:r>
      <w:hyperlink r:id="rId277">
        <w:r>
          <w:rPr>
            <w:rStyle w:val="Hyperlink"/>
            <w:rFonts w:ascii="Times New Roman" w:hAnsi="Times New Roman"/>
            <w:b w:val="false"/>
            <w:i w:val="false"/>
            <w:color w:val="000000"/>
            <w:sz w:val="22"/>
          </w:rPr>
          <w:t>261—paragraph 36.7(2)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Lighting services.</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Makeup and hairdressing services.</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Film.</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Music.</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Photography.</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Sound.</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Video and related services.</w:t>
      </w:r>
    </w:p>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Printing.</w:t>
      </w:r>
    </w:p>
    <w:p>
      <w:pPr>
        <w:spacing w:before="0" w:after="0"/>
        <w:ind w:left="120"/>
        <w:jc w:val="both"/>
      </w:pPr>
      <w:r>
        <w:rPr>
          <w:rFonts w:ascii="Times New Roman" w:hAnsi="Times New Roman"/>
          <w:b w:val="false"/>
          <w:i w:val="false"/>
          <w:color w:val="000000"/>
          <w:sz w:val="22"/>
        </w:rPr>
        <w:t>     22.   </w:t>
      </w:r>
      <w:r>
        <w:rPr>
          <w:rFonts w:ascii="Times New Roman" w:hAnsi="Times New Roman"/>
          <w:b w:val="false"/>
          <w:i w:val="false"/>
          <w:color w:val="000000"/>
          <w:sz w:val="22"/>
        </w:rPr>
        <w:t>Research.</w:t>
      </w:r>
    </w:p>
    <w:p>
      <w:pPr>
        <w:spacing w:before="0" w:after="0"/>
        <w:ind w:left="120"/>
        <w:jc w:val="both"/>
      </w:pPr>
      <w:r>
        <w:rPr>
          <w:rFonts w:ascii="Times New Roman" w:hAnsi="Times New Roman"/>
          <w:b w:val="false"/>
          <w:i w:val="false"/>
          <w:color w:val="000000"/>
          <w:sz w:val="22"/>
        </w:rPr>
        <w:t>     23.   </w:t>
      </w:r>
      <w:r>
        <w:rPr>
          <w:rFonts w:ascii="Times New Roman" w:hAnsi="Times New Roman"/>
          <w:b w:val="false"/>
          <w:i w:val="false"/>
          <w:color w:val="000000"/>
          <w:sz w:val="22"/>
        </w:rPr>
        <w:t>Site fees and rental.</w:t>
      </w:r>
    </w:p>
    <w:p>
      <w:pPr>
        <w:spacing w:before="0" w:after="0"/>
        <w:ind w:left="120"/>
        <w:jc w:val="both"/>
      </w:pPr>
      <w:r>
        <w:rPr>
          <w:rFonts w:ascii="Times New Roman" w:hAnsi="Times New Roman"/>
          <w:b w:val="false"/>
          <w:i w:val="false"/>
          <w:color w:val="000000"/>
          <w:sz w:val="22"/>
        </w:rPr>
        <w:t>     24.   </w:t>
      </w:r>
      <w:r>
        <w:rPr>
          <w:rFonts w:ascii="Times New Roman" w:hAnsi="Times New Roman"/>
          <w:b w:val="false"/>
          <w:i w:val="false"/>
          <w:color w:val="000000"/>
          <w:sz w:val="22"/>
        </w:rPr>
        <w:t>Travel related to Iowa distant locations.</w:t>
      </w:r>
    </w:p>
    <w:p>
      <w:pPr>
        <w:spacing w:before="0" w:after="0"/>
        <w:ind w:left="120"/>
        <w:jc w:val="both"/>
      </w:pPr>
      <w:r>
        <w:rPr>
          <w:rFonts w:ascii="Times New Roman" w:hAnsi="Times New Roman"/>
          <w:b w:val="false"/>
          <w:i w:val="false"/>
          <w:color w:val="000000"/>
          <w:sz w:val="22"/>
        </w:rPr>
        <w:t>     25.   </w:t>
      </w:r>
      <w:r>
        <w:rPr>
          <w:rFonts w:ascii="Times New Roman" w:hAnsi="Times New Roman"/>
          <w:b w:val="false"/>
          <w:i w:val="false"/>
          <w:color w:val="000000"/>
          <w:sz w:val="22"/>
        </w:rPr>
        <w:t>Trash removal and cleanup.</w:t>
      </w:r>
    </w:p>
    <w:p>
      <w:pPr>
        <w:spacing w:before="0" w:after="0"/>
        <w:ind w:left="120"/>
        <w:jc w:val="both"/>
      </w:pPr>
      <w:r>
        <w:rPr>
          <w:rFonts w:ascii="Times New Roman" w:hAnsi="Times New Roman"/>
          <w:b w:val="false"/>
          <w:i w:val="false"/>
          <w:color w:val="000000"/>
          <w:sz w:val="22"/>
        </w:rPr>
        <w:t>     26.   </w:t>
      </w:r>
      <w:r>
        <w:rPr>
          <w:rFonts w:ascii="Times New Roman" w:hAnsi="Times New Roman"/>
          <w:b w:val="false"/>
          <w:i w:val="false"/>
          <w:color w:val="000000"/>
          <w:sz w:val="22"/>
        </w:rPr>
        <w:t>Wardrobe.</w:t>
      </w:r>
    </w:p>
    <w:p>
      <w:pPr>
        <w:spacing w:before="0" w:after="0"/>
        <w:ind w:left="120"/>
        <w:jc w:val="both"/>
      </w:pPr>
      <w:r>
        <w:rPr>
          <w:rFonts w:ascii="Times New Roman" w:hAnsi="Times New Roman"/>
          <w:b w:val="false"/>
          <w:i w:val="false"/>
          <w:color w:val="000000"/>
          <w:sz w:val="22"/>
        </w:rPr>
        <w:t>A detailed list of all qualified expenditures for each of these categories is available from the film office of 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304.37(2)</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Upon completion of the registered project in Iowa, the taxpayer must submit, in a format approved by IDED prior to production, a listing of the qualified expenditures. Upon verification of the qualified expenditures, IDED will issue a tax credit certificate to the taxpayer. The certificate will list the taxpayer’s name, address, and tax identification number; the date of project completion; the amount of the credit; the tax period for which the credit may be applied; and the type of tax for which the credit will be applied.</w:t>
      </w:r>
    </w:p>
    <w:p>
      <w:pPr>
        <w:spacing w:before="0" w:after="0"/>
        <w:ind w:left="120"/>
        <w:jc w:val="both"/>
      </w:pPr>
      <w:r>
        <w:rPr>
          <w:rFonts w:ascii="Times New Roman" w:hAnsi="Times New Roman"/>
          <w:b w:val="false"/>
          <w:i w:val="false"/>
          <w:color w:val="000000"/>
          <w:sz w:val="22"/>
        </w:rPr>
        <w:t>If the taxpayer is a partnership, limited liability company, S corporation, or estate or trust requesting a credit for individual or corporation income tax, the tax credit certificate will be issued to the partners, members, shareholders or beneficiaries based on each partner’s, member’s, shareholder’s or beneficiary’s pro rata share of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To claim the tax credit, the taxpayer must include the tax credit certificate with the tax return for the tax period set forth on the certificate. Any tax credit in excess of the tax liability may be carried forward for five years or until the tax credit is used, whichever is the earlier. The tax credit cannot be carried back to a tax year prior to the year in which the taxpayer claimed the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304.37(3)</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film qualified expenditure tax credit. </w:t>
      </w:r>
      <w:r>
        <w:rPr>
          <w:rFonts w:ascii="Times New Roman" w:hAnsi="Times New Roman"/>
          <w:b w:val="false"/>
          <w:i w:val="false"/>
          <w:color w:val="000000"/>
          <w:sz w:val="22"/>
        </w:rPr>
        <w:t>The film qualified expenditure tax credit may be transferred no more than two times to any person or entity.</w:t>
      </w:r>
    </w:p>
    <w:p>
      <w:pPr>
        <w:spacing w:before="0" w:after="0"/>
        <w:ind w:left="120"/>
        <w:jc w:val="both"/>
      </w:pP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which contains the transferee’s name, address and tax identification number and the amount of the tax credit being transferred. Within 30 days of receiving the transferred tax credit certificate and the statement from the transferee, the department of revenue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film qualified expenditure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year for which the original transferor could have claimed the tax credit. 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304.37(4)</w:t>
      </w:r>
      <w:r>
        <w:rPr>
          <w:rFonts w:ascii="Times New Roman" w:hAnsi="Times New Roman"/>
          <w:b w:val="false"/>
          <w:i w:val="false"/>
          <w:color w:val="000000"/>
          <w:sz w:val="22"/>
        </w:rPr>
        <w:t> </w:t>
      </w:r>
      <w:r>
        <w:rPr>
          <w:rFonts w:ascii="Times New Roman" w:hAnsi="Times New Roman"/>
          <w:b w:val="false"/>
          <w:i/>
          <w:color w:val="000000"/>
          <w:sz w:val="22"/>
        </w:rPr>
        <w:t xml:space="preserve">Repeal of film qualified expenditure tax credit. </w:t>
      </w:r>
      <w:r>
        <w:rPr>
          <w:rFonts w:ascii="Times New Roman" w:hAnsi="Times New Roman"/>
          <w:b w:val="false"/>
          <w:i w:val="false"/>
          <w:color w:val="000000"/>
          <w:sz w:val="22"/>
        </w:rPr>
        <w:t>The film qualified expenditure tax credit is repealed for tax years beginning on or after January 1, 2012. However, the credit is still available for tax years beginning prior to January 1, 2012, if the contract or agreement related to a film project was entered into on or before May 25, 2012.</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2012 Iowa Acts, House File 2337, sections 38 to 40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701—304.38</w:t>
      </w:r>
      <w:r>
        <w:rPr>
          <w:rFonts w:ascii="Times New Roman" w:hAnsi="Times New Roman"/>
          <w:b/>
          <w:i w:val="false"/>
          <w:color w:val="000000"/>
          <w:sz w:val="22"/>
        </w:rPr>
        <w:t xml:space="preserve">(15,422) </w:t>
      </w:r>
      <w:r>
        <w:rPr>
          <w:rFonts w:ascii="Times New Roman" w:hAnsi="Times New Roman"/>
          <w:b/>
          <w:i w:val="false"/>
          <w:color w:val="000000"/>
          <w:sz w:val="22"/>
        </w:rPr>
        <w:t xml:space="preserve">Film investment tax credit. </w:t>
      </w:r>
      <w:r>
        <w:rPr>
          <w:rFonts w:ascii="Times New Roman" w:hAnsi="Times New Roman"/>
          <w:b w:val="false"/>
          <w:i w:val="false"/>
          <w:color w:val="000000"/>
          <w:sz w:val="22"/>
        </w:rPr>
        <w:t xml:space="preserve">Effective for tax years beginning on or after January 1, 2007, a film investment tax credit is available for individual income tax. The tax credit cannot exceed 25 percent of the taxpayer’s investment in a film, television, or video project registered with the film office of the Iowa department of economic development (IDED). The film office may negotiate the amount of the tax credit. The administrative rules for the film investment tax credit for IDED may be found at </w:t>
      </w:r>
      <w:hyperlink r:id="rId278">
        <w:r>
          <w:rPr>
            <w:rStyle w:val="Hyperlink"/>
            <w:rFonts w:ascii="Times New Roman" w:hAnsi="Times New Roman"/>
            <w:b w:val="false"/>
            <w:i w:val="false"/>
            <w:color w:val="000000"/>
            <w:sz w:val="22"/>
          </w:rPr>
          <w:t>261—Chapter 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304.38(1)</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Upon completion of the project in Iowa and verification of the investment in the project, IDED will issue a tax credit certificate to the taxpayer. The certificate will list the taxpayer’s name, address, and tax identification number; the date of project completion; the amount of the credit; the tax period for which the credit may be applied; and the type of tax for which the credit will be applied.</w:t>
      </w:r>
    </w:p>
    <w:p>
      <w:pPr>
        <w:spacing w:before="0" w:after="0"/>
        <w:ind w:left="120"/>
        <w:jc w:val="both"/>
      </w:pPr>
      <w:r>
        <w:rPr>
          <w:rFonts w:ascii="Times New Roman" w:hAnsi="Times New Roman"/>
          <w:b w:val="false"/>
          <w:i w:val="false"/>
          <w:color w:val="000000"/>
          <w:sz w:val="22"/>
        </w:rPr>
        <w:t>If the taxpayer is a partnership, limited liability company, S corporation, or estate or trust requesting a credit for individual or corporation income tax, the tax credit certificate will be issued to the partners, members, shareholders or beneficiaries based on each partner’s, member’s, shareholder’s or beneficiary’s pro rata share of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To claim the tax credit, the taxpayer must include the tax credit certificate with the tax return for the tax period set forth on the certificate. Any tax credit in excess of the tax liability may be carried forward for five years or until the tax credit is used, whichever is the earlier. The tax credit cannot be carried back to a tax year prior to the year in which the taxpayer claimed the tax credit. In addition, a taxpayer cannot claim the film investment tax credit for qualified expenditures for which the film expenditure tax credit set forth in rule </w:t>
      </w:r>
      <w:hyperlink r:id="rId279">
        <w:r>
          <w:rPr>
            <w:rStyle w:val="Hyperlink"/>
            <w:rFonts w:ascii="Times New Roman" w:hAnsi="Times New Roman"/>
            <w:b w:val="false"/>
            <w:i w:val="false"/>
            <w:color w:val="000000"/>
            <w:sz w:val="22"/>
          </w:rPr>
          <w:t>701—304.37</w:t>
        </w:r>
      </w:hyperlink>
      <w:r>
        <w:rPr>
          <w:rFonts w:ascii="Times New Roman" w:hAnsi="Times New Roman"/>
          <w:b w:val="false"/>
          <w:i w:val="false"/>
          <w:color w:val="000000"/>
          <w:sz w:val="22"/>
        </w:rPr>
        <w:t>(15,422) is claimed.</w:t>
      </w:r>
    </w:p>
    <w:p>
      <w:pPr>
        <w:spacing w:before="0" w:after="0"/>
        <w:ind w:left="120"/>
        <w:jc w:val="both"/>
      </w:pPr>
      <w:r>
        <w:rPr>
          <w:rFonts w:ascii="Times New Roman" w:hAnsi="Times New Roman"/>
          <w:b w:val="false"/>
          <w:i w:val="false"/>
          <w:color w:val="000000"/>
          <w:sz w:val="22"/>
        </w:rPr>
        <w:t xml:space="preserve">The total of all film investment tax credits for a particular project cannot exceed 25 percent of the qualified expenditures as set forth in subrule </w:t>
      </w:r>
      <w:hyperlink r:id="rId280">
        <w:r>
          <w:rPr>
            <w:rStyle w:val="Hyperlink"/>
            <w:rFonts w:ascii="Times New Roman" w:hAnsi="Times New Roman"/>
            <w:b w:val="false"/>
            <w:i w:val="false"/>
            <w:color w:val="000000"/>
            <w:sz w:val="22"/>
          </w:rPr>
          <w:t>304.37(1)</w:t>
        </w:r>
      </w:hyperlink>
      <w:r>
        <w:rPr>
          <w:rFonts w:ascii="Times New Roman" w:hAnsi="Times New Roman"/>
          <w:b w:val="false"/>
          <w:i w:val="false"/>
          <w:color w:val="000000"/>
          <w:sz w:val="22"/>
        </w:rPr>
        <w:t xml:space="preserve"> for the particular project. If the amount of investment exceeds the qualified expenditures, the tax credit will be allocated proportionately. For example, if three investors each invested $100,000 in a project but the qualified expenditures in Iowa only totaled $270,000, each investor would receive a tax credit based on a $90,000 investment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304.38(2)</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film investment tax credit. </w:t>
      </w:r>
      <w:r>
        <w:rPr>
          <w:rFonts w:ascii="Times New Roman" w:hAnsi="Times New Roman"/>
          <w:b w:val="false"/>
          <w:i w:val="false"/>
          <w:color w:val="000000"/>
          <w:sz w:val="22"/>
        </w:rPr>
        <w:t>The film investment tax credit may be transferred no more than two times to any person or entity.</w:t>
      </w:r>
    </w:p>
    <w:p>
      <w:pPr>
        <w:spacing w:before="0" w:after="0"/>
        <w:ind w:left="120"/>
        <w:jc w:val="both"/>
      </w:pP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which contains the transferee’s name, address and tax identification number and the amount of the tax credit being transferred. Within 30 days of receiving the transferred tax credit certificate and the statement from the transferee, the department of revenue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film investment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year for which the original transferor could have claimed the tax credit. 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304.38(3)</w:t>
      </w:r>
      <w:r>
        <w:rPr>
          <w:rFonts w:ascii="Times New Roman" w:hAnsi="Times New Roman"/>
          <w:b w:val="false"/>
          <w:i w:val="false"/>
          <w:color w:val="000000"/>
          <w:sz w:val="22"/>
        </w:rPr>
        <w:t> </w:t>
      </w:r>
      <w:r>
        <w:rPr>
          <w:rFonts w:ascii="Times New Roman" w:hAnsi="Times New Roman"/>
          <w:b w:val="false"/>
          <w:i/>
          <w:color w:val="000000"/>
          <w:sz w:val="22"/>
        </w:rPr>
        <w:t xml:space="preserve">Repeal of film investment tax credit. </w:t>
      </w:r>
      <w:r>
        <w:rPr>
          <w:rFonts w:ascii="Times New Roman" w:hAnsi="Times New Roman"/>
          <w:b w:val="false"/>
          <w:i w:val="false"/>
          <w:color w:val="000000"/>
          <w:sz w:val="22"/>
        </w:rPr>
        <w:t>The film investment tax credit is repealed for tax years beginning on or after January 1, 2012. However, the credit is still available for tax years beginning prior to January 1, 2012, if the contract or agreement related to a film project was entered into on or before May 25, 2012.</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2012 Iowa Acts, House File 2337, sections 38 to 40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701—304.39</w:t>
      </w:r>
      <w:r>
        <w:rPr>
          <w:rFonts w:ascii="Times New Roman" w:hAnsi="Times New Roman"/>
          <w:b/>
          <w:i w:val="false"/>
          <w:color w:val="000000"/>
          <w:sz w:val="22"/>
        </w:rPr>
        <w:t xml:space="preserve">(422) </w:t>
      </w:r>
      <w:r>
        <w:rPr>
          <w:rFonts w:ascii="Times New Roman" w:hAnsi="Times New Roman"/>
          <w:b/>
          <w:i w:val="false"/>
          <w:color w:val="000000"/>
          <w:sz w:val="22"/>
        </w:rPr>
        <w:t xml:space="preserve">Ethanol promotion tax credit. </w:t>
      </w:r>
      <w:r>
        <w:rPr>
          <w:rFonts w:ascii="Times New Roman" w:hAnsi="Times New Roman"/>
          <w:b w:val="false"/>
          <w:i w:val="false"/>
          <w:color w:val="000000"/>
          <w:sz w:val="22"/>
        </w:rPr>
        <w:t>Effective for tax years beginning on or after January 1, 2009, a retail dealer of gasoline may claim an ethanol promotion tax credit. For purposes of this rule, tank wagon sales are considered retail sales. The ethanol promotion tax credit is computed on Form IA 137.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“Biodiesel gallonage” </w:t>
      </w:r>
      <w:r>
        <w:rPr>
          <w:rFonts w:ascii="Times New Roman" w:hAnsi="Times New Roman"/>
          <w:b w:val="false"/>
          <w:i w:val="false"/>
          <w:color w:val="000000"/>
          <w:sz w:val="22"/>
        </w:rPr>
        <w:t>means the total number of gallons of biodiesel which the retail dealer sells from motor fuel pumps during a determination period. For example, 5,000 gallons of biodiesel blended fuel with a 2 percent by volume of biodiesel sold during a determination period results in a biodiesel gallonage of 100 (5,000 times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“Biofuel distribution percentage” </w:t>
      </w:r>
      <w:r>
        <w:rPr>
          <w:rFonts w:ascii="Times New Roman" w:hAnsi="Times New Roman"/>
          <w:b w:val="false"/>
          <w:i w:val="false"/>
          <w:color w:val="000000"/>
          <w:sz w:val="22"/>
        </w:rPr>
        <w:t>means the sum of the retail dealer’s total ethanol gallonage plus the retail dealer’s total biodiesel gallonage expressed as a percentage of the retail dealer’s total gasoline gallonage.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“Biofuel threshold percentage” </w:t>
      </w:r>
      <w:r>
        <w:rPr>
          <w:rFonts w:ascii="Times New Roman" w:hAnsi="Times New Roman"/>
          <w:b w:val="false"/>
          <w:i w:val="false"/>
          <w:color w:val="000000"/>
          <w:sz w:val="22"/>
        </w:rPr>
        <w:t>is dependent on the aggregate number of gallons of motor fuel sold by a retail dealer during a determination period, as set forth below:</w:t>
      </w:r>
    </w:p>
    <w:tbl>
      <w:tblPr>
        <w:tblW w:w="5000" w:type="pct"/>
        <w:tblCellSpacing w:w="0" w:type="auto"/>
        <w:tblBorders>
          <w:top w:val="none"/>
          <w:left w:val="none"/>
          <w:bottom w:val="none"/>
          <w:right w:val="none"/>
          <w:insideH w:val="none"/>
          <w:insideV w:val="none"/>
        </w:tblBorders>
        <w:tblLayout w:type="fixed"/>
      </w:tblPr>
      <w:tblGrid>
        <w:gridCol w:w="3346"/>
        <w:gridCol w:w="3922"/>
        <w:gridCol w:w="3922"/>
      </w:tblGrid>
      <w:tr>
        <w:trPr>
          <w:trHeight w:val="405"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Determination</w:t>
            </w:r>
            <w:r>
              <w:br/>
            </w:r>
            <w:r>
              <w:rPr>
                <w:rFonts w:ascii="Times New Roman" w:hAnsi="Times New Roman"/>
                <w:b w:val="false"/>
                <w:i w:val="false"/>
                <w:color w:val="000000"/>
                <w:sz w:val="16"/>
              </w:rPr>
              <w:t>Period</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More that 200,000 Gallons </w:t>
            </w:r>
            <w:r>
              <w:br/>
            </w:r>
            <w:r>
              <w:rPr>
                <w:rFonts w:ascii="Times New Roman" w:hAnsi="Times New Roman"/>
                <w:b w:val="false"/>
                <w:i w:val="false"/>
                <w:color w:val="000000"/>
                <w:sz w:val="16"/>
              </w:rPr>
              <w:t>Sold by Retail Dealer</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200,000 Gallons or Less </w:t>
            </w:r>
            <w:r>
              <w:br/>
            </w:r>
            <w:r>
              <w:rPr>
                <w:rFonts w:ascii="Times New Roman" w:hAnsi="Times New Roman"/>
                <w:b w:val="false"/>
                <w:i w:val="false"/>
                <w:color w:val="000000"/>
                <w:sz w:val="16"/>
              </w:rPr>
              <w:t>Sold by Retail Dealer</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2009</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2010</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2011</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2012</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2013</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2014</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2015</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2016</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2017</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2018</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2019</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2020</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“Biofuel threshold percentage disparity” </w:t>
      </w:r>
      <w:r>
        <w:rPr>
          <w:rFonts w:ascii="Times New Roman" w:hAnsi="Times New Roman"/>
          <w:b w:val="false"/>
          <w:i w:val="false"/>
          <w:color w:val="000000"/>
          <w:sz w:val="22"/>
        </w:rPr>
        <w:t>means the positive percentage difference between the retail dealer’s biofuel threshold percentage and the retail dealer’s biofuel distribution percentage. For example, if a retail dealer that sells more than 200,000 gallons of motor fuel in 2009 has a biofuel distribution percentage of 8 percent, the biofuel threshold percentage disparity equals 2 percent (10% minus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“Determination period” </w:t>
      </w:r>
      <w:r>
        <w:rPr>
          <w:rFonts w:ascii="Times New Roman" w:hAnsi="Times New Roman"/>
          <w:b w:val="false"/>
          <w:i w:val="false"/>
          <w:color w:val="000000"/>
          <w:sz w:val="22"/>
        </w:rPr>
        <w:t>means any 12-month period beginning on January 1 and ending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“Ethanol gallonage” </w:t>
      </w:r>
      <w:r>
        <w:rPr>
          <w:rFonts w:ascii="Times New Roman" w:hAnsi="Times New Roman"/>
          <w:b w:val="false"/>
          <w:i w:val="false"/>
          <w:color w:val="000000"/>
          <w:sz w:val="22"/>
        </w:rPr>
        <w:t>means the total number of gallons of ethanol which the retail dealer sells from motor fuel pumps during a determination period. For example, 10,000 gallons of ethanol blended gasoline formulated with a 10 percent by volume of ethanol sold during a determination period results in an ethanol gallonage of 1,000 (10,000 gallons times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“Gasoline gallonage” </w:t>
      </w:r>
      <w:r>
        <w:rPr>
          <w:rFonts w:ascii="Times New Roman" w:hAnsi="Times New Roman"/>
          <w:b w:val="false"/>
          <w:i w:val="false"/>
          <w:color w:val="000000"/>
          <w:sz w:val="22"/>
        </w:rPr>
        <w:t>means the total number of gallons of gasoline sold by the retail dealer during a determination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304.39(2)</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tax credit is calculated by multiplying the retail dealer’s total ethanol gallonage by the tax credit rate, which is adjusted based upon the retail dealer’s biofuel threshold percentage disparity. The tax credit rate is set forth below:</w:t>
      </w:r>
    </w:p>
    <w:tbl>
      <w:tblPr>
        <w:tblW w:w="5000" w:type="pct"/>
        <w:tblCellSpacing w:w="0" w:type="auto"/>
        <w:tblBorders>
          <w:top w:val="none"/>
          <w:left w:val="none"/>
          <w:bottom w:val="none"/>
          <w:right w:val="none"/>
          <w:insideH w:val="none"/>
          <w:insideV w:val="none"/>
        </w:tblBorders>
        <w:tblLayout w:type="fixed"/>
      </w:tblPr>
      <w:tblGrid>
        <w:gridCol w:w="2798"/>
        <w:gridCol w:w="2798"/>
        <w:gridCol w:w="2797"/>
        <w:gridCol w:w="2797"/>
      </w:tblGrid>
      <w:tr>
        <w:trPr>
          <w:trHeight w:val="390" w:hRule="atLeast"/>
        </w:trPr>
        <w:tc>
          <w:tcPr>
            <w:tcW w:w="2798"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Biofuel Threshold</w:t>
            </w:r>
            <w:r>
              <w:br/>
            </w:r>
            <w:r>
              <w:rPr>
                <w:rFonts w:ascii="Times New Roman" w:hAnsi="Times New Roman"/>
                <w:b w:val="false"/>
                <w:i w:val="false"/>
                <w:color w:val="000000"/>
                <w:sz w:val="16"/>
              </w:rPr>
              <w:t>Percentage Disparity</w:t>
            </w:r>
          </w:p>
        </w:tc>
        <w:tc>
          <w:tcPr>
            <w:tcW w:w="2798"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Tax Credit Rate</w:t>
            </w:r>
            <w:r>
              <w:br/>
            </w:r>
            <w:r>
              <w:rPr>
                <w:rFonts w:ascii="Times New Roman" w:hAnsi="Times New Roman"/>
                <w:b w:val="false"/>
                <w:i w:val="false"/>
                <w:color w:val="000000"/>
                <w:sz w:val="16"/>
              </w:rPr>
              <w:t>per Gallon 2009-2010</w:t>
            </w:r>
          </w:p>
        </w:tc>
        <w:tc>
          <w:tcPr>
            <w:tcW w:w="2797"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Tax Credit Rate</w:t>
            </w:r>
            <w:r>
              <w:br/>
            </w:r>
            <w:r>
              <w:rPr>
                <w:rFonts w:ascii="Times New Roman" w:hAnsi="Times New Roman"/>
                <w:b w:val="false"/>
                <w:i w:val="false"/>
                <w:color w:val="000000"/>
                <w:sz w:val="16"/>
              </w:rPr>
              <w:t>per Gallon 2011</w:t>
            </w:r>
          </w:p>
        </w:tc>
        <w:tc>
          <w:tcPr>
            <w:tcW w:w="2797"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Tax Credit Rate</w:t>
            </w:r>
            <w:r>
              <w:br/>
            </w:r>
            <w:r>
              <w:rPr>
                <w:rFonts w:ascii="Times New Roman" w:hAnsi="Times New Roman"/>
                <w:b w:val="false"/>
                <w:i w:val="false"/>
                <w:color w:val="000000"/>
                <w:sz w:val="16"/>
              </w:rPr>
              <w:t>per Gallon 2012-2020</w:t>
            </w:r>
          </w:p>
        </w:tc>
      </w:tr>
      <w:tr>
        <w:trPr>
          <w:trHeight w:val="210" w:hRule="atLeast"/>
        </w:trPr>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 cents</w:t>
            </w:r>
          </w:p>
        </w:tc>
      </w:tr>
      <w:tr>
        <w:trPr>
          <w:trHeight w:val="210" w:hRule="atLeast"/>
        </w:trPr>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0.01% to 2.00%</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 cents</w:t>
            </w:r>
          </w:p>
        </w:tc>
      </w:tr>
      <w:tr>
        <w:trPr>
          <w:trHeight w:val="210" w:hRule="atLeast"/>
        </w:trPr>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 to 4.00%</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 cents</w:t>
            </w:r>
          </w:p>
        </w:tc>
      </w:tr>
      <w:tr>
        <w:trPr>
          <w:trHeight w:val="210" w:hRule="atLeast"/>
        </w:trPr>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4.01% or more</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 cents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use in calculating a retail dealer’s total ethanol gallonage, the department is required to establish a schedule regarding the average amount of ethanol contained in E-85 gasoline.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may claim the ethanol promotion tax credit even if the taxpayer also claims the E-85 gasoline promotion tax credit provided in rule </w:t>
      </w:r>
      <w:hyperlink r:id="rId281">
        <w:r>
          <w:rPr>
            <w:rStyle w:val="Hyperlink"/>
            <w:rFonts w:ascii="Times New Roman" w:hAnsi="Times New Roman"/>
            <w:b w:val="false"/>
            <w:i w:val="false"/>
            <w:color w:val="000000"/>
            <w:sz w:val="22"/>
          </w:rPr>
          <w:t>701—304.33</w:t>
        </w:r>
      </w:hyperlink>
      <w:r>
        <w:rPr>
          <w:rFonts w:ascii="Times New Roman" w:hAnsi="Times New Roman"/>
          <w:b w:val="false"/>
          <w:i w:val="false"/>
          <w:color w:val="000000"/>
          <w:sz w:val="22"/>
        </w:rPr>
        <w:t xml:space="preserve">(422) or the E-15 plus gasoline promotion tax credit provided in rule </w:t>
      </w:r>
      <w:hyperlink r:id="rId282">
        <w:r>
          <w:rPr>
            <w:rStyle w:val="Hyperlink"/>
            <w:rFonts w:ascii="Times New Roman" w:hAnsi="Times New Roman"/>
            <w:b w:val="false"/>
            <w:i w:val="false"/>
            <w:color w:val="000000"/>
            <w:sz w:val="22"/>
          </w:rPr>
          <w:t>701—304.46</w:t>
        </w:r>
      </w:hyperlink>
      <w:r>
        <w:rPr>
          <w:rFonts w:ascii="Times New Roman" w:hAnsi="Times New Roman"/>
          <w:b w:val="false"/>
          <w:i w:val="false"/>
          <w:color w:val="000000"/>
          <w:sz w:val="22"/>
        </w:rPr>
        <w:t>(422) for the same tax year for the same ethanol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tax credit must be calculated separately for each retail motor fuel site operated by the taxpayer for tax years beginning prior to January 1, 2011. The biofuel threshold percentage disparity of the taxpayer is computed on a statewide basis based on the total ethanol gallonage sold in Iowa. The taxpayer must determine the ethanol gallonage sold at each retail motor fuel site and multiply this ethanol gallonage by the applicable tax credit rate based on the biofuel threshold percentage disparity to calculate the ethanol promotion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2011, the taxpayer may elect to compute the biofuel threshold percentage disparity and the tax credit on either a site-by-site basis or on a companywide basis. The election made on the first return beginning on or after January 1, 2011, for either the site-by-site method or the companywide method is binding on the taxpayer for subsequent tax years unless the taxpayer petitions the department for a change in the method. Any petition for a change in the method should be made within a reasonable period of time prior to the due date of the return for which the change is requested. For example, if a change is requested for the tax return beginning January 1, 2012, the petition should be made by January 31, 2013, which is 90 days prior to the due date of the return.</w:t>
      </w:r>
    </w:p>
    <w:p>
      <w:pPr>
        <w:spacing w:before="0" w:after="0"/>
        <w:ind w:left="120"/>
        <w:jc w:val="both"/>
      </w:pPr>
      <w:r>
        <w:rPr>
          <w:rFonts w:ascii="Times New Roman" w:hAnsi="Times New Roman"/>
          <w:b w:val="false"/>
          <w:i w:val="false"/>
          <w:color w:val="000000"/>
          <w:sz w:val="22"/>
        </w:rPr>
        <w:t>The mere fact that a change in the method will result in a larger tax credit for subsequent years is not, of itself, sufficient grounds for changing the method for computing the credit. An example of a case for which the department may grant a change in the method is if the taxpayer has a significant change in the type of fuel sold at the taxpayer’s retail sites in Iowa. For example, if a retail dealer opted to start selling E-85 gasoline at all the taxpayer’s retail sites in Iowa for a subsequent tax year, the department may grant a change in the method.</w:t>
      </w:r>
    </w:p>
    <w:p>
      <w:pPr>
        <w:spacing w:before="0" w:after="0"/>
        <w:ind w:left="120"/>
        <w:jc w:val="both"/>
      </w:pPr>
      <w:r>
        <w:rPr>
          <w:rFonts w:ascii="Times New Roman" w:hAnsi="Times New Roman"/>
          <w:b w:val="false"/>
          <w:i w:val="false"/>
          <w:color w:val="000000"/>
          <w:sz w:val="22"/>
        </w:rPr>
        <w:t xml:space="preserve">If a taxpayer chooses the site-by-site method to compute the biofuel threshold percentage disparity, the gallons sold at all sites in Iowa must be considered in determining if the biofuel threshold percentage as defined in subrule </w:t>
      </w:r>
      <w:hyperlink r:id="rId283">
        <w:r>
          <w:rPr>
            <w:rStyle w:val="Hyperlink"/>
            <w:rFonts w:ascii="Times New Roman" w:hAnsi="Times New Roman"/>
            <w:b w:val="false"/>
            <w:i w:val="false"/>
            <w:color w:val="000000"/>
            <w:sz w:val="22"/>
          </w:rPr>
          <w:t>304.39(1)</w:t>
        </w:r>
      </w:hyperlink>
      <w:r>
        <w:rPr>
          <w:rFonts w:ascii="Times New Roman" w:hAnsi="Times New Roman"/>
          <w:b w:val="false"/>
          <w:i w:val="false"/>
          <w:color w:val="000000"/>
          <w:sz w:val="22"/>
        </w:rPr>
        <w:t xml:space="preserve"> is based on more than 200,000 gallons or on 200,000 gallons or less. For example, if a taxpayer operates three motor fuel sites in Iowa and each site sells 80,000 gallons of motor fuel during 2011, the biofuel threshold percentage of 12 percent must be used for each retail site if the tax credit is computed on a site-by-site basis, even though each retail site sold less than 200,000 gallons of motor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tax credit in excess of the taxpayer’s tax liability is refundable. In lieu of claiming a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304.39(3)</w:t>
      </w:r>
      <w:r>
        <w:rPr>
          <w:rFonts w:ascii="Times New Roman" w:hAnsi="Times New Roman"/>
          <w:b w:val="false"/>
          <w:i w:val="false"/>
          <w:color w:val="000000"/>
          <w:sz w:val="22"/>
        </w:rPr>
        <w:t> </w:t>
      </w:r>
      <w:r>
        <w:rPr>
          <w:rFonts w:ascii="Times New Roman" w:hAnsi="Times New Roman"/>
          <w:b w:val="false"/>
          <w:i/>
          <w:color w:val="000000"/>
          <w:sz w:val="22"/>
        </w:rPr>
        <w:t xml:space="preserve">Fiscal year filers. </w:t>
      </w:r>
      <w:r>
        <w:rPr>
          <w:rFonts w:ascii="Times New Roman" w:hAnsi="Times New Roman"/>
          <w:b w:val="false"/>
          <w:i w:val="false"/>
          <w:color w:val="000000"/>
          <w:sz w:val="22"/>
        </w:rPr>
        <w:t xml:space="preserve">For taxpayers whose tax year is not on a calendar-year basis, the taxpayer may compute the ethanol promotion tax credit on the total ethanol gallonage sold during the year using the designated tax credit rates as shown in </w:t>
      </w:r>
      <w:hyperlink r:id="rId284">
        <w:r>
          <w:rPr>
            <w:rStyle w:val="Hyperlink"/>
            <w:rFonts w:ascii="Times New Roman" w:hAnsi="Times New Roman"/>
            <w:b w:val="false"/>
            <w:i w:val="false"/>
            <w:color w:val="000000"/>
            <w:sz w:val="22"/>
          </w:rPr>
          <w:t>paragraph 304.39(2)</w:t>
        </w:r>
      </w:hyperlink>
      <w:r>
        <w:rPr>
          <w:rFonts w:ascii="Times New Roman" w:hAnsi="Times New Roman"/>
          <w:b w:val="false"/>
          <w:i/>
          <w:color w:val="000000"/>
          <w:sz w:val="22"/>
        </w:rPr>
        <w:t>“a.”</w:t>
      </w:r>
      <w:r>
        <w:rPr>
          <w:rFonts w:ascii="Times New Roman" w:hAnsi="Times New Roman"/>
          <w:b w:val="false"/>
          <w:i w:val="false"/>
          <w:color w:val="000000"/>
          <w:sz w:val="22"/>
        </w:rPr>
        <w:t xml:space="preserve"> Because the tax credit is repealed on January 1, 2021, a taxpayer whose tax year ends prior to December 31, 2020, may continue to claim the tax credit in the following tax year for the total ethanol gallonage sold through December 31, 2020. A taxpayer whose tax year is not on a calendar-year basis and that did not claim the ethanol promotion tax credit on the previous return may claim the tax credit for the current tax year for the period beginning on January 1 of the previous tax year until the last day of the previous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304.39(4)</w:t>
      </w:r>
      <w:r>
        <w:rPr>
          <w:rFonts w:ascii="Times New Roman" w:hAnsi="Times New Roman"/>
          <w:b w:val="false"/>
          <w:i w:val="false"/>
          <w:color w:val="000000"/>
          <w:sz w:val="22"/>
        </w:rPr>
        <w:t> </w:t>
      </w:r>
      <w:r>
        <w:rPr>
          <w:rFonts w:ascii="Times New Roman" w:hAnsi="Times New Roman"/>
          <w:b w:val="false"/>
          <w:i/>
          <w:color w:val="000000"/>
          <w:sz w:val="22"/>
        </w:rPr>
        <w:t xml:space="preserve">Allocation of tax credit to owners of a business entity. </w:t>
      </w:r>
      <w:r>
        <w:rPr>
          <w:rFonts w:ascii="Times New Roman" w:hAnsi="Times New Roman"/>
          <w:b w:val="false"/>
          <w:i w:val="false"/>
          <w:color w:val="000000"/>
          <w:sz w:val="22"/>
        </w:rPr>
        <w:t>If a taxpayer claiming the ethanol promotion tax credit is a partnership, limited liability company, S corporation, estate, or trust electing to have the income taxed directly to the individual, an individual may claim the credit. The amount claimed by the individual must be based on the individual’s pro rata share of the individual’s earnings of the partnership, limited liability company, S corporation,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304.39(5)</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noninclusive examples illustrate how this 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that is a retail dealer of gasoline operates only one motor fuel site in Iowa. The number of gallons of gasoline sold at this site in 2009 equals 100,000 gallons. This consisted of 5,000 gallons of E-85 gasoline, 80,000 gallons of E-10 (10% ethanol blended gasoline) and 15,000 gallons not containing ethanol. The average ethanol content of E-85 gasoline is assumed to be 79%. The taxpayer also sold at this site during 2009 15,000 gallons of diesel fuel, of which 5,000 gallons was B-2 (2% biodiesel). The ethanol gallonage is 11,950 (5,000 E-85 gallons times 79% equals 3,950; 80,000 E-10 gallons times 10% equals 8,000; and thus 3,950 plus 8,000 equals 11,950). The biodiesel gallonage sold is 100, or 5,000 times 2%. The sum of 11,950 and 100, or 12,050, is divided by the total gasoline gallonage of 100,000 to arrive at a biofuel distribution percentage of 12.05%. Since this percentage exceeds the biofuel threshold percentage of 6% for a retail dealer selling 200,000 gallons or less, the biofuel threshold disparity percentage is 0%. This calculation results in an ethanol promotion tax credit of 6.5 cents times 11,950, or $776.75.</w:t>
      </w:r>
    </w:p>
    <w:p>
      <w:pPr>
        <w:spacing w:before="0" w:after="0"/>
        <w:ind w:left="120"/>
        <w:jc w:val="both"/>
      </w:pPr>
      <w:r>
        <w:rPr>
          <w:rFonts w:ascii="Times New Roman" w:hAnsi="Times New Roman"/>
          <w:b w:val="false"/>
          <w:i w:val="false"/>
          <w:color w:val="000000"/>
          <w:sz w:val="22"/>
        </w:rPr>
        <w:t>In addition, the taxpayer is entitled to claim the E-85 gasoline promotion tax credit equal to 20 cents multiplied by 5,000 gallons, or $1,000.</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that is a retail dealer of gasoline operates only one motor fuel site in Iowa. The number of gallons of gasoline sold at this site in 2010 equals 300,000 gallons which consisted of 10,000 gallons of E-85 gasoline, 230,000 gallons of E-10 (10% ethanol blended gasoline) and 60,000 gallons not containing ethanol. The average ethanol content of E-85 gasoline is assumed to be 79%. The taxpayer also sold 60,000 gallons of diesel fuel at this site during 2010, of which 25,000 gallons was B-2 (2% biodiesel). The ethanol gallonage is 30,900 (10,000 E-85 gallons times 79% equals 7,900; 230,000 E-10 gallons times 10% equals 23,000; and thus 7,900 plus 23,000 equals 30,900). The biodiesel gallonage sold is 500, or 25,000 times 2%. The sum of 30,900 and 500, or 31,400, is divided by the total gasoline gallonage of 300,000 to arrive at a biofuel distribution percentage of 10.47%. Since this is less than the biofuel threshold percentage of 11% for a retail dealer selling more than 200,000 gallons, the biofuel threshold disparity percentage is .53%. This calculation results in an ethanol promotion tax credit of 4.5 cents times 30,900, or $1,390.50.</w:t>
      </w:r>
    </w:p>
    <w:p>
      <w:pPr>
        <w:spacing w:before="0" w:after="0"/>
        <w:ind w:left="120"/>
        <w:jc w:val="both"/>
      </w:pPr>
      <w:r>
        <w:rPr>
          <w:rFonts w:ascii="Times New Roman" w:hAnsi="Times New Roman"/>
          <w:b w:val="false"/>
          <w:i w:val="false"/>
          <w:color w:val="000000"/>
          <w:sz w:val="22"/>
        </w:rPr>
        <w:t>In addition, the taxpayer is entitled to claim the E-85 gasoline promotion tax credit equal to 20 cents multiplied by 10,000 gallons, or $2,000.</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A taxpayer that is a retail dealer of gasoline operates three motor fuel sites in Iowa during 2009, and each site sold 80,000 gallons of gasoline. Sites A and B each sold 70,000 gallons of E-10 (10% ethanol blended gasoline) and 10,000 gallons not containing ethanol. Site C sold 60,000 gallons of E-10, 10,000 gallons of E-85, and 10,000 gallons not containing ethanol. The average ethanol content of E-85 gasoline is assumed to be 79%. The retail dealer did not sell any diesel fuel at any of the motor fuel sites. The ethanol gallonage is 27,900, as shown below:</w:t>
      </w:r>
    </w:p>
    <w:tbl>
      <w:tblPr>
        <w:tblW w:w="5000" w:type="pct"/>
        <w:tblCellSpacing w:w="0" w:type="auto"/>
        <w:tblBorders>
          <w:top w:val="none"/>
          <w:left w:val="none"/>
          <w:bottom w:val="none"/>
          <w:right w:val="none"/>
          <w:insideH w:val="none"/>
          <w:insideV w:val="none"/>
        </w:tblBorders>
        <w:tblLayout w:type="fixed"/>
      </w:tblPr>
      <w:tblGrid>
        <w:gridCol w:w="1475"/>
        <w:gridCol w:w="5640"/>
        <w:gridCol w:w="2433"/>
        <w:gridCol w:w="1972"/>
      </w:tblGrid>
      <w:tr>
        <w:trPr>
          <w:trHeight w:val="210" w:hRule="atLeast"/>
        </w:trPr>
        <w:tc>
          <w:tcPr>
            <w:tcW w:w="1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A – 70,000 times 10% equals</w:t>
            </w:r>
          </w:p>
        </w:tc>
        <w:tc>
          <w:tcPr>
            <w:tcW w:w="243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7,000</w:t>
            </w:r>
          </w:p>
        </w:tc>
        <w:tc>
          <w:tcPr>
            <w:tcW w:w="19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B – 70,000 times 10% equals</w:t>
            </w:r>
          </w:p>
        </w:tc>
        <w:tc>
          <w:tcPr>
            <w:tcW w:w="243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7,000</w:t>
            </w:r>
          </w:p>
        </w:tc>
        <w:tc>
          <w:tcPr>
            <w:tcW w:w="197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10" w:hRule="atLeast"/>
        </w:trPr>
        <w:tc>
          <w:tcPr>
            <w:tcW w:w="1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C – 60,000 times 10% equals</w:t>
            </w:r>
          </w:p>
        </w:tc>
        <w:tc>
          <w:tcPr>
            <w:tcW w:w="243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6,000</w:t>
            </w:r>
          </w:p>
        </w:tc>
        <w:tc>
          <w:tcPr>
            <w:tcW w:w="197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C – 10,000 times 79% equals</w:t>
            </w:r>
          </w:p>
        </w:tc>
        <w:tc>
          <w:tcPr>
            <w:tcW w:w="243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7,900</w:t>
            </w:r>
          </w:p>
        </w:tc>
        <w:tc>
          <w:tcPr>
            <w:tcW w:w="197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330" w:hRule="atLeast"/>
        </w:trPr>
        <w:tc>
          <w:tcPr>
            <w:tcW w:w="1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243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27,900</w:t>
            </w:r>
          </w:p>
        </w:tc>
        <w:tc>
          <w:tcPr>
            <w:tcW w:w="197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The ethanol gallonage of 27,900 is divided by the gasoline gallonage of 240,000 to arrive at a biofuel distribution percentage of 11.63%. Since this exceeds the biofuel threshold percentage of 10% for a retail dealer selling more than 200,000 gallons, the biofuel threshold disparity percentage is 0%. The credit is computed separately for each motor fuel site, and the ethanol promotion credit equals $1,813.50, as shown below:</w:t>
      </w:r>
    </w:p>
    <w:tbl>
      <w:tblPr>
        <w:tblW w:w="5000" w:type="pct"/>
        <w:tblCellSpacing w:w="0" w:type="auto"/>
        <w:tblBorders>
          <w:top w:val="none"/>
          <w:left w:val="none"/>
          <w:bottom w:val="none"/>
          <w:right w:val="none"/>
          <w:insideH w:val="none"/>
          <w:insideV w:val="none"/>
        </w:tblBorders>
        <w:tblLayout w:type="fixed"/>
      </w:tblPr>
      <w:tblGrid>
        <w:gridCol w:w="1497"/>
        <w:gridCol w:w="5688"/>
        <w:gridCol w:w="2456"/>
        <w:gridCol w:w="1879"/>
      </w:tblGrid>
      <w:tr>
        <w:trPr>
          <w:trHeight w:val="210" w:hRule="atLeast"/>
        </w:trPr>
        <w:tc>
          <w:tcPr>
            <w:tcW w:w="1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A – 7,000 times 6.5 cents equals</w:t>
            </w:r>
          </w:p>
        </w:tc>
        <w:tc>
          <w:tcPr>
            <w:tcW w:w="24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$455.00</w:t>
            </w:r>
          </w:p>
        </w:tc>
        <w:tc>
          <w:tcPr>
            <w:tcW w:w="18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10" w:hRule="atLeast"/>
        </w:trPr>
        <w:tc>
          <w:tcPr>
            <w:tcW w:w="1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B – 7,000 times 6.5 cents equals</w:t>
            </w:r>
          </w:p>
        </w:tc>
        <w:tc>
          <w:tcPr>
            <w:tcW w:w="24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$455.00</w:t>
            </w:r>
          </w:p>
        </w:tc>
        <w:tc>
          <w:tcPr>
            <w:tcW w:w="18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C – 13,900 times 6.5 cents equals</w:t>
            </w:r>
          </w:p>
        </w:tc>
        <w:tc>
          <w:tcPr>
            <w:tcW w:w="2456"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$903.50</w:t>
            </w:r>
          </w:p>
        </w:tc>
        <w:tc>
          <w:tcPr>
            <w:tcW w:w="18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24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$1,813.50</w:t>
            </w:r>
          </w:p>
        </w:tc>
        <w:tc>
          <w:tcPr>
            <w:tcW w:w="18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Since the biofuel distribution percentage and the biofuel threshold percentage disparity are computed on a statewide basis for all gallons sold in Iowa, the 6.5 cent tax credit rate is applied to the total ethanol gallonage, even if Sites A and B did not meet the biofuel threshold percentage of 10% for 2009.</w:t>
      </w:r>
    </w:p>
    <w:p>
      <w:pPr>
        <w:spacing w:before="0" w:after="0"/>
        <w:ind w:left="120"/>
        <w:jc w:val="both"/>
      </w:pPr>
      <w:r>
        <w:rPr>
          <w:rFonts w:ascii="Times New Roman" w:hAnsi="Times New Roman"/>
          <w:b w:val="false"/>
          <w:i w:val="false"/>
          <w:color w:val="000000"/>
          <w:sz w:val="22"/>
        </w:rPr>
        <w:t>In addition, the taxpayer is entitled to claim the E-85 gasoline promotion tax credit equal to 20 cents multiplied by 10,000 gallons, or $2,000.</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A taxpayer that is a retail dealer of gasoline has a fiscal year ending March 31, 2011, and operates one motor fuel site in Iowa. The taxpayer sold more than 200,000 gallons of gasoline during the 2010 calendar year and expects to sell more than 200,000 gallons of gasoline during the 2011 calendar year. The ethanol gallonage is 30,000 for the period from April 1, 2010, through December 31, 2010, and the ethanol gallonage is 8,000 for the period from January 1, 2011, through March 31, 2011. The biofuel distribution percentage is 11.5% for the period from April 1, 2010, through December 31, 2010, and the biofuel distribution percentage is 11.8% for the period from January 1, 2011, through March 31, 2011. This results in a biofuel threshold percentage disparity of 0% (11.0 minus 11.5) for the period from April 1, 2010, through December 31, 2010, and a biofuel threshold percentage disparity of .2% (12.0 minus 11.8) for the period from January 1, 2011, through March 31, 2011. The taxpayer is entitled to an ethanol promotion tax credit of $2,310 for the fiscal year ending March 31, 2011, as shown below:</w:t>
      </w:r>
    </w:p>
    <w:tbl>
      <w:tblPr>
        <w:tblW w:w="5000" w:type="pct"/>
        <w:tblCellSpacing w:w="0" w:type="auto"/>
        <w:tblBorders>
          <w:top w:val="none"/>
          <w:left w:val="none"/>
          <w:bottom w:val="none"/>
          <w:right w:val="none"/>
          <w:insideH w:val="none"/>
          <w:insideV w:val="none"/>
        </w:tblBorders>
        <w:tblLayout w:type="fixed"/>
      </w:tblPr>
      <w:tblGrid>
        <w:gridCol w:w="1584"/>
        <w:gridCol w:w="5658"/>
        <w:gridCol w:w="2543"/>
        <w:gridCol w:w="1735"/>
      </w:tblGrid>
      <w:tr>
        <w:trPr>
          <w:trHeight w:val="210" w:hRule="atLeast"/>
        </w:trPr>
        <w:tc>
          <w:tcPr>
            <w:tcW w:w="158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56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30,000 times 6.5 cents equals</w:t>
            </w:r>
          </w:p>
        </w:tc>
        <w:tc>
          <w:tcPr>
            <w:tcW w:w="254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$1,950</w:t>
            </w:r>
          </w:p>
        </w:tc>
        <w:tc>
          <w:tcPr>
            <w:tcW w:w="17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58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56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8,000 times 4.5 cents equals</w:t>
            </w:r>
          </w:p>
        </w:tc>
        <w:tc>
          <w:tcPr>
            <w:tcW w:w="254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360</w:t>
            </w:r>
          </w:p>
        </w:tc>
        <w:tc>
          <w:tcPr>
            <w:tcW w:w="17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58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56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Total </w:t>
            </w:r>
          </w:p>
        </w:tc>
        <w:tc>
          <w:tcPr>
            <w:tcW w:w="254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$2,310</w:t>
            </w:r>
          </w:p>
        </w:tc>
        <w:tc>
          <w:tcPr>
            <w:tcW w:w="17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EXAMPLE 5. </w:t>
      </w:r>
      <w:r>
        <w:rPr>
          <w:rFonts w:ascii="Times New Roman" w:hAnsi="Times New Roman"/>
          <w:b w:val="false"/>
          <w:i w:val="false"/>
          <w:color w:val="000000"/>
          <w:sz w:val="22"/>
        </w:rPr>
        <w:t>A taxpayer that is a retail dealer of gasoline has a fiscal year ending April 30, 2009, and operates one motor fuel site in Iowa. The taxpayer expects to sell more than 200,000 gallons of gasoline during the 2009 calendar year. The ethanol gallonage is 50,000 gallons for the period from January 1, 2009, through April 30, 2009. The biofuel distribution percentage is 7.7% for the period from January 1, 2009, through April 30, 2009, which results in a biofuel threshold percentage disparity of 2.3% (10.0 minus 7.7). The taxpayer is entitled to claim an ethanol promotion tax credit of $1,250 (50,000 gallons times 2.5 cents) on the taxpayer’s Iowa income tax return for the period ending April 30, 2009.</w:t>
      </w:r>
    </w:p>
    <w:p>
      <w:pPr>
        <w:spacing w:before="0" w:after="0"/>
        <w:ind w:left="120"/>
        <w:jc w:val="both"/>
      </w:pPr>
      <w:r>
        <w:rPr>
          <w:rFonts w:ascii="Times New Roman" w:hAnsi="Times New Roman"/>
          <w:b w:val="false"/>
          <w:i w:val="false"/>
          <w:color w:val="000000"/>
          <w:sz w:val="22"/>
        </w:rPr>
        <w:t>In lieu of claiming the credit on the return for the period ending April 30, 2009, the taxpayer may claim the ethanol promotion tax credit on the tax return for the period ending April 30, 2010, including the ethanol gallonage for the period from January 1, 2009, through April 30, 2010. In this case, the taxpayer will compute the biofuel distribution percentage for the period from January 1, 2009, through December 31, 2009, to determine the proper tax credit rate to be applied to the ethanol gallonage for the period from January 1, 2009, through December 31, 2009.</w:t>
      </w:r>
    </w:p>
    <w:p>
      <w:pPr>
        <w:spacing w:before="0" w:after="0"/>
        <w:ind w:left="120"/>
        <w:jc w:val="both"/>
      </w:pPr>
      <w:r>
        <w:rPr>
          <w:rFonts w:ascii="Times New Roman" w:hAnsi="Times New Roman"/>
          <w:b w:val="false"/>
          <w:i w:val="false"/>
          <w:color w:val="000000"/>
          <w:sz w:val="22"/>
        </w:rPr>
        <w:t xml:space="preserve">EXAMPLE 6. </w:t>
      </w:r>
      <w:r>
        <w:rPr>
          <w:rFonts w:ascii="Times New Roman" w:hAnsi="Times New Roman"/>
          <w:b w:val="false"/>
          <w:i w:val="false"/>
          <w:color w:val="000000"/>
          <w:sz w:val="22"/>
        </w:rPr>
        <w:t>Assume the same facts as Example 3, except that the gallons were sold in 2011. The taxpayer chose the companywide method to compute the biofuel threshold percentage disparity and the tax credit. The biofuel distribution percentage is 11.63%, and since the biofuel threshold percentage is 12% for retailers selling more than 200,000 gallons of motor fuel, the biofuel threshold percentage disparity is 0.37%. This results in an ethanol promotion tax credit on a companywide basis of 6 cents multiplied by the ethanol gallonage of 27,900 or $1,674.</w:t>
      </w:r>
    </w:p>
    <w:p>
      <w:pPr>
        <w:spacing w:before="0" w:after="0"/>
        <w:ind w:left="120"/>
        <w:jc w:val="both"/>
      </w:pPr>
      <w:r>
        <w:rPr>
          <w:rFonts w:ascii="Times New Roman" w:hAnsi="Times New Roman"/>
          <w:b w:val="false"/>
          <w:i w:val="false"/>
          <w:color w:val="000000"/>
          <w:sz w:val="22"/>
        </w:rPr>
        <w:t xml:space="preserve">EXAMPLE 7. </w:t>
      </w:r>
      <w:r>
        <w:rPr>
          <w:rFonts w:ascii="Times New Roman" w:hAnsi="Times New Roman"/>
          <w:b w:val="false"/>
          <w:i w:val="false"/>
          <w:color w:val="000000"/>
          <w:sz w:val="22"/>
        </w:rPr>
        <w:t>Assume the same facts as Example 3, except that the gallons were sold in 2011. The taxpayer chose the site-by-site method to compute the biofuel threshold percentage disparity and the tax credit. The biofuel threshold percentage is still 12% since the retailer sold more than 200,000 gallons of motor fuel at all sites in Iowa. The biofuel distribution percentage for Site A and Site B is 7,000 divided by 80,000, or 8.75%. The biofuel threshold percentage disparity for Site A and Site B is 3.25%, or 12% less than 8.75%. The biofuel distribution percentage for Site C is 13,900 divided by 80,000, or 17.38%. The biofuel threshold percentage disparity for Site C is 0% since the biofuel distribution percentage exceeds the biofuel threshold percentage. This results in an ethanol promotion tax credit on a site-by-site basis of $1,462, as shown below:</w:t>
      </w:r>
    </w:p>
    <w:tbl>
      <w:tblPr>
        <w:tblW w:w="5000" w:type="pct"/>
        <w:tblCellSpacing w:w="0" w:type="auto"/>
        <w:tblBorders>
          <w:top w:val="none"/>
          <w:left w:val="none"/>
          <w:bottom w:val="none"/>
          <w:right w:val="none"/>
          <w:insideH w:val="none"/>
          <w:insideV w:val="none"/>
        </w:tblBorders>
        <w:tblLayout w:type="fixed"/>
      </w:tblPr>
      <w:tblGrid>
        <w:gridCol w:w="1497"/>
        <w:gridCol w:w="5688"/>
        <w:gridCol w:w="2456"/>
        <w:gridCol w:w="1879"/>
      </w:tblGrid>
      <w:tr>
        <w:trPr>
          <w:trHeight w:val="210" w:hRule="atLeast"/>
        </w:trPr>
        <w:tc>
          <w:tcPr>
            <w:tcW w:w="1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A – 7,000 times 2.5 cents equals</w:t>
            </w:r>
          </w:p>
        </w:tc>
        <w:tc>
          <w:tcPr>
            <w:tcW w:w="24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$175</w:t>
            </w:r>
          </w:p>
        </w:tc>
        <w:tc>
          <w:tcPr>
            <w:tcW w:w="18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10" w:hRule="atLeast"/>
        </w:trPr>
        <w:tc>
          <w:tcPr>
            <w:tcW w:w="1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B – 7,000 times 2.5 cents equals</w:t>
            </w:r>
          </w:p>
        </w:tc>
        <w:tc>
          <w:tcPr>
            <w:tcW w:w="24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$175</w:t>
            </w:r>
          </w:p>
        </w:tc>
        <w:tc>
          <w:tcPr>
            <w:tcW w:w="18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C – 13,900 times 8 cents equals</w:t>
            </w:r>
          </w:p>
        </w:tc>
        <w:tc>
          <w:tcPr>
            <w:tcW w:w="2456"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$1,112</w:t>
            </w:r>
          </w:p>
        </w:tc>
        <w:tc>
          <w:tcPr>
            <w:tcW w:w="18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24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$1,462</w:t>
            </w:r>
          </w:p>
        </w:tc>
        <w:tc>
          <w:tcPr>
            <w:tcW w:w="18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5">
        <w:r>
          <w:rPr>
            <w:rStyle w:val="Hyperlink"/>
            <w:rFonts w:ascii="Times New Roman" w:hAnsi="Times New Roman"/>
            <w:b w:val="false"/>
            <w:i w:val="false"/>
            <w:color w:val="000000"/>
            <w:sz w:val="22"/>
          </w:rPr>
          <w:t>422.11N</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2011 Iowa Acts, Senate File 531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701—304.40</w:t>
      </w:r>
      <w:r>
        <w:rPr>
          <w:rFonts w:ascii="Times New Roman" w:hAnsi="Times New Roman"/>
          <w:b/>
          <w:i w:val="false"/>
          <w:color w:val="000000"/>
          <w:sz w:val="22"/>
        </w:rPr>
        <w:t xml:space="preserve">(422) </w:t>
      </w:r>
      <w:r>
        <w:rPr>
          <w:rFonts w:ascii="Times New Roman" w:hAnsi="Times New Roman"/>
          <w:b/>
          <w:i w:val="false"/>
          <w:color w:val="000000"/>
          <w:sz w:val="22"/>
        </w:rPr>
        <w:t xml:space="preserve">Charitable conservation contribution tax credit. </w:t>
      </w:r>
      <w:r>
        <w:rPr>
          <w:rFonts w:ascii="Times New Roman" w:hAnsi="Times New Roman"/>
          <w:b w:val="false"/>
          <w:i w:val="false"/>
          <w:color w:val="000000"/>
          <w:sz w:val="22"/>
        </w:rPr>
        <w:t>Effective for tax years beginning on or after January 1, 2008, a charitable conservation contribution tax credit is available for individual income tax which is equal to 50 percent of the fair market value of a qualified real property interest located in Iowa that is conveyed as an unconditional charitable donation in perpetuity by a taxpayer to a qualified organization exclusively for conservation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“Conservation purpose”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Section 170(h)(4) of the Internal Revenue Code</w:t>
      </w:r>
      <w:r>
        <w:rPr>
          <w:rFonts w:ascii="Times New Roman" w:hAnsi="Times New Roman"/>
          <w:b w:val="false"/>
          <w:i w:val="false"/>
          <w:color w:val="000000"/>
          <w:sz w:val="22"/>
        </w:rPr>
        <w:t>, with the exception that a conveyance of land for open space for the purpose of fulfilling density requirements to obtain subdivision or building permits is not considered a conveyance for a conservation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organization”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Section 170(h)(3) of the 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real property interest”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Section 170(h)(2) of the Internal Revenue Code</w:t>
      </w:r>
      <w:r>
        <w:rPr>
          <w:rFonts w:ascii="Times New Roman" w:hAnsi="Times New Roman"/>
          <w:b w:val="false"/>
          <w:i w:val="false"/>
          <w:color w:val="000000"/>
          <w:sz w:val="22"/>
        </w:rPr>
        <w:t>. Conservation easements and bargain sales are examples of a qualified real property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304.40(2)</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credit. </w:t>
      </w:r>
      <w:r>
        <w:rPr>
          <w:rFonts w:ascii="Times New Roman" w:hAnsi="Times New Roman"/>
          <w:b w:val="false"/>
          <w:i w:val="false"/>
          <w:color w:val="000000"/>
          <w:sz w:val="22"/>
        </w:rPr>
        <w:t>The credit equals 50 percent of the fair market value of the qualified real property interest. There are numerous federal revenue regulations, rulings, court cases and other provisions relating to the determination of the value of a qualified real property interest, and these are equally applicable in determining the amount of the charitable conservation contribution tax credit.</w:t>
      </w:r>
    </w:p>
    <w:p>
      <w:pPr>
        <w:spacing w:before="0" w:after="0"/>
        <w:ind w:left="120"/>
        <w:jc w:val="both"/>
      </w:pPr>
      <w:r>
        <w:rPr>
          <w:rFonts w:ascii="Times New Roman" w:hAnsi="Times New Roman"/>
          <w:b w:val="false"/>
          <w:i w:val="false"/>
          <w:color w:val="000000"/>
          <w:sz w:val="22"/>
        </w:rPr>
        <w:t>The maximum amount of the tax credit is $100,000. The amount of the contribution for which the tax credit is claimed shall not be claimed as an itemized deduction for charitable contributions for Iowa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304.40(3)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The tax credit is claimed on Form IA 148, Tax Credits Schedule. The taxpayer must include a copy of federal Form 8283, Noncash Charitable Contributions, which reflects the calculation of the fair market value of the real property interest, with the Iowa return for the year in which the contribution is made. If a qualified appraisal of the property or other relevant information is required to be included with federal Form 8283 for federal tax purposes, the appraisal and other relevant information must also be included with the Iowa return.</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20 years or until used, whichever is the earlier.</w:t>
      </w:r>
    </w:p>
    <w:p>
      <w:pPr>
        <w:spacing w:before="0" w:after="0"/>
        <w:ind w:left="120"/>
        <w:jc w:val="both"/>
      </w:pPr>
      <w:r>
        <w:rPr>
          <w:rFonts w:ascii="Times New Roman" w:hAnsi="Times New Roman"/>
          <w:b w:val="false"/>
          <w:i w:val="false"/>
          <w:color w:val="000000"/>
          <w:sz w:val="22"/>
        </w:rPr>
        <w:t>If the taxpayer claiming the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304.40(4)</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noninclusive examples illustrate how this 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conveys a real property interest with a fair market value of $150,000 to a qualified organization during 2008. The tax credit is equal to $75,000, or 50 percent of the $150,000 fair market value of the real property. The taxpayer cannot claim the $150,000 as an itemized deduction for charitable contributions on the Iowa individual income tax return for 2008.</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conveys a real property interest with a fair market value of $500,000 to a qualified organization during 2009. The tax credit is limited to $100,000, which equates to $200,000 of the contribution being eligible for the tax credit. The remaining amount of $300,000 ($500,000 less $200,000) can be claimed as an itemized deduction for charitable contributions on the Iowa individual income tax return for 2009.</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6">
        <w:r>
          <w:rPr>
            <w:rStyle w:val="Hyperlink"/>
            <w:rFonts w:ascii="Times New Roman" w:hAnsi="Times New Roman"/>
            <w:b w:val="false"/>
            <w:i w:val="false"/>
            <w:color w:val="000000"/>
            <w:sz w:val="22"/>
          </w:rPr>
          <w:t>422.11W</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701—304.41</w:t>
      </w:r>
      <w:r>
        <w:rPr>
          <w:rFonts w:ascii="Times New Roman" w:hAnsi="Times New Roman"/>
          <w:b/>
          <w:i w:val="false"/>
          <w:color w:val="000000"/>
          <w:sz w:val="22"/>
        </w:rPr>
        <w:t xml:space="preserve">(15,422) </w:t>
      </w:r>
      <w:r>
        <w:rPr>
          <w:rFonts w:ascii="Times New Roman" w:hAnsi="Times New Roman"/>
          <w:b/>
          <w:i w:val="false"/>
          <w:color w:val="000000"/>
          <w:sz w:val="22"/>
        </w:rPr>
        <w:t xml:space="preserve">Redevelopment tax credit. </w:t>
      </w:r>
      <w:r>
        <w:rPr>
          <w:rFonts w:ascii="Times New Roman" w:hAnsi="Times New Roman"/>
          <w:b w:val="false"/>
          <w:i w:val="false"/>
          <w:color w:val="000000"/>
          <w:sz w:val="22"/>
        </w:rPr>
        <w:t xml:space="preserve">The economic development authority is authorized by the general assembly and the governor to oversee the implementation and administration of the redevelopment tax credit program. Effective for tax years beginning on or after July 1, 2009, a taxpayer whose project has been approved by the Iowa brownfield redevelopment advisory council and the economic development authority may claim a redevelopment tax credit once the taxpayer has been issued a tax credit certificate for the project by the economic development authority. The credit is based on the taxpayer’s qualifying investment in a brownfield or grayfield site. The administrative rules for the economic development authority’s administration of this program, including definitions of brownfield and grayfield sites, may be found in rules </w:t>
      </w:r>
      <w:hyperlink r:id="rId287">
        <w:r>
          <w:rPr>
            <w:rStyle w:val="Hyperlink"/>
            <w:rFonts w:ascii="Times New Roman" w:hAnsi="Times New Roman"/>
            <w:b w:val="false"/>
            <w:i w:val="false"/>
            <w:color w:val="000000"/>
            <w:sz w:val="22"/>
          </w:rPr>
          <w:t>261—65.11</w:t>
        </w:r>
      </w:hyperlink>
      <w:r>
        <w:rPr>
          <w:rFonts w:ascii="Times New Roman" w:hAnsi="Times New Roman"/>
          <w:b w:val="false"/>
          <w:i w:val="false"/>
          <w:color w:val="000000"/>
          <w:sz w:val="22"/>
        </w:rPr>
        <w:t xml:space="preserve">(15) and </w:t>
      </w:r>
      <w:hyperlink r:id="rId288">
        <w:r>
          <w:rPr>
            <w:rStyle w:val="Hyperlink"/>
            <w:rFonts w:ascii="Times New Roman" w:hAnsi="Times New Roman"/>
            <w:b w:val="false"/>
            <w:i w:val="false"/>
            <w:color w:val="000000"/>
            <w:sz w:val="22"/>
          </w:rPr>
          <w:t>261—65.12</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304.41(1)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the credit. </w:t>
      </w:r>
      <w:r>
        <w:rPr>
          <w:rFonts w:ascii="Times New Roman" w:hAnsi="Times New Roman"/>
          <w:b w:val="false"/>
          <w:i w:val="false"/>
          <w:color w:val="000000"/>
          <w:sz w:val="22"/>
        </w:rPr>
        <w:t xml:space="preserve">The economic development authority is responsible for developing a system for registration and authorization of projects receiving redevelopment tax credits. For more information, see Iowa Administrative Code </w:t>
      </w:r>
      <w:hyperlink r:id="rId289">
        <w:r>
          <w:rPr>
            <w:rStyle w:val="Hyperlink"/>
            <w:rFonts w:ascii="Times New Roman" w:hAnsi="Times New Roman"/>
            <w:b w:val="false"/>
            <w:i w:val="false"/>
            <w:color w:val="000000"/>
            <w:sz w:val="22"/>
          </w:rPr>
          <w:t>261—Chapter 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304.41(2)</w:t>
      </w:r>
      <w:r>
        <w:rPr>
          <w:rFonts w:ascii="Times New Roman" w:hAnsi="Times New Roman"/>
          <w:b w:val="false"/>
          <w:i w:val="false"/>
          <w:color w:val="000000"/>
          <w:sz w:val="22"/>
        </w:rPr>
        <w:t> </w:t>
      </w:r>
      <w:r>
        <w:rPr>
          <w:rFonts w:ascii="Times New Roman" w:hAnsi="Times New Roman"/>
          <w:b w:val="false"/>
          <w:i/>
          <w:color w:val="000000"/>
          <w:sz w:val="22"/>
        </w:rPr>
        <w:t xml:space="preserve">Amount of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Maximum credit total. </w:t>
      </w:r>
      <w:r>
        <w:rPr>
          <w:rFonts w:ascii="Times New Roman" w:hAnsi="Times New Roman"/>
          <w:b w:val="false"/>
          <w:i w:val="false"/>
          <w:color w:val="000000"/>
          <w:sz w:val="22"/>
        </w:rPr>
        <w:t xml:space="preserve">For the fiscal year beginning July 1, 2009, the maximum amount of tax credits allowed is $1 million, and the amount of credit authorized for any one redevelopment project cannot exceed $100,000. For the fiscal year beginning July 1, 2011, the maximum amount of tax credit allowed cannot exceed $5 million, and the amount of credit authorized for any one redevelopment project cannot exceed $500,000. For the fiscal year beginning July 1, 2012, the maximum amount of tax credits allowed cannot exceed $10 million, and the amount of credit authorized for any one redevelopment project cannot exceed $1 million. For the fiscal year beginning July 1, 2013, and for each subsequent fiscal year, the maximum amount of tax credits issued by the authority shall be an amount determined by the economic development authority board but not in excess of the amount established pursuant to Iowa Code section </w:t>
      </w:r>
      <w:hyperlink r:id="rId290">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Maximum credit per project. </w:t>
      </w:r>
      <w:r>
        <w:rPr>
          <w:rFonts w:ascii="Times New Roman" w:hAnsi="Times New Roman"/>
          <w:b w:val="false"/>
          <w:i w:val="false"/>
          <w:color w:val="000000"/>
          <w:sz w:val="22"/>
        </w:rPr>
        <w:t xml:space="preserve">The maximum amount of a tax credit for a qualifying investment in any one qualifying redevelopment project shall not exceed 10 percent of the maximum amount of tax credits available in any one fiscal year pursuant to paragraph </w:t>
      </w:r>
      <w:hyperlink r:id="rId291">
        <w:r>
          <w:rPr>
            <w:rStyle w:val="Hyperlink"/>
            <w:rFonts w:ascii="Times New Roman" w:hAnsi="Times New Roman"/>
            <w:b w:val="false"/>
            <w:i w:val="false"/>
            <w:color w:val="000000"/>
            <w:sz w:val="22"/>
          </w:rPr>
          <w:t>304.41(2)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Percentage computation. </w:t>
      </w:r>
      <w:r>
        <w:rPr>
          <w:rFonts w:ascii="Times New Roman" w:hAnsi="Times New Roman"/>
          <w:b w:val="false"/>
          <w:i w:val="false"/>
          <w:color w:val="000000"/>
          <w:sz w:val="22"/>
        </w:rPr>
        <w:t>The amount of the tax credit shall equal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Twelve percent of the taxpayer’s qualifying investment in a grayfield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Fifteen percent of the taxpayer’s qualifying investment in a grayfield site if the qualifying redevelopment project meets the requirements of green development as defined in rule </w:t>
      </w:r>
      <w:hyperlink r:id="rId292">
        <w:r>
          <w:rPr>
            <w:rStyle w:val="Hyperlink"/>
            <w:rFonts w:ascii="Times New Roman" w:hAnsi="Times New Roman"/>
            <w:b w:val="false"/>
            <w:i w:val="false"/>
            <w:color w:val="000000"/>
            <w:sz w:val="22"/>
          </w:rPr>
          <w:t>261—65.2(15)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Twenty-four percent of the taxpayer’s qualifying investment in a brownfield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Thirty percent of the taxpayer’s qualifying investment in a brownfield site if the qualifying redevelopment project meets the requirements of green development as defined in rule </w:t>
      </w:r>
      <w:hyperlink r:id="rId293">
        <w:r>
          <w:rPr>
            <w:rStyle w:val="Hyperlink"/>
            <w:rFonts w:ascii="Times New Roman" w:hAnsi="Times New Roman"/>
            <w:b w:val="false"/>
            <w:i w:val="false"/>
            <w:color w:val="000000"/>
            <w:sz w:val="22"/>
          </w:rPr>
          <w:t>261—65.2</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304.41(3)</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Certificate issuance. </w:t>
      </w:r>
      <w:r>
        <w:rPr>
          <w:rFonts w:ascii="Times New Roman" w:hAnsi="Times New Roman"/>
          <w:b w:val="false"/>
          <w:i w:val="false"/>
          <w:color w:val="000000"/>
          <w:sz w:val="22"/>
        </w:rPr>
        <w:t xml:space="preserve">Upon completion of the project, the economic development authority will issue a tax credit certificate to the taxpayer. The tax credit certificate will include the taxpayer’s name, address and federal identification number, the tax type for which the credit will be claimed, the amount of the credit, the tax year for which the credit may be claimed and the tax credit certificate number. In addition, the tax credit certificate will include a place for the name and tax identification number of a transferee and the amount of the tax credit being transferred, as provided in subrule </w:t>
      </w:r>
      <w:hyperlink r:id="rId294">
        <w:r>
          <w:rPr>
            <w:rStyle w:val="Hyperlink"/>
            <w:rFonts w:ascii="Times New Roman" w:hAnsi="Times New Roman"/>
            <w:b w:val="false"/>
            <w:i w:val="false"/>
            <w:color w:val="000000"/>
            <w:sz w:val="22"/>
          </w:rPr>
          <w:t>304.41(4)</w:t>
        </w:r>
      </w:hyperlink>
      <w:r>
        <w:rPr>
          <w:rFonts w:ascii="Times New Roman" w:hAnsi="Times New Roman"/>
          <w:b w:val="false"/>
          <w:i w:val="false"/>
          <w:color w:val="000000"/>
          <w:sz w:val="22"/>
        </w:rPr>
        <w:t>. To claim the tax credit, the taxpayer must include the tax credit certificate with the tax return for the tax period set forth on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 rata share. </w:t>
      </w:r>
      <w:r>
        <w:rPr>
          <w:rFonts w:ascii="Times New Roman" w:hAnsi="Times New Roman"/>
          <w:b w:val="false"/>
          <w:i w:val="false"/>
          <w:color w:val="000000"/>
          <w:sz w:val="22"/>
        </w:rPr>
        <w:t>If a taxpayer claiming the tax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 xml:space="preserve">Except as provided in paragraph </w:t>
      </w:r>
      <w:hyperlink r:id="rId295">
        <w:r>
          <w:rPr>
            <w:rStyle w:val="Hyperlink"/>
            <w:rFonts w:ascii="Times New Roman" w:hAnsi="Times New Roman"/>
            <w:b w:val="false"/>
            <w:i w:val="false"/>
            <w:color w:val="000000"/>
            <w:sz w:val="22"/>
          </w:rPr>
          <w:t>304.41(3)</w:t>
        </w:r>
      </w:hyperlink>
      <w:r>
        <w:rPr>
          <w:rFonts w:ascii="Times New Roman" w:hAnsi="Times New Roman"/>
          <w:b w:val="false"/>
          <w:i/>
          <w:color w:val="000000"/>
          <w:sz w:val="22"/>
        </w:rPr>
        <w:t>“d,”</w:t>
      </w:r>
      <w:r>
        <w:rPr>
          <w:rFonts w:ascii="Times New Roman" w:hAnsi="Times New Roman"/>
          <w:b w:val="false"/>
          <w:i w:val="false"/>
          <w:color w:val="000000"/>
          <w:sz w:val="22"/>
        </w:rPr>
        <w:t xml:space="preserve"> any credit in excess of the tax liability for the tax year may be credited to the tax liability for the following five years or until used, whichever is the earlier. The tax credit shall not be carried back to a tax year prior to the year in which the taxpayer redeems the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 xml:space="preserve">A tax credit in excess of the taxpayer’s liability for the tax year is refundable if all of the conditions of economic development authority </w:t>
      </w:r>
      <w:hyperlink r:id="rId296">
        <w:r>
          <w:rPr>
            <w:rStyle w:val="Hyperlink"/>
            <w:rFonts w:ascii="Times New Roman" w:hAnsi="Times New Roman"/>
            <w:b w:val="false"/>
            <w:i w:val="false"/>
            <w:color w:val="000000"/>
            <w:sz w:val="22"/>
          </w:rPr>
          <w:t>261—paragraph 65.11(4)</w:t>
        </w:r>
        <w:r>
          <w:rPr>
            <w:rFonts w:ascii="Times New Roman" w:hAnsi="Times New Roman"/>
            <w:b w:val="false"/>
            <w:i/>
            <w:color w:val="000000"/>
            <w:sz w:val="22"/>
          </w:rPr>
          <w:t>“b”</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304.41(4)</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credit. </w:t>
      </w:r>
      <w:r>
        <w:rPr>
          <w:rFonts w:ascii="Times New Roman" w:hAnsi="Times New Roman"/>
          <w:b w:val="false"/>
          <w:i w:val="false"/>
          <w:color w:val="000000"/>
          <w:sz w:val="22"/>
        </w:rPr>
        <w:t xml:space="preserve">The redevelopment tax credit can be transferred to any person or entity. However, a certificate indicating that the credit is refundable is only transferrable to the extent permitted by economic development authority </w:t>
      </w:r>
      <w:hyperlink r:id="rId297">
        <w:r>
          <w:rPr>
            <w:rStyle w:val="Hyperlink"/>
            <w:rFonts w:ascii="Times New Roman" w:hAnsi="Times New Roman"/>
            <w:b w:val="false"/>
            <w:i w:val="false"/>
            <w:color w:val="000000"/>
            <w:sz w:val="22"/>
          </w:rPr>
          <w:t>261—paragraph 65.11(4)</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Submission of transferred tax credit certificate to the department—information required. </w:t>
      </w: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which contains the transferee’s name, address and tax identification number and the amount of the tax credit being transferred, the amount of all consideration provided in exchange for the tax credit, and the names of recipients of any consideration provided in exchange for the tax credit. If a payment of money was any part of the consideration provided in exchange for the tax credit, the transferee shall list the amount of the payment of money in its statement to the department of revenue. If any part of the consideration provided in exchange for the tax credit included nonmonetary consideration, including but not limited to any promise, representation, performance, discharge of debt or nonmonetary rights or property, the transferee shall describe the nature of nonmonetary consideration and disclose any value the transferor and transferee assigned to the nonmonetary consideration. The transferee must indicate on its statement to the department of revenue if no consideration was provided in exchange for the tax credit. If the transferee is a partnership, limited liability company, S corporation, or estate or trust claiming the credit for individual or corporation income tax, the transferee shall provide a list of the partners, members, shareholders or beneficiaries and information on how the redevelopment tax credit should be divided among the partners, members, shareholders or beneficiaries. The transferee shall also provide the tax identification numbers and addresses of the partners, members, shareholders or beneficiaries.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Issuance of replacement certificate by the department. </w:t>
      </w:r>
      <w:r>
        <w:rPr>
          <w:rFonts w:ascii="Times New Roman" w:hAnsi="Times New Roman"/>
          <w:b w:val="false"/>
          <w:i w:val="false"/>
          <w:color w:val="000000"/>
          <w:sz w:val="22"/>
        </w:rPr>
        <w:t>Within 30 days of receiving the transferred tax credit certificate and the statement from the transferee, the department of revenue will issue a replacement tax credit certificate to the transferee.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Claiming the transferred tax credit. </w:t>
      </w:r>
      <w:r>
        <w:rPr>
          <w:rFonts w:ascii="Times New Roman" w:hAnsi="Times New Roman"/>
          <w:b w:val="false"/>
          <w:i w:val="false"/>
          <w:color w:val="000000"/>
          <w:sz w:val="22"/>
        </w:rPr>
        <w:t>The replacement tax credit certificate must contain the same information as that on the original tax credit certificate and must have the same effective taxable year as the original tax credit certificate. The replacement tax credit certificate may reflect a different tax type than the original tax credit certificate. The transferee may use the amount of the tax credit for any tax year for which the original transferor could have claimed the tax credit. Any consideration received for the transfer of the tax credit certificate shall not be included in Iowa taxable income for individual income tax, corporation income tax, or franchise tax purposes. Any consideration paid for the transfer of the tax credit certificate shall not be deducted from Iowa taxable income for individual income tax, corporation income tax,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304.41(5)</w:t>
      </w:r>
      <w:r>
        <w:rPr>
          <w:rFonts w:ascii="Times New Roman" w:hAnsi="Times New Roman"/>
          <w:b w:val="false"/>
          <w:i w:val="false"/>
          <w:color w:val="000000"/>
          <w:sz w:val="22"/>
        </w:rPr>
        <w:t> </w:t>
      </w:r>
      <w:r>
        <w:rPr>
          <w:rFonts w:ascii="Times New Roman" w:hAnsi="Times New Roman"/>
          <w:b w:val="false"/>
          <w:i/>
          <w:color w:val="000000"/>
          <w:sz w:val="22"/>
        </w:rPr>
        <w:t xml:space="preserve">Basis reduction of the redevelopment property. </w:t>
      </w:r>
      <w:r>
        <w:rPr>
          <w:rFonts w:ascii="Times New Roman" w:hAnsi="Times New Roman"/>
          <w:b w:val="false"/>
          <w:i w:val="false"/>
          <w:color w:val="000000"/>
          <w:sz w:val="22"/>
        </w:rPr>
        <w:t>The increase in the basis of the redevelopment property that would otherwise result from the qualified redevelopment costs shall be reduced by the amount of the redevelopment tax credit. For example, if a qualifying investment in a grayfield site totaled $100,000 for which a $12,000 redevelopment tax credit was issued, the increase in the basis of the property would total $88,000 for Iowa tax purposes ($100,000 less $12,000).</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8">
        <w:r>
          <w:rPr>
            <w:rStyle w:val="Hyperlink"/>
            <w:rFonts w:ascii="Times New Roman" w:hAnsi="Times New Roman"/>
            <w:b w:val="false"/>
            <w:i w:val="false"/>
            <w:color w:val="000000"/>
            <w:sz w:val="22"/>
          </w:rPr>
          <w:t>15.293A</w:t>
        </w:r>
      </w:hyperlink>
      <w:r>
        <w:rPr>
          <w:rFonts w:ascii="Times New Roman" w:hAnsi="Times New Roman"/>
          <w:b w:val="false"/>
          <w:i w:val="false"/>
          <w:color w:val="000000"/>
          <w:sz w:val="22"/>
        </w:rPr>
        <w:t xml:space="preserve">, </w:t>
      </w:r>
      <w:hyperlink r:id="rId299">
        <w:r>
          <w:rPr>
            <w:rStyle w:val="Hyperlink"/>
            <w:rFonts w:ascii="Times New Roman" w:hAnsi="Times New Roman"/>
            <w:b w:val="false"/>
            <w:i w:val="false"/>
            <w:color w:val="000000"/>
            <w:sz w:val="22"/>
          </w:rPr>
          <w:t>422.11V</w:t>
        </w:r>
      </w:hyperlink>
      <w:r>
        <w:rPr>
          <w:rFonts w:ascii="Times New Roman" w:hAnsi="Times New Roman"/>
          <w:b w:val="false"/>
          <w:i w:val="false"/>
          <w:color w:val="000000"/>
          <w:sz w:val="22"/>
        </w:rPr>
        <w:t xml:space="preserve"> and </w:t>
      </w:r>
      <w:hyperlink r:id="rId300">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1949C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701—304.42</w:t>
      </w:r>
      <w:r>
        <w:rPr>
          <w:rFonts w:ascii="Times New Roman" w:hAnsi="Times New Roman"/>
          <w:b/>
          <w:i w:val="false"/>
          <w:color w:val="000000"/>
          <w:sz w:val="22"/>
        </w:rPr>
        <w:t xml:space="preserve">(15) </w:t>
      </w:r>
      <w:r>
        <w:rPr>
          <w:rFonts w:ascii="Times New Roman" w:hAnsi="Times New Roman"/>
          <w:b/>
          <w:i w:val="false"/>
          <w:color w:val="000000"/>
          <w:sz w:val="22"/>
        </w:rPr>
        <w:t xml:space="preserve">High quality jobs program. </w:t>
      </w:r>
      <w:r>
        <w:rPr>
          <w:rFonts w:ascii="Times New Roman" w:hAnsi="Times New Roman"/>
          <w:b w:val="false"/>
          <w:i w:val="false"/>
          <w:color w:val="000000"/>
          <w:sz w:val="22"/>
        </w:rPr>
        <w:t xml:space="preserve">Effective for tax periods beginning on or after July 1, 2009, a business which qualifies under the high quality jobs program is eligible to receive tax credits. The high quality jobs program replaces the high quality job creation program. An eligible business under the high quality jobs program must be approved by the Iowa department of economic development and meet the qualifications of Iowa Code section </w:t>
      </w:r>
      <w:hyperlink r:id="rId301">
        <w:r>
          <w:rPr>
            <w:rStyle w:val="Hyperlink"/>
            <w:rFonts w:ascii="Times New Roman" w:hAnsi="Times New Roman"/>
            <w:b w:val="false"/>
            <w:i w:val="false"/>
            <w:color w:val="000000"/>
            <w:sz w:val="22"/>
          </w:rPr>
          <w:t>15.329</w:t>
        </w:r>
      </w:hyperlink>
      <w:r>
        <w:rPr>
          <w:rFonts w:ascii="Times New Roman" w:hAnsi="Times New Roman"/>
          <w:b w:val="false"/>
          <w:i w:val="false"/>
          <w:color w:val="000000"/>
          <w:sz w:val="22"/>
        </w:rPr>
        <w:t xml:space="preserve">. The tax credits available under the high quality jobs program are based upon the number of jobs created or retained that pay a qualifying wage threshold and the amount of qualifying investment. The administrative rules for the high quality jobs program for the Iowa department of economic development may be found at </w:t>
      </w:r>
      <w:hyperlink r:id="rId302">
        <w:r>
          <w:rPr>
            <w:rStyle w:val="Hyperlink"/>
            <w:rFonts w:ascii="Times New Roman" w:hAnsi="Times New Roman"/>
            <w:b w:val="false"/>
            <w:i w:val="false"/>
            <w:color w:val="000000"/>
            <w:sz w:val="22"/>
          </w:rPr>
          <w:t>261—Chapter 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304.42(1)</w:t>
      </w:r>
      <w:r>
        <w:rPr>
          <w:rFonts w:ascii="Times New Roman" w:hAnsi="Times New Roman"/>
          <w:b w:val="false"/>
          <w:i w:val="false"/>
          <w:color w:val="000000"/>
          <w:sz w:val="22"/>
        </w:rPr>
        <w:t> </w:t>
      </w:r>
      <w:r>
        <w:rPr>
          <w:rFonts w:ascii="Times New Roman" w:hAnsi="Times New Roman"/>
          <w:b w:val="false"/>
          <w:i/>
          <w:color w:val="000000"/>
          <w:sz w:val="22"/>
        </w:rPr>
        <w:t xml:space="preserve">Research activities credit. </w:t>
      </w:r>
      <w:r>
        <w:rPr>
          <w:rFonts w:ascii="Times New Roman" w:hAnsi="Times New Roman"/>
          <w:b w:val="false"/>
          <w:i w:val="false"/>
          <w:color w:val="000000"/>
          <w:sz w:val="22"/>
        </w:rPr>
        <w:t xml:space="preserve">An eligible business approved under the high quality jobs program is eligible for an additional research activities credit as described in </w:t>
      </w:r>
      <w:hyperlink r:id="rId303">
        <w:r>
          <w:rPr>
            <w:rStyle w:val="Hyperlink"/>
            <w:rFonts w:ascii="Times New Roman" w:hAnsi="Times New Roman"/>
            <w:b w:val="false"/>
            <w:i w:val="false"/>
            <w:color w:val="000000"/>
            <w:sz w:val="22"/>
          </w:rPr>
          <w:t>701—subrule 501.7(4)</w:t>
        </w:r>
      </w:hyperlink>
      <w:r>
        <w:rPr>
          <w:rFonts w:ascii="Times New Roman" w:hAnsi="Times New Roman"/>
          <w:b w:val="false"/>
          <w:i w:val="false"/>
          <w:color w:val="000000"/>
          <w:sz w:val="22"/>
        </w:rPr>
        <w:t xml:space="preserve"> for awards issued by the Iowa department of economic development prior to July 1, 2010. The eligible business is eligible for the research activities credit as described in </w:t>
      </w:r>
      <w:hyperlink r:id="rId304">
        <w:r>
          <w:rPr>
            <w:rStyle w:val="Hyperlink"/>
            <w:rFonts w:ascii="Times New Roman" w:hAnsi="Times New Roman"/>
            <w:b w:val="false"/>
            <w:i w:val="false"/>
            <w:color w:val="000000"/>
            <w:sz w:val="22"/>
          </w:rPr>
          <w:t>701—subrule 501.7(6)</w:t>
        </w:r>
      </w:hyperlink>
      <w:r>
        <w:rPr>
          <w:rFonts w:ascii="Times New Roman" w:hAnsi="Times New Roman"/>
          <w:b w:val="false"/>
          <w:i w:val="false"/>
          <w:color w:val="000000"/>
          <w:sz w:val="22"/>
        </w:rPr>
        <w:t xml:space="preserve"> for awards issued by the Iowa department of economic development on or after July 1, 2010.</w:t>
      </w:r>
    </w:p>
    <w:p>
      <w:pPr>
        <w:spacing w:before="0" w:after="0"/>
        <w:ind w:left="120"/>
        <w:jc w:val="both"/>
      </w:pPr>
      <w:r>
        <w:rPr>
          <w:rFonts w:ascii="Times New Roman" w:hAnsi="Times New Roman"/>
          <w:b w:val="false"/>
          <w:i w:val="false"/>
          <w:color w:val="000000"/>
          <w:sz w:val="22"/>
        </w:rPr>
        <w:t>Research activities allowable for the Iowa research activities credit include expenses related to the development and deployment of innovative renewable energy generation components manufactured or assembled in Iowa; such expenses related to the development and deployment of innovative renewable energy generation components are not eligible for the federal credit for increasing research activities. For purposes of this subrule, innovative renewable energy generation components do not include components with more than 200 megawatts in installed effective nameplate generating capacity. The research activities credit related to renewable energy generation components under the high quality jobs program and the enterprise zone program shall not exceed $2 million for the fiscal year ending June 30, 2010, and $1 million for the fiscal year ending June 30, 2011.</w:t>
      </w:r>
    </w:p>
    <w:p>
      <w:pPr>
        <w:spacing w:before="0" w:after="0"/>
        <w:ind w:left="120"/>
        <w:jc w:val="both"/>
      </w:pPr>
      <w:r>
        <w:rPr>
          <w:rFonts w:ascii="Times New Roman" w:hAnsi="Times New Roman"/>
          <w:b w:val="false"/>
          <w:i w:val="false"/>
          <w:color w:val="000000"/>
          <w:sz w:val="22"/>
        </w:rPr>
        <w:t xml:space="preserve">These expenses related to the development and deployment of innovative renewable energy generation components are applicable only to the additional research activities credit set forth in this subrule and in </w:t>
      </w:r>
      <w:hyperlink r:id="rId305">
        <w:r>
          <w:rPr>
            <w:rStyle w:val="Hyperlink"/>
            <w:rFonts w:ascii="Times New Roman" w:hAnsi="Times New Roman"/>
            <w:b w:val="false"/>
            <w:i w:val="false"/>
            <w:color w:val="000000"/>
            <w:sz w:val="22"/>
          </w:rPr>
          <w:t>701—subrule 501.7(5)</w:t>
        </w:r>
      </w:hyperlink>
      <w:r>
        <w:rPr>
          <w:rFonts w:ascii="Times New Roman" w:hAnsi="Times New Roman"/>
          <w:b w:val="false"/>
          <w:i w:val="false"/>
          <w:color w:val="000000"/>
          <w:sz w:val="22"/>
        </w:rPr>
        <w:t xml:space="preserve"> for businesses in enterprise zones, and are not applicable to the research activities credit set forth in paragraphs </w:t>
      </w:r>
      <w:hyperlink r:id="rId306">
        <w:r>
          <w:rPr>
            <w:rStyle w:val="Hyperlink"/>
            <w:rFonts w:ascii="Times New Roman" w:hAnsi="Times New Roman"/>
            <w:b w:val="false"/>
            <w:i w:val="false"/>
            <w:color w:val="000000"/>
            <w:sz w:val="22"/>
          </w:rPr>
          <w:t>304.11(3)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304.42(2)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r>
        <w:rPr>
          <w:rFonts w:ascii="Times New Roman" w:hAnsi="Times New Roman"/>
          <w:b w:val="false"/>
          <w:i w:val="false"/>
          <w:color w:val="000000"/>
          <w:sz w:val="22"/>
        </w:rPr>
        <w:t xml:space="preserve">An eligible business can claim an investment tax credit equal to a percentage of the new investment directly related to new jobs created or retained by the location or expansion of an eligible business. The percentage is equal to the amount provided in Iowa department of economic development </w:t>
      </w:r>
      <w:hyperlink r:id="rId307">
        <w:r>
          <w:rPr>
            <w:rStyle w:val="Hyperlink"/>
            <w:rFonts w:ascii="Times New Roman" w:hAnsi="Times New Roman"/>
            <w:b w:val="false"/>
            <w:i w:val="false"/>
            <w:color w:val="000000"/>
            <w:sz w:val="22"/>
          </w:rPr>
          <w:t>261—subrule 68.4(7)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determination of the new investment eligible for the investment tax credit, the eligibility of a refundable investment tax credit for value-added agricultural product or biotechnology-related projects and the repayment of investment tax credits for the high quality jobs program is the same as set forth in subrule </w:t>
      </w:r>
      <w:hyperlink r:id="rId308">
        <w:r>
          <w:rPr>
            <w:rStyle w:val="Hyperlink"/>
            <w:rFonts w:ascii="Times New Roman" w:hAnsi="Times New Roman"/>
            <w:b w:val="false"/>
            <w:i w:val="false"/>
            <w:color w:val="000000"/>
            <w:sz w:val="22"/>
          </w:rPr>
          <w:t>304.29(2)</w:t>
        </w:r>
      </w:hyperlink>
      <w:r>
        <w:rPr>
          <w:rFonts w:ascii="Times New Roman" w:hAnsi="Times New Roman"/>
          <w:b w:val="false"/>
          <w:i w:val="false"/>
          <w:color w:val="000000"/>
          <w:sz w:val="22"/>
        </w:rPr>
        <w:t xml:space="preserve"> for the high quality job creation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304.42(3)</w:t>
      </w:r>
      <w:r>
        <w:rPr>
          <w:rFonts w:ascii="Times New Roman" w:hAnsi="Times New Roman"/>
          <w:b w:val="false"/>
          <w:i w:val="false"/>
          <w:color w:val="000000"/>
          <w:sz w:val="22"/>
        </w:rPr>
        <w:t> </w:t>
      </w:r>
      <w:r>
        <w:rPr>
          <w:rFonts w:ascii="Times New Roman" w:hAnsi="Times New Roman"/>
          <w:b w:val="false"/>
          <w:i/>
          <w:color w:val="000000"/>
          <w:sz w:val="22"/>
        </w:rPr>
        <w:t xml:space="preserve">Repayment of benefits. </w:t>
      </w:r>
      <w:r>
        <w:rPr>
          <w:rFonts w:ascii="Times New Roman" w:hAnsi="Times New Roman"/>
          <w:b w:val="false"/>
          <w:i w:val="false"/>
          <w:color w:val="000000"/>
          <w:sz w:val="22"/>
        </w:rPr>
        <w:t xml:space="preserve">If an eligible business fails to maintain the requirements of the high quality jobs program, the taxpayer may be required to repay all or a portion of the tax incentives taken on Iowa returns. Irrespective of the fact that the statute of limitations to assess the taxpayer for repayment of the tax credits may have expired, the department may proceed to collect the tax incentives forfeited by failure of the eligible business to maintain the requirements of the high quality jobs program because the repayment is a recovery of an incentive, rather than an adjustment to the taxpayer’s tax liability. Details on the calculation of the repayment can be found in </w:t>
      </w:r>
      <w:hyperlink r:id="rId309">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10">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701—304.43</w:t>
      </w:r>
      <w:r>
        <w:rPr>
          <w:rFonts w:ascii="Times New Roman" w:hAnsi="Times New Roman"/>
          <w:b/>
          <w:i w:val="false"/>
          <w:color w:val="000000"/>
          <w:sz w:val="22"/>
        </w:rPr>
        <w:t xml:space="preserve">(16,422) </w:t>
      </w:r>
      <w:r>
        <w:rPr>
          <w:rFonts w:ascii="Times New Roman" w:hAnsi="Times New Roman"/>
          <w:b/>
          <w:i w:val="false"/>
          <w:color w:val="000000"/>
          <w:sz w:val="22"/>
        </w:rPr>
        <w:t xml:space="preserve">Disaster recovery housing project tax credit. </w:t>
      </w:r>
      <w:r>
        <w:rPr>
          <w:rFonts w:ascii="Times New Roman" w:hAnsi="Times New Roman"/>
          <w:b w:val="false"/>
          <w:i w:val="false"/>
          <w:color w:val="000000"/>
          <w:sz w:val="22"/>
        </w:rPr>
        <w:t xml:space="preserve">For tax years beginning on or after January 1, 2011, but before January 1, 2015, a disaster recovery housing project tax credit is available for individual income tax. The credit is equal to 75 percent of the taxpayer’s qualifying investment in a disaster recovery housing project, and is administered by the Iowa finance authority. Qualifying investments are costs incurred on or after May 12, 2009, and prior to July 1, 2010, related to a disaster recovery housing project. Eligible properties must have applied for and received an allocation of federal low-income housing tax credits under </w:t>
      </w:r>
      <w:r>
        <w:rPr>
          <w:rFonts w:ascii="Times New Roman" w:hAnsi="Times New Roman"/>
          <w:b w:val="false"/>
          <w:i w:val="false"/>
          <w:color w:val="000000"/>
          <w:sz w:val="22"/>
        </w:rPr>
        <w:t>Section 42 of the Internal Revenue Code</w:t>
      </w:r>
      <w:r>
        <w:rPr>
          <w:rFonts w:ascii="Times New Roman" w:hAnsi="Times New Roman"/>
          <w:b w:val="false"/>
          <w:i w:val="false"/>
          <w:color w:val="000000"/>
          <w:sz w:val="22"/>
        </w:rPr>
        <w:t xml:space="preserve"> to be eligible for the tax credit. The tax credit is repealed effective January 1, 2015.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304.43(1)</w:t>
      </w:r>
      <w:r>
        <w:rPr>
          <w:rFonts w:ascii="Times New Roman" w:hAnsi="Times New Roman"/>
          <w:b w:val="false"/>
          <w:i w:val="false"/>
          <w:color w:val="000000"/>
          <w:sz w:val="22"/>
        </w:rPr>
        <w:t> </w:t>
      </w:r>
      <w:r>
        <w:rPr>
          <w:rFonts w:ascii="Times New Roman" w:hAnsi="Times New Roman"/>
          <w:b w:val="false"/>
          <w:i/>
          <w:color w:val="000000"/>
          <w:sz w:val="22"/>
        </w:rPr>
        <w:t xml:space="preserve">Issuance of tax credit certificates. </w:t>
      </w:r>
      <w:r>
        <w:rPr>
          <w:rFonts w:ascii="Times New Roman" w:hAnsi="Times New Roman"/>
          <w:b w:val="false"/>
          <w:i w:val="false"/>
          <w:color w:val="000000"/>
          <w:sz w:val="22"/>
        </w:rPr>
        <w:t>Upon completion of the project and verification of the amount of investment made in the disaster recovery housing project, the Iowa finance authority will issue a tax credit certificate to the taxpayer. The tax credit certificate shall include the taxpayer’s name, address, tax identification number, amount of credit, and the tax year for which the credit may be claimed. The tax credit certificates will be issued on a first-come, first-served basis. The tax credit cannot be transferred to any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304.43(2)</w:t>
      </w:r>
      <w:r>
        <w:rPr>
          <w:rFonts w:ascii="Times New Roman" w:hAnsi="Times New Roman"/>
          <w:b w:val="false"/>
          <w:i w:val="false"/>
          <w:color w:val="000000"/>
          <w:sz w:val="22"/>
        </w:rPr>
        <w:t> </w:t>
      </w:r>
      <w:r>
        <w:rPr>
          <w:rFonts w:ascii="Times New Roman" w:hAnsi="Times New Roman"/>
          <w:b w:val="false"/>
          <w:i/>
          <w:color w:val="000000"/>
          <w:sz w:val="22"/>
        </w:rPr>
        <w:t xml:space="preserve">Limitation of tax credits. </w:t>
      </w:r>
      <w:r>
        <w:rPr>
          <w:rFonts w:ascii="Times New Roman" w:hAnsi="Times New Roman"/>
          <w:b w:val="false"/>
          <w:i w:val="false"/>
          <w:color w:val="000000"/>
          <w:sz w:val="22"/>
        </w:rPr>
        <w:t>The tax credit shall not exceed 75 percent of the taxpayer’s qualifying investment in a disaster recovery housing project. The maximum amount of tax credits issued by the Iowa finance authority shall not exceed $3 million in each of the five consecutive years beginning in the 2011 calendar year. A tax credit certificate shall be issued by the Iowa finance authority for each year that the credit can be claimed.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304.43(3)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The amount of the tax credit earned by the taxpayer will be divided by five and an amount equal thereto will be claimed on the Iowa individual income tax return commencing with the tax year beginning on or after January 1, 2011. A taxpayer is not entitled to a refund of the excess tax for any tax credit in excess of the tax liability, and also is not entitled to carry forward any excess credit to a subsequent tax year.</w:t>
      </w:r>
    </w:p>
    <w:p>
      <w:pPr>
        <w:spacing w:before="0" w:after="0"/>
        <w:ind w:left="120"/>
        <w:jc w:val="both"/>
      </w:pPr>
      <w:r>
        <w:rPr>
          <w:rFonts w:ascii="Times New Roman" w:hAnsi="Times New Roman"/>
          <w:b w:val="false"/>
          <w:i w:val="false"/>
          <w:color w:val="000000"/>
          <w:sz w:val="22"/>
        </w:rPr>
        <w:t>If the taxpayer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The increase in the basis of the property that would otherwise result from the disaster recovery housing investment shall be reduced by the amount of the tax credit allowed.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An individual whose tax year ends on December 31 incurs $100,000 of costs related to an eligible disaster recovery housing project. The taxpayer receives a tax credit of $75,000, and $15,000 of credit can be claimed on each Iowa individual income tax return for the periods ending December 31, 2011, through December 31, 2015. If the tax liability for the individual for the period ending December 31, 2011, is $10,000, the credit is limited to $10,000, and the remaining $5,000 credit cannot be used. If the tax liability for the individual for the period ending December 31, 2012, is $25,000, the credit is limited to $15,000, and the remaining $5,000 credit from 2011 cannot be used to reduce the tax for 2012.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304.43(4)</w:t>
      </w:r>
      <w:r>
        <w:rPr>
          <w:rFonts w:ascii="Times New Roman" w:hAnsi="Times New Roman"/>
          <w:b w:val="false"/>
          <w:i w:val="false"/>
          <w:color w:val="000000"/>
          <w:sz w:val="22"/>
        </w:rPr>
        <w:t> </w:t>
      </w:r>
      <w:r>
        <w:rPr>
          <w:rFonts w:ascii="Times New Roman" w:hAnsi="Times New Roman"/>
          <w:b w:val="false"/>
          <w:i/>
          <w:color w:val="000000"/>
          <w:sz w:val="22"/>
        </w:rPr>
        <w:t xml:space="preserve">Potential recapture of tax credits. </w:t>
      </w:r>
      <w:r>
        <w:rPr>
          <w:rFonts w:ascii="Times New Roman" w:hAnsi="Times New Roman"/>
          <w:b w:val="false"/>
          <w:i w:val="false"/>
          <w:color w:val="000000"/>
          <w:sz w:val="22"/>
        </w:rPr>
        <w:t>If the taxpayer fails to comply with the eligibility requirements of the project or violates local zoning and construction ordinances, the Iowa finance authority can void the tax credit and the department of revenue shall seek recovery of the value of any tax credit claimed on an individual income tax return.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1">
        <w:r>
          <w:rPr>
            <w:rStyle w:val="Hyperlink"/>
            <w:rFonts w:ascii="Times New Roman" w:hAnsi="Times New Roman"/>
            <w:b w:val="false"/>
            <w:i w:val="false"/>
            <w:color w:val="000000"/>
            <w:sz w:val="22"/>
          </w:rPr>
          <w:t>16.211</w:t>
        </w:r>
      </w:hyperlink>
      <w:r>
        <w:rPr>
          <w:rFonts w:ascii="Times New Roman" w:hAnsi="Times New Roman"/>
          <w:b w:val="false"/>
          <w:i w:val="false"/>
          <w:color w:val="000000"/>
          <w:sz w:val="22"/>
        </w:rPr>
        <w:t xml:space="preserve">, </w:t>
      </w:r>
      <w:hyperlink r:id="rId312">
        <w:r>
          <w:rPr>
            <w:rStyle w:val="Hyperlink"/>
            <w:rFonts w:ascii="Times New Roman" w:hAnsi="Times New Roman"/>
            <w:b w:val="false"/>
            <w:i w:val="false"/>
            <w:color w:val="000000"/>
            <w:sz w:val="22"/>
          </w:rPr>
          <w:t>16.212</w:t>
        </w:r>
      </w:hyperlink>
      <w:r>
        <w:rPr>
          <w:rFonts w:ascii="Times New Roman" w:hAnsi="Times New Roman"/>
          <w:b w:val="false"/>
          <w:i w:val="false"/>
          <w:color w:val="000000"/>
          <w:sz w:val="22"/>
        </w:rPr>
        <w:t xml:space="preserve"> and </w:t>
      </w:r>
      <w:hyperlink r:id="rId313">
        <w:r>
          <w:rPr>
            <w:rStyle w:val="Hyperlink"/>
            <w:rFonts w:ascii="Times New Roman" w:hAnsi="Times New Roman"/>
            <w:b w:val="false"/>
            <w:i w:val="false"/>
            <w:color w:val="000000"/>
            <w:sz w:val="22"/>
          </w:rPr>
          <w:t>422.11X</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Senate File 2328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701—304.44</w:t>
      </w:r>
      <w:r>
        <w:rPr>
          <w:rFonts w:ascii="Times New Roman" w:hAnsi="Times New Roman"/>
          <w:b/>
          <w:i w:val="false"/>
          <w:color w:val="000000"/>
          <w:sz w:val="22"/>
        </w:rPr>
        <w:t xml:space="preserve">(422) </w:t>
      </w:r>
      <w:r>
        <w:rPr>
          <w:rFonts w:ascii="Times New Roman" w:hAnsi="Times New Roman"/>
          <w:b/>
          <w:i w:val="false"/>
          <w:color w:val="000000"/>
          <w:sz w:val="22"/>
        </w:rPr>
        <w:t xml:space="preserve">Deduction of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304.44(1)</w:t>
      </w:r>
      <w:r>
        <w:rPr>
          <w:rFonts w:ascii="Times New Roman" w:hAnsi="Times New Roman"/>
          <w:b w:val="false"/>
          <w:i w:val="false"/>
          <w:color w:val="000000"/>
          <w:sz w:val="22"/>
        </w:rPr>
        <w:t> </w:t>
      </w:r>
      <w:r>
        <w:rPr>
          <w:rFonts w:ascii="Times New Roman" w:hAnsi="Times New Roman"/>
          <w:b w:val="false"/>
          <w:i/>
          <w:color w:val="000000"/>
          <w:sz w:val="22"/>
        </w:rPr>
        <w:t xml:space="preserve">Sequencing of credit deductions. </w:t>
      </w:r>
      <w:r>
        <w:rPr>
          <w:rFonts w:ascii="Times New Roman" w:hAnsi="Times New Roman"/>
          <w:b w:val="false"/>
          <w:i w:val="false"/>
          <w:color w:val="000000"/>
          <w:sz w:val="22"/>
        </w:rPr>
        <w:t xml:space="preserve">The credits against computed tax set forth in Iowa Code sections </w:t>
      </w:r>
      <w:hyperlink r:id="rId314">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w:t>
      </w:r>
      <w:hyperlink r:id="rId315">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 xml:space="preserve">, </w:t>
      </w:r>
      <w:hyperlink r:id="rId316">
        <w:r>
          <w:rPr>
            <w:rStyle w:val="Hyperlink"/>
            <w:rFonts w:ascii="Times New Roman" w:hAnsi="Times New Roman"/>
            <w:b w:val="false"/>
            <w:i w:val="false"/>
            <w:color w:val="000000"/>
            <w:sz w:val="22"/>
          </w:rPr>
          <w:t>422.10 through 422.12C</w:t>
        </w:r>
      </w:hyperlink>
      <w:r>
        <w:rPr>
          <w:rFonts w:ascii="Times New Roman" w:hAnsi="Times New Roman"/>
          <w:b w:val="false"/>
          <w:i w:val="false"/>
          <w:color w:val="000000"/>
          <w:sz w:val="22"/>
        </w:rPr>
        <w:t xml:space="preserve">, </w:t>
      </w:r>
      <w:hyperlink r:id="rId317">
        <w:r>
          <w:rPr>
            <w:rStyle w:val="Hyperlink"/>
            <w:rFonts w:ascii="Times New Roman" w:hAnsi="Times New Roman"/>
            <w:b w:val="false"/>
            <w:i w:val="false"/>
            <w:color w:val="000000"/>
            <w:sz w:val="22"/>
          </w:rPr>
          <w:t>422.12N</w:t>
        </w:r>
      </w:hyperlink>
      <w:r>
        <w:rPr>
          <w:rFonts w:ascii="Times New Roman" w:hAnsi="Times New Roman"/>
          <w:b w:val="false"/>
          <w:i w:val="false"/>
          <w:color w:val="000000"/>
          <w:sz w:val="22"/>
        </w:rPr>
        <w:t xml:space="preserve">, and </w:t>
      </w:r>
      <w:hyperlink r:id="rId318">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 xml:space="preserve"> shall be claimed in the following sequence: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exemption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Tuition and textbook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Volunteer fire fighter, volunteer emergency medical services personnel and reserve peace officer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Nonresident and part-year resident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Out-of-state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Franchise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 corporation apportionment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Alternative minimum tax credit (for tax years beginning during 2023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Historic preservation tax credit (when the taxpayer has elected that the credit be nonrefundable under Iowa Code section </w:t>
      </w:r>
      <w:hyperlink r:id="rId319">
        <w:r>
          <w:rPr>
            <w:rStyle w:val="Hyperlink"/>
            <w:rFonts w:ascii="Times New Roman" w:hAnsi="Times New Roman"/>
            <w:b w:val="false"/>
            <w:i w:val="false"/>
            <w:color w:val="000000"/>
            <w:sz w:val="22"/>
          </w:rPr>
          <w:t>404A.2(4)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School tuition organization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Innovation fund investment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Endow Iowa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Redevelopment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From farm to food donation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Workforce housing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Hoover presidential library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Enterprise zone investment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High quality jobs investment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Wind energy production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Renewable energy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New jobs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Beginning farmer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Agricultural assets transfer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Custom farming contract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Geothermal heat pump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Solar energy system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Charitable conservation contribution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Alternative minimum tax credit (for tax years beginning before January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 xml:space="preserve">Historic preservation tax credit (when the taxpayer has elected that the credit be refundable under Iowa Code section </w:t>
      </w:r>
      <w:hyperlink r:id="rId320">
        <w:r>
          <w:rPr>
            <w:rStyle w:val="Hyperlink"/>
            <w:rFonts w:ascii="Times New Roman" w:hAnsi="Times New Roman"/>
            <w:b w:val="false"/>
            <w:i w:val="false"/>
            <w:color w:val="000000"/>
            <w:sz w:val="22"/>
          </w:rPr>
          <w:t>404A.2(4)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w:t>
      </w:r>
      <w:r>
        <w:rPr>
          <w:rFonts w:ascii="Times New Roman" w:hAnsi="Times New Roman"/>
          <w:b w:val="false"/>
          <w:i w:val="false"/>
          <w:color w:val="000000"/>
          <w:sz w:val="22"/>
        </w:rPr>
        <w:t>  </w:t>
      </w:r>
      <w:r>
        <w:rPr>
          <w:rFonts w:ascii="Times New Roman" w:hAnsi="Times New Roman"/>
          <w:b w:val="false"/>
          <w:i w:val="false"/>
          <w:color w:val="000000"/>
          <w:sz w:val="22"/>
        </w:rPr>
        <w:t>High quality jobs third-party developer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w:t>
      </w:r>
      <w:r>
        <w:rPr>
          <w:rFonts w:ascii="Times New Roman" w:hAnsi="Times New Roman"/>
          <w:b w:val="false"/>
          <w:i w:val="false"/>
          <w:color w:val="000000"/>
          <w:sz w:val="22"/>
        </w:rPr>
        <w:t>  </w:t>
      </w:r>
      <w:r>
        <w:rPr>
          <w:rFonts w:ascii="Times New Roman" w:hAnsi="Times New Roman"/>
          <w:b w:val="false"/>
          <w:i w:val="false"/>
          <w:color w:val="000000"/>
          <w:sz w:val="22"/>
        </w:rPr>
        <w:t>Research activities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w:t>
      </w:r>
      <w:r>
        <w:rPr>
          <w:rFonts w:ascii="Times New Roman" w:hAnsi="Times New Roman"/>
          <w:b w:val="false"/>
          <w:i w:val="false"/>
          <w:color w:val="000000"/>
          <w:sz w:val="22"/>
        </w:rPr>
        <w:t>  </w:t>
      </w:r>
      <w:r>
        <w:rPr>
          <w:rFonts w:ascii="Times New Roman" w:hAnsi="Times New Roman"/>
          <w:b w:val="false"/>
          <w:i w:val="false"/>
          <w:color w:val="000000"/>
          <w:sz w:val="22"/>
        </w:rPr>
        <w:t>Child and dependent care tax credit or early childhood development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w:t>
      </w:r>
      <w:r>
        <w:rPr>
          <w:rFonts w:ascii="Times New Roman" w:hAnsi="Times New Roman"/>
          <w:b w:val="false"/>
          <w:i w:val="false"/>
          <w:color w:val="000000"/>
          <w:sz w:val="22"/>
        </w:rPr>
        <w:t>  </w:t>
      </w:r>
      <w:r>
        <w:rPr>
          <w:rFonts w:ascii="Times New Roman" w:hAnsi="Times New Roman"/>
          <w:b w:val="false"/>
          <w:i w:val="false"/>
          <w:color w:val="000000"/>
          <w:sz w:val="22"/>
        </w:rPr>
        <w:t>Motor fuel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ah.</w:t>
      </w:r>
      <w:r>
        <w:rPr>
          <w:rFonts w:ascii="Times New Roman" w:hAnsi="Times New Roman"/>
          <w:b w:val="false"/>
          <w:i w:val="false"/>
          <w:color w:val="000000"/>
          <w:sz w:val="22"/>
        </w:rPr>
        <w:t>  </w:t>
      </w:r>
      <w:r>
        <w:rPr>
          <w:rFonts w:ascii="Times New Roman" w:hAnsi="Times New Roman"/>
          <w:b w:val="false"/>
          <w:i w:val="false"/>
          <w:color w:val="000000"/>
          <w:sz w:val="22"/>
        </w:rPr>
        <w:t xml:space="preserve">Claim of right credit (if elected in accordance with rule </w:t>
      </w:r>
      <w:hyperlink r:id="rId321">
        <w:r>
          <w:rPr>
            <w:rStyle w:val="Hyperlink"/>
            <w:rFonts w:ascii="Times New Roman" w:hAnsi="Times New Roman"/>
            <w:b w:val="false"/>
            <w:i w:val="false"/>
            <w:color w:val="000000"/>
            <w:sz w:val="22"/>
          </w:rPr>
          <w:t>701—300.18</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w:t>
      </w:r>
      <w:r>
        <w:rPr>
          <w:rFonts w:ascii="Times New Roman" w:hAnsi="Times New Roman"/>
          <w:b w:val="false"/>
          <w:i w:val="false"/>
          <w:color w:val="000000"/>
          <w:sz w:val="22"/>
        </w:rPr>
        <w:t>  </w:t>
      </w:r>
      <w:r>
        <w:rPr>
          <w:rFonts w:ascii="Times New Roman" w:hAnsi="Times New Roman"/>
          <w:b w:val="false"/>
          <w:i w:val="false"/>
          <w:color w:val="000000"/>
          <w:sz w:val="22"/>
        </w:rPr>
        <w:t>Qualifying business investment tax credit (also known as angel investor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aj.</w:t>
      </w:r>
      <w:r>
        <w:rPr>
          <w:rFonts w:ascii="Times New Roman" w:hAnsi="Times New Roman"/>
          <w:b w:val="false"/>
          <w:i w:val="false"/>
          <w:color w:val="000000"/>
          <w:sz w:val="22"/>
        </w:rPr>
        <w:t>  </w:t>
      </w:r>
      <w:r>
        <w:rPr>
          <w:rFonts w:ascii="Times New Roman" w:hAnsi="Times New Roman"/>
          <w:b w:val="false"/>
          <w:i w:val="false"/>
          <w:color w:val="000000"/>
          <w:sz w:val="22"/>
        </w:rPr>
        <w:t>Adoption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ak.</w:t>
      </w:r>
      <w:r>
        <w:rPr>
          <w:rFonts w:ascii="Times New Roman" w:hAnsi="Times New Roman"/>
          <w:b w:val="false"/>
          <w:i w:val="false"/>
          <w:color w:val="000000"/>
          <w:sz w:val="22"/>
        </w:rPr>
        <w:t>  </w:t>
      </w:r>
      <w:r>
        <w:rPr>
          <w:rFonts w:ascii="Times New Roman" w:hAnsi="Times New Roman"/>
          <w:b w:val="false"/>
          <w:i w:val="false"/>
          <w:color w:val="000000"/>
          <w:sz w:val="22"/>
        </w:rPr>
        <w:t>E-85 gasoline promotion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w:t>
      </w:r>
      <w:r>
        <w:rPr>
          <w:rFonts w:ascii="Times New Roman" w:hAnsi="Times New Roman"/>
          <w:b w:val="false"/>
          <w:i w:val="false"/>
          <w:color w:val="000000"/>
          <w:sz w:val="22"/>
        </w:rPr>
        <w:t>  </w:t>
      </w:r>
      <w:r>
        <w:rPr>
          <w:rFonts w:ascii="Times New Roman" w:hAnsi="Times New Roman"/>
          <w:b w:val="false"/>
          <w:i w:val="false"/>
          <w:color w:val="000000"/>
          <w:sz w:val="22"/>
        </w:rPr>
        <w:t>Biodiesel blended fuel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w:t>
      </w:r>
      <w:r>
        <w:rPr>
          <w:rFonts w:ascii="Times New Roman" w:hAnsi="Times New Roman"/>
          <w:b w:val="false"/>
          <w:i w:val="false"/>
          <w:color w:val="000000"/>
          <w:sz w:val="22"/>
        </w:rPr>
        <w:t>  </w:t>
      </w:r>
      <w:r>
        <w:rPr>
          <w:rFonts w:ascii="Times New Roman" w:hAnsi="Times New Roman"/>
          <w:b w:val="false"/>
          <w:i w:val="false"/>
          <w:color w:val="000000"/>
          <w:sz w:val="22"/>
        </w:rPr>
        <w:t>E-15 plus gasoline promotion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w:t>
      </w:r>
      <w:r>
        <w:rPr>
          <w:rFonts w:ascii="Times New Roman" w:hAnsi="Times New Roman"/>
          <w:b w:val="false"/>
          <w:i w:val="false"/>
          <w:color w:val="000000"/>
          <w:sz w:val="22"/>
        </w:rPr>
        <w:t>  </w:t>
      </w:r>
      <w:r>
        <w:rPr>
          <w:rFonts w:ascii="Times New Roman" w:hAnsi="Times New Roman"/>
          <w:b w:val="false"/>
          <w:i w:val="false"/>
          <w:color w:val="000000"/>
          <w:sz w:val="22"/>
        </w:rPr>
        <w:t>Earned income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ao.</w:t>
      </w:r>
      <w:r>
        <w:rPr>
          <w:rFonts w:ascii="Times New Roman" w:hAnsi="Times New Roman"/>
          <w:b w:val="false"/>
          <w:i w:val="false"/>
          <w:color w:val="000000"/>
          <w:sz w:val="22"/>
        </w:rPr>
        <w:t>  </w:t>
      </w:r>
      <w:r>
        <w:rPr>
          <w:rFonts w:ascii="Times New Roman" w:hAnsi="Times New Roman"/>
          <w:b w:val="false"/>
          <w:i w:val="false"/>
          <w:color w:val="000000"/>
          <w:sz w:val="22"/>
        </w:rPr>
        <w:t>Renewable chemical production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w:t>
      </w:r>
      <w:r>
        <w:rPr>
          <w:rFonts w:ascii="Times New Roman" w:hAnsi="Times New Roman"/>
          <w:b w:val="false"/>
          <w:i w:val="false"/>
          <w:color w:val="000000"/>
          <w:sz w:val="22"/>
        </w:rPr>
        <w:t>  </w:t>
      </w:r>
      <w:r>
        <w:rPr>
          <w:rFonts w:ascii="Times New Roman" w:hAnsi="Times New Roman"/>
          <w:b w:val="false"/>
          <w:i w:val="false"/>
          <w:color w:val="000000"/>
          <w:sz w:val="22"/>
        </w:rPr>
        <w:t>Estimated payments, payment with vouchers, composite tax credits, and withholding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304.44(2)</w:t>
      </w:r>
      <w:r>
        <w:rPr>
          <w:rFonts w:ascii="Times New Roman" w:hAnsi="Times New Roman"/>
          <w:b w:val="false"/>
          <w:i w:val="false"/>
          <w:color w:val="000000"/>
          <w:sz w:val="22"/>
        </w:rPr>
        <w:t> </w:t>
      </w:r>
      <w:r>
        <w:rPr>
          <w:rFonts w:ascii="Times New Roman" w:hAnsi="Times New Roman"/>
          <w:b w:val="false"/>
          <w:i/>
          <w:color w:val="000000"/>
          <w:sz w:val="22"/>
        </w:rPr>
        <w:t xml:space="preserve">Order of credits carried forward from a previous tax year. </w:t>
      </w:r>
      <w:r>
        <w:rPr>
          <w:rFonts w:ascii="Times New Roman" w:hAnsi="Times New Roman"/>
          <w:b w:val="false"/>
          <w:i w:val="false"/>
          <w:color w:val="000000"/>
          <w:sz w:val="22"/>
        </w:rPr>
        <w:t xml:space="preserve">A credit carried forward from a previous tax year shall be applied against computed tax before a credit earned under the same credit program in the current tax year. However, a credit carried forward from a previous tax year cannot be applied against computed tax before a credit earned under a different credit program in a later year that appears before it in the sequence in </w:t>
      </w:r>
      <w:hyperlink r:id="rId322">
        <w:r>
          <w:rPr>
            <w:rStyle w:val="Hyperlink"/>
            <w:rFonts w:ascii="Times New Roman" w:hAnsi="Times New Roman"/>
            <w:b w:val="false"/>
            <w:i w:val="false"/>
            <w:color w:val="000000"/>
            <w:sz w:val="22"/>
          </w:rPr>
          <w:t>subrule 42.44(1)</w:t>
        </w:r>
      </w:hyperlink>
      <w:r>
        <w:rPr>
          <w:rFonts w:ascii="Times New Roman" w:hAnsi="Times New Roman"/>
          <w:b w:val="false"/>
          <w:i w:val="false"/>
          <w:color w:val="000000"/>
          <w:sz w:val="22"/>
        </w:rPr>
        <w:t xml:space="preserve">. For example, a school tuition organization tax credit awarded in the current tax year must be applied against computed tax before a renewable energy tax credit carried forward from a previous tax year.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3">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w:t>
      </w:r>
      <w:hyperlink r:id="rId324">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 xml:space="preserve">, </w:t>
      </w:r>
      <w:hyperlink r:id="rId325">
        <w:r>
          <w:rPr>
            <w:rStyle w:val="Hyperlink"/>
            <w:rFonts w:ascii="Times New Roman" w:hAnsi="Times New Roman"/>
            <w:b w:val="false"/>
            <w:i w:val="false"/>
            <w:color w:val="000000"/>
            <w:sz w:val="22"/>
          </w:rPr>
          <w:t>422.10</w:t>
        </w:r>
      </w:hyperlink>
      <w:r>
        <w:rPr>
          <w:rFonts w:ascii="Times New Roman" w:hAnsi="Times New Roman"/>
          <w:b w:val="false"/>
          <w:i w:val="false"/>
          <w:color w:val="000000"/>
          <w:sz w:val="22"/>
        </w:rPr>
        <w:t xml:space="preserve">, </w:t>
      </w:r>
      <w:hyperlink r:id="rId326">
        <w:r>
          <w:rPr>
            <w:rStyle w:val="Hyperlink"/>
            <w:rFonts w:ascii="Times New Roman" w:hAnsi="Times New Roman"/>
            <w:b w:val="false"/>
            <w:i w:val="false"/>
            <w:color w:val="000000"/>
            <w:sz w:val="22"/>
          </w:rPr>
          <w:t>422.11</w:t>
        </w:r>
      </w:hyperlink>
      <w:r>
        <w:rPr>
          <w:rFonts w:ascii="Times New Roman" w:hAnsi="Times New Roman"/>
          <w:b w:val="false"/>
          <w:i w:val="false"/>
          <w:color w:val="000000"/>
          <w:sz w:val="22"/>
        </w:rPr>
        <w:t xml:space="preserve">, </w:t>
      </w:r>
      <w:hyperlink r:id="rId327">
        <w:r>
          <w:rPr>
            <w:rStyle w:val="Hyperlink"/>
            <w:rFonts w:ascii="Times New Roman" w:hAnsi="Times New Roman"/>
            <w:b w:val="false"/>
            <w:i w:val="false"/>
            <w:color w:val="000000"/>
            <w:sz w:val="22"/>
          </w:rPr>
          <w:t>422.11A</w:t>
        </w:r>
      </w:hyperlink>
      <w:r>
        <w:rPr>
          <w:rFonts w:ascii="Times New Roman" w:hAnsi="Times New Roman"/>
          <w:b w:val="false"/>
          <w:i w:val="false"/>
          <w:color w:val="000000"/>
          <w:sz w:val="22"/>
        </w:rPr>
        <w:t xml:space="preserve">, </w:t>
      </w:r>
      <w:hyperlink r:id="rId328">
        <w:r>
          <w:rPr>
            <w:rStyle w:val="Hyperlink"/>
            <w:rFonts w:ascii="Times New Roman" w:hAnsi="Times New Roman"/>
            <w:b w:val="false"/>
            <w:i w:val="false"/>
            <w:color w:val="000000"/>
            <w:sz w:val="22"/>
          </w:rPr>
          <w:t>422.11B</w:t>
        </w:r>
      </w:hyperlink>
      <w:r>
        <w:rPr>
          <w:rFonts w:ascii="Times New Roman" w:hAnsi="Times New Roman"/>
          <w:b w:val="false"/>
          <w:i w:val="false"/>
          <w:color w:val="000000"/>
          <w:sz w:val="22"/>
        </w:rPr>
        <w:t xml:space="preserve">, </w:t>
      </w:r>
      <w:hyperlink r:id="rId329">
        <w:r>
          <w:rPr>
            <w:rStyle w:val="Hyperlink"/>
            <w:rFonts w:ascii="Times New Roman" w:hAnsi="Times New Roman"/>
            <w:b w:val="false"/>
            <w:i w:val="false"/>
            <w:color w:val="000000"/>
            <w:sz w:val="22"/>
          </w:rPr>
          <w:t>422.11D</w:t>
        </w:r>
      </w:hyperlink>
      <w:r>
        <w:rPr>
          <w:rFonts w:ascii="Times New Roman" w:hAnsi="Times New Roman"/>
          <w:b w:val="false"/>
          <w:i w:val="false"/>
          <w:color w:val="000000"/>
          <w:sz w:val="22"/>
        </w:rPr>
        <w:t xml:space="preserve">, </w:t>
      </w:r>
      <w:hyperlink r:id="rId330">
        <w:r>
          <w:rPr>
            <w:rStyle w:val="Hyperlink"/>
            <w:rFonts w:ascii="Times New Roman" w:hAnsi="Times New Roman"/>
            <w:b w:val="false"/>
            <w:i w:val="false"/>
            <w:color w:val="000000"/>
            <w:sz w:val="22"/>
          </w:rPr>
          <w:t>422.11E</w:t>
        </w:r>
      </w:hyperlink>
      <w:r>
        <w:rPr>
          <w:rFonts w:ascii="Times New Roman" w:hAnsi="Times New Roman"/>
          <w:b w:val="false"/>
          <w:i w:val="false"/>
          <w:color w:val="000000"/>
          <w:sz w:val="22"/>
        </w:rPr>
        <w:t xml:space="preserve">, </w:t>
      </w:r>
      <w:hyperlink r:id="rId331">
        <w:r>
          <w:rPr>
            <w:rStyle w:val="Hyperlink"/>
            <w:rFonts w:ascii="Times New Roman" w:hAnsi="Times New Roman"/>
            <w:b w:val="false"/>
            <w:i w:val="false"/>
            <w:color w:val="000000"/>
            <w:sz w:val="22"/>
          </w:rPr>
          <w:t>422.11F</w:t>
        </w:r>
      </w:hyperlink>
      <w:r>
        <w:rPr>
          <w:rFonts w:ascii="Times New Roman" w:hAnsi="Times New Roman"/>
          <w:b w:val="false"/>
          <w:i w:val="false"/>
          <w:color w:val="000000"/>
          <w:sz w:val="22"/>
        </w:rPr>
        <w:t xml:space="preserve">, </w:t>
      </w:r>
      <w:hyperlink r:id="rId332">
        <w:r>
          <w:rPr>
            <w:rStyle w:val="Hyperlink"/>
            <w:rFonts w:ascii="Times New Roman" w:hAnsi="Times New Roman"/>
            <w:b w:val="false"/>
            <w:i w:val="false"/>
            <w:color w:val="000000"/>
            <w:sz w:val="22"/>
          </w:rPr>
          <w:t>422.11H</w:t>
        </w:r>
      </w:hyperlink>
      <w:r>
        <w:rPr>
          <w:rFonts w:ascii="Times New Roman" w:hAnsi="Times New Roman"/>
          <w:b w:val="false"/>
          <w:i w:val="false"/>
          <w:color w:val="000000"/>
          <w:sz w:val="22"/>
        </w:rPr>
        <w:t xml:space="preserve">, </w:t>
      </w:r>
      <w:hyperlink r:id="rId333">
        <w:r>
          <w:rPr>
            <w:rStyle w:val="Hyperlink"/>
            <w:rFonts w:ascii="Times New Roman" w:hAnsi="Times New Roman"/>
            <w:b w:val="false"/>
            <w:i w:val="false"/>
            <w:color w:val="000000"/>
            <w:sz w:val="22"/>
          </w:rPr>
          <w:t>422.11I</w:t>
        </w:r>
      </w:hyperlink>
      <w:r>
        <w:rPr>
          <w:rFonts w:ascii="Times New Roman" w:hAnsi="Times New Roman"/>
          <w:b w:val="false"/>
          <w:i w:val="false"/>
          <w:color w:val="000000"/>
          <w:sz w:val="22"/>
        </w:rPr>
        <w:t xml:space="preserve">, </w:t>
      </w:r>
      <w:hyperlink r:id="rId334">
        <w:r>
          <w:rPr>
            <w:rStyle w:val="Hyperlink"/>
            <w:rFonts w:ascii="Times New Roman" w:hAnsi="Times New Roman"/>
            <w:b w:val="false"/>
            <w:i w:val="false"/>
            <w:color w:val="000000"/>
            <w:sz w:val="22"/>
          </w:rPr>
          <w:t>422.11J</w:t>
        </w:r>
      </w:hyperlink>
      <w:r>
        <w:rPr>
          <w:rFonts w:ascii="Times New Roman" w:hAnsi="Times New Roman"/>
          <w:b w:val="false"/>
          <w:i w:val="false"/>
          <w:color w:val="000000"/>
          <w:sz w:val="22"/>
        </w:rPr>
        <w:t xml:space="preserve">, </w:t>
      </w:r>
      <w:hyperlink r:id="rId335">
        <w:r>
          <w:rPr>
            <w:rStyle w:val="Hyperlink"/>
            <w:rFonts w:ascii="Times New Roman" w:hAnsi="Times New Roman"/>
            <w:b w:val="false"/>
            <w:i w:val="false"/>
            <w:color w:val="000000"/>
            <w:sz w:val="22"/>
          </w:rPr>
          <w:t>422.11L</w:t>
        </w:r>
      </w:hyperlink>
      <w:r>
        <w:rPr>
          <w:rFonts w:ascii="Times New Roman" w:hAnsi="Times New Roman"/>
          <w:b w:val="false"/>
          <w:i w:val="false"/>
          <w:color w:val="000000"/>
          <w:sz w:val="22"/>
        </w:rPr>
        <w:t xml:space="preserve">, </w:t>
      </w:r>
      <w:hyperlink r:id="rId336">
        <w:r>
          <w:rPr>
            <w:rStyle w:val="Hyperlink"/>
            <w:rFonts w:ascii="Times New Roman" w:hAnsi="Times New Roman"/>
            <w:b w:val="false"/>
            <w:i w:val="false"/>
            <w:color w:val="000000"/>
            <w:sz w:val="22"/>
          </w:rPr>
          <w:t>422.11M</w:t>
        </w:r>
      </w:hyperlink>
      <w:r>
        <w:rPr>
          <w:rFonts w:ascii="Times New Roman" w:hAnsi="Times New Roman"/>
          <w:b w:val="false"/>
          <w:i w:val="false"/>
          <w:color w:val="000000"/>
          <w:sz w:val="22"/>
        </w:rPr>
        <w:t xml:space="preserve">, </w:t>
      </w:r>
      <w:hyperlink r:id="rId337">
        <w:r>
          <w:rPr>
            <w:rStyle w:val="Hyperlink"/>
            <w:rFonts w:ascii="Times New Roman" w:hAnsi="Times New Roman"/>
            <w:b w:val="false"/>
            <w:i w:val="false"/>
            <w:color w:val="000000"/>
            <w:sz w:val="22"/>
          </w:rPr>
          <w:t>422.11N</w:t>
        </w:r>
      </w:hyperlink>
      <w:r>
        <w:rPr>
          <w:rFonts w:ascii="Times New Roman" w:hAnsi="Times New Roman"/>
          <w:b w:val="false"/>
          <w:i w:val="false"/>
          <w:color w:val="000000"/>
          <w:sz w:val="22"/>
        </w:rPr>
        <w:t xml:space="preserve">, </w:t>
      </w:r>
      <w:hyperlink r:id="rId338">
        <w:r>
          <w:rPr>
            <w:rStyle w:val="Hyperlink"/>
            <w:rFonts w:ascii="Times New Roman" w:hAnsi="Times New Roman"/>
            <w:b w:val="false"/>
            <w:i w:val="false"/>
            <w:color w:val="000000"/>
            <w:sz w:val="22"/>
          </w:rPr>
          <w:t>422.11O</w:t>
        </w:r>
      </w:hyperlink>
      <w:r>
        <w:rPr>
          <w:rFonts w:ascii="Times New Roman" w:hAnsi="Times New Roman"/>
          <w:b w:val="false"/>
          <w:i w:val="false"/>
          <w:color w:val="000000"/>
          <w:sz w:val="22"/>
        </w:rPr>
        <w:t xml:space="preserve">, </w:t>
      </w:r>
      <w:hyperlink r:id="rId339">
        <w:r>
          <w:rPr>
            <w:rStyle w:val="Hyperlink"/>
            <w:rFonts w:ascii="Times New Roman" w:hAnsi="Times New Roman"/>
            <w:b w:val="false"/>
            <w:i w:val="false"/>
            <w:color w:val="000000"/>
            <w:sz w:val="22"/>
          </w:rPr>
          <w:t>422.11P</w:t>
        </w:r>
      </w:hyperlink>
      <w:r>
        <w:rPr>
          <w:rFonts w:ascii="Times New Roman" w:hAnsi="Times New Roman"/>
          <w:b w:val="false"/>
          <w:i w:val="false"/>
          <w:color w:val="000000"/>
          <w:sz w:val="22"/>
        </w:rPr>
        <w:t xml:space="preserve">, </w:t>
      </w:r>
      <w:hyperlink r:id="rId340">
        <w:r>
          <w:rPr>
            <w:rStyle w:val="Hyperlink"/>
            <w:rFonts w:ascii="Times New Roman" w:hAnsi="Times New Roman"/>
            <w:b w:val="false"/>
            <w:i w:val="false"/>
            <w:color w:val="000000"/>
            <w:sz w:val="22"/>
          </w:rPr>
          <w:t>422.11Q</w:t>
        </w:r>
      </w:hyperlink>
      <w:r>
        <w:rPr>
          <w:rFonts w:ascii="Times New Roman" w:hAnsi="Times New Roman"/>
          <w:b w:val="false"/>
          <w:i w:val="false"/>
          <w:color w:val="000000"/>
          <w:sz w:val="22"/>
        </w:rPr>
        <w:t xml:space="preserve">, </w:t>
      </w:r>
      <w:hyperlink r:id="rId341">
        <w:r>
          <w:rPr>
            <w:rStyle w:val="Hyperlink"/>
            <w:rFonts w:ascii="Times New Roman" w:hAnsi="Times New Roman"/>
            <w:b w:val="false"/>
            <w:i w:val="false"/>
            <w:color w:val="000000"/>
            <w:sz w:val="22"/>
          </w:rPr>
          <w:t>422.11R</w:t>
        </w:r>
      </w:hyperlink>
      <w:r>
        <w:rPr>
          <w:rFonts w:ascii="Times New Roman" w:hAnsi="Times New Roman"/>
          <w:b w:val="false"/>
          <w:i w:val="false"/>
          <w:color w:val="000000"/>
          <w:sz w:val="22"/>
        </w:rPr>
        <w:t xml:space="preserve">, </w:t>
      </w:r>
      <w:hyperlink r:id="rId342">
        <w:r>
          <w:rPr>
            <w:rStyle w:val="Hyperlink"/>
            <w:rFonts w:ascii="Times New Roman" w:hAnsi="Times New Roman"/>
            <w:b w:val="false"/>
            <w:i w:val="false"/>
            <w:color w:val="000000"/>
            <w:sz w:val="22"/>
          </w:rPr>
          <w:t>422.11S</w:t>
        </w:r>
      </w:hyperlink>
      <w:r>
        <w:rPr>
          <w:rFonts w:ascii="Times New Roman" w:hAnsi="Times New Roman"/>
          <w:b w:val="false"/>
          <w:i w:val="false"/>
          <w:color w:val="000000"/>
          <w:sz w:val="22"/>
        </w:rPr>
        <w:t xml:space="preserve">, </w:t>
      </w:r>
      <w:hyperlink r:id="rId343">
        <w:r>
          <w:rPr>
            <w:rStyle w:val="Hyperlink"/>
            <w:rFonts w:ascii="Times New Roman" w:hAnsi="Times New Roman"/>
            <w:b w:val="false"/>
            <w:i w:val="false"/>
            <w:color w:val="000000"/>
            <w:sz w:val="22"/>
          </w:rPr>
          <w:t>422.11V</w:t>
        </w:r>
      </w:hyperlink>
      <w:r>
        <w:rPr>
          <w:rFonts w:ascii="Times New Roman" w:hAnsi="Times New Roman"/>
          <w:b w:val="false"/>
          <w:i w:val="false"/>
          <w:color w:val="000000"/>
          <w:sz w:val="22"/>
        </w:rPr>
        <w:t xml:space="preserve">, </w:t>
      </w:r>
      <w:hyperlink r:id="rId344">
        <w:r>
          <w:rPr>
            <w:rStyle w:val="Hyperlink"/>
            <w:rFonts w:ascii="Times New Roman" w:hAnsi="Times New Roman"/>
            <w:b w:val="false"/>
            <w:i w:val="false"/>
            <w:color w:val="000000"/>
            <w:sz w:val="22"/>
          </w:rPr>
          <w:t>422.11W</w:t>
        </w:r>
      </w:hyperlink>
      <w:r>
        <w:rPr>
          <w:rFonts w:ascii="Times New Roman" w:hAnsi="Times New Roman"/>
          <w:b w:val="false"/>
          <w:i w:val="false"/>
          <w:color w:val="000000"/>
          <w:sz w:val="22"/>
        </w:rPr>
        <w:t xml:space="preserve">, </w:t>
      </w:r>
      <w:hyperlink r:id="rId345">
        <w:r>
          <w:rPr>
            <w:rStyle w:val="Hyperlink"/>
            <w:rFonts w:ascii="Times New Roman" w:hAnsi="Times New Roman"/>
            <w:b w:val="false"/>
            <w:i w:val="false"/>
            <w:color w:val="000000"/>
            <w:sz w:val="22"/>
          </w:rPr>
          <w:t>422.11Y</w:t>
        </w:r>
      </w:hyperlink>
      <w:r>
        <w:rPr>
          <w:rFonts w:ascii="Times New Roman" w:hAnsi="Times New Roman"/>
          <w:b w:val="false"/>
          <w:i w:val="false"/>
          <w:color w:val="000000"/>
          <w:sz w:val="22"/>
        </w:rPr>
        <w:t xml:space="preserve">, </w:t>
      </w:r>
      <w:hyperlink r:id="rId346">
        <w:r>
          <w:rPr>
            <w:rStyle w:val="Hyperlink"/>
            <w:rFonts w:ascii="Times New Roman" w:hAnsi="Times New Roman"/>
            <w:b w:val="false"/>
            <w:i w:val="false"/>
            <w:color w:val="000000"/>
            <w:sz w:val="22"/>
          </w:rPr>
          <w:t>422.11Z</w:t>
        </w:r>
      </w:hyperlink>
      <w:r>
        <w:rPr>
          <w:rFonts w:ascii="Times New Roman" w:hAnsi="Times New Roman"/>
          <w:b w:val="false"/>
          <w:i w:val="false"/>
          <w:color w:val="000000"/>
          <w:sz w:val="22"/>
        </w:rPr>
        <w:t xml:space="preserve">, </w:t>
      </w:r>
      <w:hyperlink r:id="rId347">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w:t>
      </w:r>
      <w:hyperlink r:id="rId348">
        <w:r>
          <w:rPr>
            <w:rStyle w:val="Hyperlink"/>
            <w:rFonts w:ascii="Times New Roman" w:hAnsi="Times New Roman"/>
            <w:b w:val="false"/>
            <w:i w:val="false"/>
            <w:color w:val="000000"/>
            <w:sz w:val="22"/>
          </w:rPr>
          <w:t>422.12B</w:t>
        </w:r>
      </w:hyperlink>
      <w:r>
        <w:rPr>
          <w:rFonts w:ascii="Times New Roman" w:hAnsi="Times New Roman"/>
          <w:b w:val="false"/>
          <w:i w:val="false"/>
          <w:color w:val="000000"/>
          <w:sz w:val="22"/>
        </w:rPr>
        <w:t xml:space="preserve">, </w:t>
      </w:r>
      <w:hyperlink r:id="rId349">
        <w:r>
          <w:rPr>
            <w:rStyle w:val="Hyperlink"/>
            <w:rFonts w:ascii="Times New Roman" w:hAnsi="Times New Roman"/>
            <w:b w:val="false"/>
            <w:i w:val="false"/>
            <w:color w:val="000000"/>
            <w:sz w:val="22"/>
          </w:rPr>
          <w:t>422.12C</w:t>
        </w:r>
      </w:hyperlink>
      <w:r>
        <w:rPr>
          <w:rFonts w:ascii="Times New Roman" w:hAnsi="Times New Roman"/>
          <w:b w:val="false"/>
          <w:i w:val="false"/>
          <w:color w:val="000000"/>
          <w:sz w:val="22"/>
        </w:rPr>
        <w:t xml:space="preserve"> and </w:t>
      </w:r>
      <w:hyperlink r:id="rId350">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2014 Iowa Acts, House Files 2448 and 2468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6030C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6900C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701—304.45</w:t>
      </w:r>
      <w:r>
        <w:rPr>
          <w:rFonts w:ascii="Times New Roman" w:hAnsi="Times New Roman"/>
          <w:b/>
          <w:i w:val="false"/>
          <w:color w:val="000000"/>
          <w:sz w:val="22"/>
        </w:rPr>
        <w:t xml:space="preserve">(15) </w:t>
      </w:r>
      <w:r>
        <w:rPr>
          <w:rFonts w:ascii="Times New Roman" w:hAnsi="Times New Roman"/>
          <w:b/>
          <w:i w:val="false"/>
          <w:color w:val="000000"/>
          <w:sz w:val="22"/>
        </w:rPr>
        <w:t xml:space="preserve">Aggregate tax credit limit for certain economic development programs. </w:t>
      </w:r>
      <w:r>
        <w:rPr>
          <w:rFonts w:ascii="Times New Roman" w:hAnsi="Times New Roman"/>
          <w:b w:val="false"/>
          <w:i w:val="false"/>
          <w:color w:val="000000"/>
          <w:sz w:val="22"/>
        </w:rPr>
        <w:t xml:space="preserve">Effective for the fiscal year beginning July 1, 2009, awards made under certain economic development programs cannot exceed $185 million during a fiscal year. Effective for fiscal years beginning on or after July 1, 2010, but beginning before July 1, 2012, awards made under these economic development programs cannot exceed $120 million during a fiscal year. Effective for fiscal years beginning on or after July 1, 2012, awards made under these economic development programs cannot exceed $170 million. For fiscal years beginning on or after July 1, 2010, but beginning before July 1, 2014, these programs include the assistive device tax credit program, the enterprise zone program, the housing enterprise zone program, the high quality jobs program, the redevelopment tax credit program, tax credits for investments in qualifying businesses and community-based seed capital funds, and the innovation fund tax credit program. For fiscal years beginning on or after July 1, 2014, these programs include the assistive device tax credit program, the workforce housing tax incentives program, the high quality jobs program, the redevelopment tax credit program, tax credits for investments in qualifying businesses and community-based seed capital funds, and the innovation fund tax credit program. The administrative rules for the aggregate tax credit limit for the economic development authority may be found at </w:t>
      </w:r>
      <w:hyperlink r:id="rId351">
        <w:r>
          <w:rPr>
            <w:rStyle w:val="Hyperlink"/>
            <w:rFonts w:ascii="Times New Roman" w:hAnsi="Times New Roman"/>
            <w:b w:val="false"/>
            <w:i w:val="false"/>
            <w:color w:val="000000"/>
            <w:sz w:val="22"/>
          </w:rPr>
          <w:t>261—Chapter 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2">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2448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701—304.46</w:t>
      </w:r>
      <w:r>
        <w:rPr>
          <w:rFonts w:ascii="Times New Roman" w:hAnsi="Times New Roman"/>
          <w:b/>
          <w:i w:val="false"/>
          <w:color w:val="000000"/>
          <w:sz w:val="22"/>
        </w:rPr>
        <w:t xml:space="preserve">(422) </w:t>
      </w:r>
      <w:r>
        <w:rPr>
          <w:rFonts w:ascii="Times New Roman" w:hAnsi="Times New Roman"/>
          <w:b/>
          <w:i w:val="false"/>
          <w:color w:val="000000"/>
          <w:sz w:val="22"/>
        </w:rPr>
        <w:t xml:space="preserve">E-15 plus gasoline promotion tax credit. </w:t>
      </w:r>
      <w:r>
        <w:rPr>
          <w:rFonts w:ascii="Times New Roman" w:hAnsi="Times New Roman"/>
          <w:b w:val="false"/>
          <w:i w:val="false"/>
          <w:color w:val="000000"/>
          <w:sz w:val="22"/>
        </w:rPr>
        <w:t xml:space="preserve">Effective for eligible gallons sold on or after July 1, 2011, a retail dealer of gasoline may claim an E-15 plus gasoline promotion tax credit. “E-15 plus gasoline” means ethanol blended gasoline formulated with a minimum percentage of between 15 percent and 69 percent of volume of ethanol, if the formulation meets the standards provided in Iowa Code section </w:t>
      </w:r>
      <w:hyperlink r:id="rId353">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For purposes of this rule, tank wagon sales are considered retail sales. The credit is calculated on Form IA 138.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304.46(1)</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Amount of credit. </w:t>
      </w:r>
      <w:r>
        <w:rPr>
          <w:rFonts w:ascii="Times New Roman" w:hAnsi="Times New Roman"/>
          <w:b w:val="false"/>
          <w:i w:val="false"/>
          <w:color w:val="000000"/>
          <w:sz w:val="22"/>
        </w:rPr>
        <w:t>The tax credit is calculated by multiplying the total number of E-15 plus gallons sold by the retail dealer during the tax year by the following designated rates:</w:t>
      </w:r>
    </w:p>
    <w:tbl>
      <w:tblPr>
        <w:tblW w:w="5000" w:type="pct"/>
        <w:tblCellSpacing w:w="0" w:type="auto"/>
        <w:tblBorders>
          <w:top w:val="none"/>
          <w:left w:val="none"/>
          <w:bottom w:val="none"/>
          <w:right w:val="none"/>
          <w:insideH w:val="none"/>
          <w:insideV w:val="none"/>
        </w:tblBorders>
        <w:tblLayout w:type="fixed"/>
      </w:tblPr>
      <w:tblGrid>
        <w:gridCol w:w="8475"/>
        <w:gridCol w:w="2715"/>
      </w:tblGrid>
      <w:tr>
        <w:trPr>
          <w:trHeight w:val="255" w:hRule="atLeast"/>
        </w:trPr>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Gallons sold from July 1, 2011, through December 31, 2013</w:t>
            </w:r>
          </w:p>
        </w:tc>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 cents</w:t>
            </w:r>
          </w:p>
        </w:tc>
      </w:tr>
      <w:tr>
        <w:trPr>
          <w:trHeight w:val="480" w:hRule="atLeast"/>
        </w:trPr>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Gallons sold from January 1 through May 31 and from September 16 through December 31 for the 2014-2024 calendar years</w:t>
            </w:r>
          </w:p>
        </w:tc>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 cents</w:t>
            </w:r>
          </w:p>
        </w:tc>
      </w:tr>
      <w:tr>
        <w:trPr>
          <w:trHeight w:val="480" w:hRule="atLeast"/>
        </w:trPr>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Gallons sold from June 1 through September 15 for the 2014-2024 calendar years</w:t>
            </w:r>
          </w:p>
        </w:tc>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 cents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with other credits. </w:t>
      </w:r>
      <w:r>
        <w:rPr>
          <w:rFonts w:ascii="Times New Roman" w:hAnsi="Times New Roman"/>
          <w:b w:val="false"/>
          <w:i w:val="false"/>
          <w:color w:val="000000"/>
          <w:sz w:val="22"/>
        </w:rPr>
        <w:t xml:space="preserve">A taxpayer may claim the E-15 plus gasoline promotion tax credit even if the taxpayer also claims the ethanol promotion tax credit provided in rule </w:t>
      </w:r>
      <w:hyperlink r:id="rId354">
        <w:r>
          <w:rPr>
            <w:rStyle w:val="Hyperlink"/>
            <w:rFonts w:ascii="Times New Roman" w:hAnsi="Times New Roman"/>
            <w:b w:val="false"/>
            <w:i w:val="false"/>
            <w:color w:val="000000"/>
            <w:sz w:val="22"/>
          </w:rPr>
          <w:t>701—304.39</w:t>
        </w:r>
      </w:hyperlink>
      <w:r>
        <w:rPr>
          <w:rFonts w:ascii="Times New Roman" w:hAnsi="Times New Roman"/>
          <w:b w:val="false"/>
          <w:i w:val="false"/>
          <w:color w:val="000000"/>
          <w:sz w:val="22"/>
        </w:rPr>
        <w:t>(422) for gallons sold on or after January 1, 2011, but prior to January 1, 2021, for the same tax year for the same ethanol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The credit may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304.46(2)</w:t>
      </w:r>
      <w:r>
        <w:rPr>
          <w:rFonts w:ascii="Times New Roman" w:hAnsi="Times New Roman"/>
          <w:b w:val="false"/>
          <w:i w:val="false"/>
          <w:color w:val="000000"/>
          <w:sz w:val="22"/>
        </w:rPr>
        <w:t> </w:t>
      </w:r>
      <w:r>
        <w:rPr>
          <w:rFonts w:ascii="Times New Roman" w:hAnsi="Times New Roman"/>
          <w:b w:val="false"/>
          <w:i/>
          <w:color w:val="000000"/>
          <w:sz w:val="22"/>
        </w:rPr>
        <w:t xml:space="preserve">Fiscal year filers. </w:t>
      </w:r>
      <w:r>
        <w:rPr>
          <w:rFonts w:ascii="Times New Roman" w:hAnsi="Times New Roman"/>
          <w:b w:val="false"/>
          <w:i w:val="false"/>
          <w:color w:val="000000"/>
          <w:sz w:val="22"/>
        </w:rPr>
        <w:t>For taxpayers whose tax year is not on a calendar-year basis, the taxpayer may compute the tax credit on the gallons of E-15 plus gasoline sold during the year using the designated rates as shown above. Because the tax credit is repealed on January 1, 2025, a taxpayer whose tax year ends prior to December 31, 2024, may continue to claim the tax credit in the following tax year for any E-15 plus gallons sold through December 31, 2024. For a retail dealer whose tax year is not on a calendar-year basis and who did not claim the E-15 plus credit on the previous return, the dealer may claim the credit for the current tax year for gallons sold for the period beginning on July 1 of the previous tax year until the last day of the previous tax year. However, for taxpayers whose fiscal year ends prior to December 31, 2011, the dealer must claim the credit for the current tax year for gallons sold for the period beginning on July 1 of the previous tax year until the last day of the previous tax year.</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who is a retail dealer of gasoline has a fiscal year ending October 31, 2011. The taxpayer sold 2,000 gallons of E-15 plus gasoline for the period from July 1, 2011, through October 31, 2011, and sold 7,000 gallons of E-15 plus gasoline for the period from November 1, 2011, through October 31, 2012. The taxpayer is entitled to a total E-15 plus gasoline promotion tax credit of $270 for the fiscal year ending October 31, 2012, which consists of a $60 credit (2,000 gallons multiplied by 3 cents) for the period from July 1, 2011, through October 31, 2011, and a credit of $210 (7,000 gallons multiplied by 3 cents) for the period from November 1, 2011, through October 31, 2012.</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who is a retail dealer of gasoline has a fiscal year ending April 30, 2012. The taxpayer sold 4,000 gallons of E-15 plus gasoline between July 1, 2011, and April 30, 2012. The taxpayer sold 9,000 gallons of E-15 plus gasoline between May 1, 2012, and April 30, 2013. The taxpayer is entitled to claim an E-15 plus gasoline promotion tax credit of $120 (4,000 gallons multiplied by 3 cents) for the fiscal year ending April 30, 2012. In lieu of claiming the credit on the return for the period ending April 30, 2012, the taxpayer can claim the E-15 plus gasoline promotion tax credit on the tax return for the period ending April 30, 2013, for all E-15 plus gasoline gallons sold for the period from July 1, 2011, through April 30, 2013.</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A taxpayer who is a retail dealer of gasoline has a fiscal year ending February 28, 2025. The taxpayer sold 20,000 total gallons of E-15 plus gasoline for the entire period from March 1, 2024, through February 28, 2025. For the period from March 1 through May 31, 2024, the taxpayer sold 4,000 gallons of E-15 plus gasoline, which entitles the taxpayer to a credit of $120 (4,000 gallons multiplied by 3 cents). For the period from June 1 through September 15, 2024, the taxpayer sold 6,000 gallons of E-15 plus gasoline, which entitles the taxpayer to a credit of $600 (6,000 gallons multiplied by 10 cents). For the period from September 16 through December 31, 2024, the taxpayer sold 6,000 gallons of E-15 plus gasoline, which entitles the taxpayer to a credit of $180 (6,000 gallons multiplied by 3 cents). For the period from January 1 through February 28, 2025, the taxpayer sold 4,000 gallons of E-15 plus gasoline, which occurred after expiration of the credit. The taxpayer is entitled to claim a total E-15 plus gasoline promotion tax credit of $900 ($120 plus $600 plus $180) on the taxpayer’s Iowa income tax return for the period ending February 28,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304.46(3)</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or to beneficiaries of an estate or trust. </w:t>
      </w:r>
      <w:r>
        <w:rPr>
          <w:rFonts w:ascii="Times New Roman" w:hAnsi="Times New Roman"/>
          <w:b w:val="false"/>
          <w:i w:val="false"/>
          <w:color w:val="000000"/>
          <w:sz w:val="22"/>
        </w:rPr>
        <w:t>If a taxpayer claiming the E-15 plus gasoline promotion tax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5">
        <w:r>
          <w:rPr>
            <w:rStyle w:val="Hyperlink"/>
            <w:rFonts w:ascii="Times New Roman" w:hAnsi="Times New Roman"/>
            <w:b w:val="false"/>
            <w:i w:val="false"/>
            <w:color w:val="000000"/>
            <w:sz w:val="22"/>
          </w:rPr>
          <w:t>422.11Y</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Senate File 2309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3043C</w:t>
      </w:r>
      <w:r>
        <w:rPr>
          <w:rFonts w:ascii="Times New Roman" w:hAnsi="Times New Roman"/>
          <w:b w:val="false"/>
          <w:i w:val="false"/>
          <w:color w:val="000000"/>
          <w:sz w:val="16"/>
        </w:rPr>
        <w:t>, IAB 4/26/17, effective 5/31/17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701—304.47</w:t>
      </w:r>
      <w:r>
        <w:rPr>
          <w:rFonts w:ascii="Times New Roman" w:hAnsi="Times New Roman"/>
          <w:b/>
          <w:i w:val="false"/>
          <w:color w:val="000000"/>
          <w:sz w:val="22"/>
        </w:rPr>
        <w:t xml:space="preserve">(422) </w:t>
      </w:r>
      <w:r>
        <w:rPr>
          <w:rFonts w:ascii="Times New Roman" w:hAnsi="Times New Roman"/>
          <w:b/>
          <w:i w:val="false"/>
          <w:color w:val="000000"/>
          <w:sz w:val="22"/>
        </w:rPr>
        <w:t xml:space="preserve">Geothermal heat pump tax credit. </w:t>
      </w:r>
      <w:r>
        <w:rPr>
          <w:rFonts w:ascii="Times New Roman" w:hAnsi="Times New Roman"/>
          <w:b w:val="false"/>
          <w:i w:val="false"/>
          <w:color w:val="000000"/>
          <w:sz w:val="22"/>
        </w:rPr>
        <w:t xml:space="preserve">For tax years beginning on or after January 1, 2019, but before January 1, 2024, a geothermal heat pump tax credit is available for residential property located in Iowa as provided in Iowa Code section </w:t>
      </w:r>
      <w:hyperlink r:id="rId356">
        <w:r>
          <w:rPr>
            <w:rStyle w:val="Hyperlink"/>
            <w:rFonts w:ascii="Times New Roman" w:hAnsi="Times New Roman"/>
            <w:b w:val="false"/>
            <w:i w:val="false"/>
            <w:color w:val="000000"/>
            <w:sz w:val="22"/>
          </w:rPr>
          <w:t>422.12N</w:t>
        </w:r>
      </w:hyperlink>
      <w:r>
        <w:rPr>
          <w:rFonts w:ascii="Times New Roman" w:hAnsi="Times New Roman"/>
          <w:b w:val="false"/>
          <w:i w:val="false"/>
          <w:color w:val="000000"/>
          <w:sz w:val="22"/>
        </w:rPr>
        <w:t xml:space="preserve"> and this rule. Information relating to Iowa geothermal tax credits available for tax years prior to January 1, 2019, can be found in prior versions of this rule. Prior versions of the Iowa Administrative Code are located here: </w:t>
      </w:r>
      <w:hyperlink r:id="rId357">
        <w:r>
          <w:rPr>
            <w:rStyle w:val="Hyperlink"/>
            <w:rFonts w:ascii="Times New Roman" w:hAnsi="Times New Roman"/>
            <w:b w:val="false"/>
            <w:i w:val="false"/>
            <w:color w:val="000000"/>
            <w:sz w:val="22"/>
            <w:u w:val="single"/>
          </w:rPr>
          <w:t>www.legis.iowa.gov/law/administrativeRules/agencies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304.47(1)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the credit. </w:t>
      </w:r>
      <w:r>
        <w:rPr>
          <w:rFonts w:ascii="Times New Roman" w:hAnsi="Times New Roman"/>
          <w:b w:val="false"/>
          <w:i w:val="false"/>
          <w:color w:val="000000"/>
          <w:sz w:val="22"/>
        </w:rPr>
        <w:t>To be eligible for the credit described in this rule, all of the following requirements must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geothermal heat pump must be eligible for the federal residential energy efficient property tax credit provided in Section 25D(a)(5)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taxpayer must claim the federal residential energy efficient property tax credit provided in Section 25D(a)(5)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geothermal heat pump must be installed on residential property located in Iowa and placed in service on or after January 1, 2019, but before January 1, 2024. In determining whether this requirement is met, the term “placed in service” has the same meaning as used in Section 25D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taxpayer must submit a timely and complete application to the department in accordance with subrule </w:t>
      </w:r>
      <w:hyperlink r:id="rId358">
        <w:r>
          <w:rPr>
            <w:rStyle w:val="Hyperlink"/>
            <w:rFonts w:ascii="Times New Roman" w:hAnsi="Times New Roman"/>
            <w:b w:val="false"/>
            <w:i w:val="false"/>
            <w:color w:val="000000"/>
            <w:sz w:val="22"/>
          </w:rPr>
          <w:t>304.47(4)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304.47(2)</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credit is equal to 20 percent of the federal residential energy efficient property tax credit allowed for geothermal heat pumps provided in Section 25D(a)(5) of the Internal Revenue Code. Thus, the Iowa credit rate equals the following percentage of the qualified geothermal heat pump property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property placed in service during calendar year 2019, 6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property placed in service during calendar year 2020 or 2021, 5.2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property placed in service during calendar year 2022 or 2023, 6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credit expires on January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304.47(3)</w:t>
      </w:r>
      <w:r>
        <w:rPr>
          <w:rFonts w:ascii="Times New Roman" w:hAnsi="Times New Roman"/>
          <w:b w:val="false"/>
          <w:i w:val="false"/>
          <w:color w:val="000000"/>
          <w:sz w:val="22"/>
        </w:rPr>
        <w:t> </w:t>
      </w:r>
      <w:r>
        <w:rPr>
          <w:rFonts w:ascii="Times New Roman" w:hAnsi="Times New Roman"/>
          <w:b w:val="false"/>
          <w:i/>
          <w:color w:val="000000"/>
          <w:sz w:val="22"/>
        </w:rPr>
        <w:t xml:space="preserve">Tax credit award program limitations. </w:t>
      </w:r>
      <w:r>
        <w:rPr>
          <w:rFonts w:ascii="Times New Roman" w:hAnsi="Times New Roman"/>
          <w:b w:val="false"/>
          <w:i w:val="false"/>
          <w:color w:val="000000"/>
          <w:sz w:val="22"/>
        </w:rPr>
        <w:t>No more than $1 million in geothermal heat pump tax credits will be issued per calendar year. If the annual tax credit allocation cap is not reached, the remaining amount below the cap shall be made available for the following tax year in addition to, and cumulated with, the cap for that year. The credit will not be available for installations on or after January 1, 2024, even if the previous year’s cap was not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304.47(4)</w:t>
      </w:r>
      <w:r>
        <w:rPr>
          <w:rFonts w:ascii="Times New Roman" w:hAnsi="Times New Roman"/>
          <w:b w:val="false"/>
          <w:i w:val="false"/>
          <w:color w:val="000000"/>
          <w:sz w:val="22"/>
        </w:rPr>
        <w:t> </w:t>
      </w:r>
      <w:r>
        <w:rPr>
          <w:rFonts w:ascii="Times New Roman" w:hAnsi="Times New Roman"/>
          <w:b w:val="false"/>
          <w:i/>
          <w:color w:val="000000"/>
          <w:sz w:val="22"/>
        </w:rPr>
        <w:t xml:space="preserve">How to apply for the credit—waitlist.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Timely and complete applications shall be reviewed and approved on a first-come, first-served basis. Applications for the tax credit shall be submitted through the tax credit submission system, which applicants may access through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deadline. </w:t>
      </w:r>
      <w:r>
        <w:rPr>
          <w:rFonts w:ascii="Times New Roman" w:hAnsi="Times New Roman"/>
          <w:b w:val="false"/>
          <w:i w:val="false"/>
          <w:color w:val="000000"/>
          <w:sz w:val="22"/>
        </w:rPr>
        <w:t>The application must be filed by May 1 of the year following the year of the installation of the geothermal heat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application. </w:t>
      </w:r>
      <w:r>
        <w:rPr>
          <w:rFonts w:ascii="Times New Roman" w:hAnsi="Times New Roman"/>
          <w:b w:val="false"/>
          <w:i w:val="false"/>
          <w:color w:val="000000"/>
          <w:sz w:val="22"/>
        </w:rPr>
        <w:t>The application must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and federal identification number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Date of installation of the geothermal heat pump. This is the same as the date the installation was placed in service by the taxpayer.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Copies of invoices or other documents showing the cost of the geothermal heat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Amount of federal income tax credit claimed for the geothermal heat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Amount of Iowa tax credit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requested by the department in order to verify eligibility for or amount of the Iowa tax credit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Waitlist.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department receives applications for tax credits in excess of the annual aggregate award limitation, the department shall establish a waitlist for the next year’s allocation of tax credits. Valid and complete applications will be placed on the waitlist in the order they are received by the department. However, in the event the department denies an application or part of an application, and upon appeal by the taxpayer a previously denied tax credit amount is allowed, the date the appeal is closed will be used to determine the placement of the allowed tax credit amount on the waitlist. Waitlisted applications are reviewed and, if approved, funded in the order they are listed on the waitlist. Only valid applications filed by the taxpayer by May 1 of the year following the year the geothermal heat pump was installed shall be eligible for the waitlist.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annual aggregate cap is reached for the final year in which the federal credit is available, no applications will be carried over to the next year. Therefore, any geothermal heat pump tax credit request related to an installation completed prior to January 1, 2024, that does not receive a tax credit award by the time the 2023 aggregate award limitation is met shall expire and shall not be carried over on the waitlist to any future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Placement on a waitlist shall not constitute a promise binding the state that persons placed on the waitlist will actually receive the credit in a future year. The availability of a tax credit and approval of a tax credit application pursuant to this rule in a future year is contingent upon the availability of tax credits in that particular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304.47(5)</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Certificate issuance. </w:t>
      </w:r>
      <w:r>
        <w:rPr>
          <w:rFonts w:ascii="Times New Roman" w:hAnsi="Times New Roman"/>
          <w:b w:val="false"/>
          <w:i w:val="false"/>
          <w:color w:val="000000"/>
          <w:sz w:val="22"/>
        </w:rPr>
        <w:t xml:space="preserve">If the application is approved, the department will send a letter to the taxpayer including the amount of the tax credit and providing a tax credit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The geothermal heat pump tax credit will be claimed on Form IA 148, Tax Credits Schedule. The taxpayer must include with any Iowa tax return claiming the geothermal heat pump tax credit federal Form 5695, Residential Energy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Nonrefundable. </w:t>
      </w:r>
      <w:r>
        <w:rPr>
          <w:rFonts w:ascii="Times New Roman" w:hAnsi="Times New Roman"/>
          <w:b w:val="false"/>
          <w:i w:val="false"/>
          <w:color w:val="000000"/>
          <w:sz w:val="22"/>
        </w:rPr>
        <w:t>Any credit in excess of the taxpayer’s tax liability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Any tax credit in excess of the taxpayer’s tax liability for the tax year may be credited to the taxpayer’s tax liability for the following ten years or until depleted,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Nontransferable. </w:t>
      </w:r>
      <w:r>
        <w:rPr>
          <w:rFonts w:ascii="Times New Roman" w:hAnsi="Times New Roman"/>
          <w:b w:val="false"/>
          <w:i w:val="false"/>
          <w:color w:val="000000"/>
          <w:sz w:val="22"/>
        </w:rPr>
        <w:t>The tax credit may not be transferred to any other person.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9">
        <w:r>
          <w:rPr>
            <w:rStyle w:val="Hyperlink"/>
            <w:rFonts w:ascii="Times New Roman" w:hAnsi="Times New Roman"/>
            <w:b w:val="false"/>
            <w:i w:val="false"/>
            <w:color w:val="000000"/>
            <w:sz w:val="22"/>
          </w:rPr>
          <w:t>422.12N</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5589C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6903C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701—304.48</w:t>
      </w:r>
      <w:r>
        <w:rPr>
          <w:rFonts w:ascii="Times New Roman" w:hAnsi="Times New Roman"/>
          <w:b/>
          <w:i w:val="false"/>
          <w:color w:val="000000"/>
          <w:sz w:val="22"/>
        </w:rPr>
        <w:t xml:space="preserve">(422) </w:t>
      </w:r>
      <w:r>
        <w:rPr>
          <w:rFonts w:ascii="Times New Roman" w:hAnsi="Times New Roman"/>
          <w:b/>
          <w:i w:val="false"/>
          <w:color w:val="000000"/>
          <w:sz w:val="22"/>
        </w:rPr>
        <w:t xml:space="preserve">Solar energy system tax credit. </w:t>
      </w:r>
      <w:r>
        <w:rPr>
          <w:rFonts w:ascii="Times New Roman" w:hAnsi="Times New Roman"/>
          <w:b w:val="false"/>
          <w:i w:val="false"/>
          <w:color w:val="000000"/>
          <w:sz w:val="22"/>
        </w:rPr>
        <w:t xml:space="preserve">A solar energy system tax credit is available for both residential property and business property located in Iowa as provided in Iowa Code section </w:t>
      </w:r>
      <w:hyperlink r:id="rId360">
        <w:r>
          <w:rPr>
            <w:rStyle w:val="Hyperlink"/>
            <w:rFonts w:ascii="Times New Roman" w:hAnsi="Times New Roman"/>
            <w:b w:val="false"/>
            <w:i w:val="false"/>
            <w:color w:val="000000"/>
            <w:sz w:val="22"/>
          </w:rPr>
          <w:t>422.11L</w:t>
        </w:r>
      </w:hyperlink>
      <w:r>
        <w:rPr>
          <w:rFonts w:ascii="Times New Roman" w:hAnsi="Times New Roman"/>
          <w:b w:val="false"/>
          <w:i w:val="false"/>
          <w:color w:val="000000"/>
          <w:sz w:val="22"/>
        </w:rPr>
        <w:t xml:space="preserve"> and this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304.48(1)</w:t>
      </w:r>
      <w:r>
        <w:rPr>
          <w:rFonts w:ascii="Times New Roman" w:hAnsi="Times New Roman"/>
          <w:b w:val="false"/>
          <w:i w:val="false"/>
          <w:color w:val="000000"/>
          <w:sz w:val="22"/>
        </w:rPr>
        <w:t> </w:t>
      </w:r>
      <w:r>
        <w:rPr>
          <w:rFonts w:ascii="Times New Roman" w:hAnsi="Times New Roman"/>
          <w:b w:val="false"/>
          <w:i/>
          <w:color w:val="000000"/>
          <w:sz w:val="22"/>
        </w:rPr>
        <w:t xml:space="preserve">Relationship between the Iowa and federal credits.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credit is a percentage of the applicable federal credit. Taxpayers who apply for the Iowa credit must also qualify for and claim the corresponding federal credit. Availability of the Iowa credit for a specific type of installation in a given year is dependent upon availability of the federal credit for that type of installation.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credit conforms with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as amended to and including January 1, 2016. The term “Internal Revenue Code” as used in this rule refers to the Internal Revenue Code as it existed on January 1, 2016. See Iowa Code section </w:t>
      </w:r>
      <w:hyperlink r:id="rId361">
        <w:r>
          <w:rPr>
            <w:rStyle w:val="Hyperlink"/>
            <w:rFonts w:ascii="Times New Roman" w:hAnsi="Times New Roman"/>
            <w:b w:val="false"/>
            <w:i w:val="false"/>
            <w:color w:val="000000"/>
            <w:sz w:val="22"/>
          </w:rPr>
          <w:t>422.11L(6)</w:t>
        </w:r>
      </w:hyperlink>
      <w:r>
        <w:rPr>
          <w:rFonts w:ascii="Times New Roman" w:hAnsi="Times New Roman"/>
          <w:b w:val="false"/>
          <w:i w:val="false"/>
          <w:color w:val="000000"/>
          <w:sz w:val="22"/>
        </w:rPr>
        <w:t>; see also Public Law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114-113, Div.</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 Title III, §§ 302, 303, 304, and Div.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Q, Title I, § 187.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304.48(2)</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the credit—per installation award limitation.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credit is equal to the sum of the following federal tax credits for property located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Fifty percent of the federal residential energy property credit provided in </w:t>
      </w:r>
      <w:r>
        <w:rPr>
          <w:rFonts w:ascii="Times New Roman" w:hAnsi="Times New Roman"/>
          <w:b w:val="false"/>
          <w:i w:val="false"/>
          <w:color w:val="000000"/>
          <w:sz w:val="22"/>
        </w:rPr>
        <w:t>Section 25D(a)(1) of the Internal Revenue Code</w:t>
      </w:r>
      <w:r>
        <w:rPr>
          <w:rFonts w:ascii="Times New Roman" w:hAnsi="Times New Roman"/>
          <w:b w:val="false"/>
          <w:i w:val="false"/>
          <w:color w:val="000000"/>
          <w:sz w:val="22"/>
        </w:rPr>
        <w:t>. This federal credit equals an applicable percentage of qualified solar energy electric property expenditures described in Section 25D(d)(2) of the Internal Revenue Code for residential use. This credit is not available for Iowa purposes for any qualified solar energy electric property placed in service after December 31, 2021, in accordance with Public Law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114-113 Div.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 Title III, § 304.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Fifty percent of the federal residential energy property credit provided in </w:t>
      </w:r>
      <w:r>
        <w:rPr>
          <w:rFonts w:ascii="Times New Roman" w:hAnsi="Times New Roman"/>
          <w:b w:val="false"/>
          <w:i w:val="false"/>
          <w:color w:val="000000"/>
          <w:sz w:val="22"/>
        </w:rPr>
        <w:t>Section 25D(a)(2) of the Internal Revenue Code</w:t>
      </w:r>
      <w:r>
        <w:rPr>
          <w:rFonts w:ascii="Times New Roman" w:hAnsi="Times New Roman"/>
          <w:b w:val="false"/>
          <w:i w:val="false"/>
          <w:color w:val="000000"/>
          <w:sz w:val="22"/>
        </w:rPr>
        <w:t>. This federal credit equals an applicable percentage of the qualified solar water heating property expenditures described in Section 25D(d)(1) of the Internal Revenue Code for residential use. This credit is not available for Iowa purposes for any qualified solar water heating property placed in service after December 31, 2021, in accordance with Public Law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114-113 Div.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 Title III, § 304.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Fifty percent of the federal energy credit provided in </w:t>
      </w:r>
      <w:r>
        <w:rPr>
          <w:rFonts w:ascii="Times New Roman" w:hAnsi="Times New Roman"/>
          <w:b w:val="false"/>
          <w:i w:val="false"/>
          <w:color w:val="000000"/>
          <w:sz w:val="22"/>
        </w:rPr>
        <w:t>Section 48(a)(2)(A)(i)(II) of the Internal Revenue Code</w:t>
      </w:r>
      <w:r>
        <w:rPr>
          <w:rFonts w:ascii="Times New Roman" w:hAnsi="Times New Roman"/>
          <w:b w:val="false"/>
          <w:i w:val="false"/>
          <w:color w:val="000000"/>
          <w:sz w:val="22"/>
        </w:rPr>
        <w:t>. This federal credit equals an applicable percentage of energy property equipment described in Section 48(a)(3)(A)(i) of the Internal Revenue Code that uses solar energy to generate electricity, to heat or cool (or provide hot water for use in) a structure, or to provide solar process heat (excepting property used to generate energy for the purpose of heating a swimming pool), for business use. This credit is not available for Iowa purposes for any qualified property the construction of which begins on or after January 1, 2022, in accordance with Public Law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114-113 Div.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 Title III, § 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Fifty percent of the federal energy credit provided in </w:t>
      </w:r>
      <w:r>
        <w:rPr>
          <w:rFonts w:ascii="Times New Roman" w:hAnsi="Times New Roman"/>
          <w:b w:val="false"/>
          <w:i w:val="false"/>
          <w:color w:val="000000"/>
          <w:sz w:val="22"/>
        </w:rPr>
        <w:t>Section 48(a)(2)(A)(i)(III) of the Internal Revenue Code</w:t>
      </w:r>
      <w:r>
        <w:rPr>
          <w:rFonts w:ascii="Times New Roman" w:hAnsi="Times New Roman"/>
          <w:b w:val="false"/>
          <w:i w:val="false"/>
          <w:color w:val="000000"/>
          <w:sz w:val="22"/>
        </w:rPr>
        <w:t>. This federal credit equals an applicable percentage of energy property described in Section 48(a)(3)(A)(ii) of the Internal Revenue Code that uses solar energy to illuminate the inside of a structure using fiber-optic distributed sunlight, for business use. This credit is not available for Iowa purposes for any qualified property placed in service after December 31, 2016, in accordance with Public Law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114-113 Div.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Q, Title I, § 187.</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80"/>
        <w:gridCol w:w="2880"/>
        <w:gridCol w:w="2880"/>
        <w:gridCol w:w="2880"/>
      </w:tblGrid>
      <w:tr>
        <w:trPr>
          <w:trHeight w:val="405" w:hRule="atLeast"/>
        </w:trPr>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Solar Energy System Tax Credit Rates for Installations On or After January 1, 2016,* Based on 50% of Applicable Federal Rate Under Sections 25D and 48 of the Internal Revenue Code in Effect on January 1, 2016</w:t>
            </w:r>
          </w:p>
        </w:tc>
      </w:tr>
      <w:tr>
        <w:trPr>
          <w:trHeight w:val="40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Applicable Property</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 Construction Begins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 Property Placed in Service</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Tax Credit Rate</w:t>
            </w:r>
          </w:p>
        </w:tc>
      </w:tr>
      <w:tr>
        <w:trPr>
          <w:trHeight w:val="225" w:hRule="atLeast"/>
        </w:trPr>
        <w:tc>
          <w:tcPr>
            <w:tcW w:w="288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Qualified Residential Solar Electric Property Under Section 25D(a)(1) of the Internal Revenue Code</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2016-2019</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2020</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2021</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2022 or later</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288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Qualified Residential Solar Water Heating Property Under Section 25D(a)(2) of the Internal Revenue Code</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2016-2019</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2020</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2021</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2022 or later</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288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Qualified Business Energy Property (electric, heat/cool, solar process heat) Under Section 48(a)(2)(A)(i)(II) of the Internal Revenue Code</w:t>
            </w:r>
          </w:p>
        </w:tc>
        <w:tc>
          <w:tcPr>
            <w:tcW w:w="288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2016-2019</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2016-2023</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2024 or later</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w:t>
            </w:r>
          </w:p>
        </w:tc>
      </w:tr>
      <w:tr>
        <w:trPr>
          <w:trHeight w:val="225" w:hRule="atLeast"/>
        </w:trPr>
        <w:tc>
          <w:tcPr>
            <w:tcW w:w="0" w:type="auto"/>
            <w:vMerge/>
            <w:tcBorders>
              <w:top w:val="nil"/>
              <w:bottom w:val="single" w:color="000000" w:sz="8"/>
              <w:right w:val="single" w:color="000000" w:sz="8"/>
            </w:tcBorders>
          </w:tcPr>
          <w:p/>
        </w:tc>
        <w:tc>
          <w:tcPr>
            <w:tcW w:w="288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2020-2023</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2024 or later</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w:t>
            </w:r>
          </w:p>
        </w:tc>
      </w:tr>
      <w:tr>
        <w:trPr>
          <w:trHeight w:val="225" w:hRule="atLeast"/>
        </w:trPr>
        <w:tc>
          <w:tcPr>
            <w:tcW w:w="0" w:type="auto"/>
            <w:vMerge/>
            <w:tcBorders>
              <w:top w:val="nil"/>
              <w:bottom w:val="single" w:color="000000" w:sz="8"/>
              <w:right w:val="single" w:color="000000" w:sz="8"/>
            </w:tcBorders>
          </w:tcPr>
          <w:p/>
        </w:tc>
        <w:tc>
          <w:tcPr>
            <w:tcW w:w="288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2021</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2021-2023</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2024 or later</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2022 or later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2022 or later</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288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Qualified Business Energy Property (fiber-optic solar illumination) Under Section 48(a)(2)(A)(i)(III) of the Internal Revenue Code</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2016</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w:t>
            </w:r>
          </w:p>
        </w:tc>
      </w:tr>
      <w:tr>
        <w:trPr>
          <w:trHeight w:val="70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2017 or later</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405"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*For a description of Iowa tax credit rates for installations placed in service prior to January 1, 2016, consult the prior versions of this rule.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solar installation must be placed in service to be eligible for the tax credit. In determining whether this requirement is met, the term “placed in service” has the same meaning as used for purposes of </w:t>
      </w:r>
      <w:r>
        <w:rPr>
          <w:rFonts w:ascii="Times New Roman" w:hAnsi="Times New Roman"/>
          <w:b w:val="false"/>
          <w:i w:val="false"/>
          <w:color w:val="000000"/>
          <w:sz w:val="22"/>
        </w:rPr>
        <w:t>Section 25D or 48 of the Internal Revenue Code</w:t>
      </w:r>
      <w:r>
        <w:rPr>
          <w:rFonts w:ascii="Times New Roman" w:hAnsi="Times New Roman"/>
          <w:b w:val="false"/>
          <w:i w:val="false"/>
          <w:color w:val="000000"/>
          <w:sz w:val="22"/>
        </w:rPr>
        <w:t xml:space="preserve">, as applicable. The date a taxpayer begins construction of a solar installation for purposes of </w:t>
      </w:r>
      <w:r>
        <w:rPr>
          <w:rFonts w:ascii="Times New Roman" w:hAnsi="Times New Roman"/>
          <w:b w:val="false"/>
          <w:i w:val="false"/>
          <w:color w:val="000000"/>
          <w:sz w:val="22"/>
        </w:rPr>
        <w:t>Section 48 of the Internal Revenue Code</w:t>
      </w:r>
      <w:r>
        <w:rPr>
          <w:rFonts w:ascii="Times New Roman" w:hAnsi="Times New Roman"/>
          <w:b w:val="false"/>
          <w:i w:val="false"/>
          <w:color w:val="000000"/>
          <w:sz w:val="22"/>
        </w:rPr>
        <w:t xml:space="preserve"> shall be the same date the taxpayer begins construction for Iowa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tax credit claimed by a taxpayer related to subparagraphs </w:t>
      </w:r>
      <w:hyperlink r:id="rId362">
        <w:r>
          <w:rPr>
            <w:rStyle w:val="Hyperlink"/>
            <w:rFonts w:ascii="Times New Roman" w:hAnsi="Times New Roman"/>
            <w:b w:val="false"/>
            <w:i w:val="false"/>
            <w:color w:val="000000"/>
            <w:sz w:val="22"/>
          </w:rPr>
          <w:t>304.48(2)</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363">
        <w:r>
          <w:rPr>
            <w:rStyle w:val="Hyperlink"/>
            <w:rFonts w:ascii="Times New Roman" w:hAnsi="Times New Roman"/>
            <w:b w:val="false"/>
            <w:i w:val="false"/>
            <w:color w:val="000000"/>
            <w:sz w:val="22"/>
          </w:rPr>
          <w:t>304.48(2)</w:t>
        </w:r>
      </w:hyperlink>
      <w:r>
        <w:rPr>
          <w:rFonts w:ascii="Times New Roman" w:hAnsi="Times New Roman"/>
          <w:b w:val="false"/>
          <w:i/>
          <w:color w:val="000000"/>
          <w:sz w:val="22"/>
        </w:rPr>
        <w:t>“a”</w:t>
      </w:r>
      <w:r>
        <w:rPr>
          <w:rFonts w:ascii="Times New Roman" w:hAnsi="Times New Roman"/>
          <w:b w:val="false"/>
          <w:i w:val="false"/>
          <w:color w:val="000000"/>
          <w:sz w:val="22"/>
        </w:rPr>
        <w:t xml:space="preserve">(2) cannot exceed $5,000 per separate and distinct installation. The amount of tax credit claimed by a taxpayer related to subparagraphs </w:t>
      </w:r>
      <w:hyperlink r:id="rId364">
        <w:r>
          <w:rPr>
            <w:rStyle w:val="Hyperlink"/>
            <w:rFonts w:ascii="Times New Roman" w:hAnsi="Times New Roman"/>
            <w:b w:val="false"/>
            <w:i w:val="false"/>
            <w:color w:val="000000"/>
            <w:sz w:val="22"/>
          </w:rPr>
          <w:t>304.48(2)</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hyperlink r:id="rId365">
        <w:r>
          <w:rPr>
            <w:rStyle w:val="Hyperlink"/>
            <w:rFonts w:ascii="Times New Roman" w:hAnsi="Times New Roman"/>
            <w:b w:val="false"/>
            <w:i w:val="false"/>
            <w:color w:val="000000"/>
            <w:sz w:val="22"/>
          </w:rPr>
          <w:t>304.48(2)</w:t>
        </w:r>
      </w:hyperlink>
      <w:r>
        <w:rPr>
          <w:rFonts w:ascii="Times New Roman" w:hAnsi="Times New Roman"/>
          <w:b w:val="false"/>
          <w:i/>
          <w:color w:val="000000"/>
          <w:sz w:val="22"/>
        </w:rPr>
        <w:t>“a”</w:t>
      </w:r>
      <w:r>
        <w:rPr>
          <w:rFonts w:ascii="Times New Roman" w:hAnsi="Times New Roman"/>
          <w:b w:val="false"/>
          <w:i w:val="false"/>
          <w:color w:val="000000"/>
          <w:sz w:val="22"/>
        </w:rPr>
        <w:t xml:space="preserve">(4) cannot exceed $20,000 per separate and distinct installation. When a separate and distinct installation is used for both residential and business purposes, both award limitations apply and are calculated separately based on the proportion of the installation used for business purposes and for residential purposes. The taxpayer may use any reasonable method to establish the business and residential proportions, but the burden is on the taxpayer to prove the proper proportions. If the taxpayer does not provide adequate evidence to prove that the amounts of the business and residential proportions and the method for determining those proportions are reasonable, and if the department is unable to determine reasonable proportions from the information provided by the taxpayer, the entire installation shall be deemed used for residential purposes. The term “separate and distinct installation” is described in subrule </w:t>
      </w:r>
      <w:hyperlink r:id="rId366">
        <w:r>
          <w:rPr>
            <w:rStyle w:val="Hyperlink"/>
            <w:rFonts w:ascii="Times New Roman" w:hAnsi="Times New Roman"/>
            <w:b w:val="false"/>
            <w:i w:val="false"/>
            <w:color w:val="000000"/>
            <w:sz w:val="22"/>
          </w:rPr>
          <w:t>304.48(5)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Example 1: Taxpayer A is a farmer who installs solar energy property during 2020 that provides power to two farm buildings and A’s residence. Taxpayer A submits one application for the Iowa solar energy system tax credit showing $100,000 of total eligible expenditures. Taxpayer A provides evidence to the department that adequately explains A’s method of allocating the solar energy system’s total usage between business use and personal use, and shows that 40 percent of the solar energy property is used for residential purposes and 60 percent is used for farm business purposes. The department determines the amounts and the method for determining those proportions to be reasonable and therefore considers the taxpayer to have submitted a tax credit application requesting both a residential solar energy system tax credit and a business solar energy system tax credit. The residential tax credit request includes $40,000 ($100,000 × 40%) of eligible expenditures, subject to the $5,000 tax credit cap. Therefore, A is eligible for a residential tax credit of $5,000 ($40,000 × 13% Iowa credit rate = $5,200, less $200 in excess of cap). The business tax credit request includes $60,000 ($100,000 × 60%) of eligible expenditures, subject to the $20,000 tax credit cap. Therefore, A is eligible for a business tax credit of $7,800 ($60,000 × 13% Iowa credit rate). Taxpayer A receives a total Iowa tax credit of $12,800 ($5,000 + $7,800). Although A submitted one tax credit application in this situation, the resulting tax credit amount would have been the same if A had instead submitted two separate tax credit applications: one residential application with $40,000 of eligible expenditures and one business application with $60,000 of eligible expenditures.</w:t>
      </w:r>
    </w:p>
    <w:p>
      <w:pPr>
        <w:spacing w:before="0" w:after="0"/>
        <w:ind w:left="120"/>
        <w:jc w:val="both"/>
      </w:pPr>
      <w:r>
        <w:rPr>
          <w:rFonts w:ascii="Times New Roman" w:hAnsi="Times New Roman"/>
          <w:b w:val="false"/>
          <w:i w:val="false"/>
          <w:color w:val="000000"/>
          <w:sz w:val="22"/>
        </w:rPr>
        <w:t>Example 2: Same facts as Example 1, except that taxpayer A does not submit adequate evidence to the department supporting a reasonable method of determining the proportion of the solar energy property used for residential and business purposes, and the department is unable to determine reasonable proportions from the information provided by A. The department deems the entire installation used for residential purposes, subject to the $5,000 tax credit cap. Therefore, A receives a total Iowa tax credit of $5,000 ($100,000 × 13% Iowa credit rate = $13,000, less $8,000 in excess of cap).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Recomputation of federal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Because the Iowa credit is a percentage of the applicable federal credit, when the federal credit under </w:t>
      </w:r>
      <w:r>
        <w:rPr>
          <w:rFonts w:ascii="Times New Roman" w:hAnsi="Times New Roman"/>
          <w:b w:val="false"/>
          <w:i w:val="false"/>
          <w:color w:val="000000"/>
          <w:sz w:val="22"/>
        </w:rPr>
        <w:t>Section 48 of the Internal Revenue Code</w:t>
      </w:r>
      <w:r>
        <w:rPr>
          <w:rFonts w:ascii="Times New Roman" w:hAnsi="Times New Roman"/>
          <w:b w:val="false"/>
          <w:i w:val="false"/>
          <w:color w:val="000000"/>
          <w:sz w:val="22"/>
        </w:rPr>
        <w:t xml:space="preserve"> is recomputed under 26 CFR §1.47-1, the Iowa credit amount must also be recomputed and reduced by the same percentage that the federal credit was reduced. The federal credit recomputation is required on the federal Form 4255, Recapture of Investment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year of the recomputation, if the amount of the Iowa credit previously claimed is less than the recomputed Iowa credit amount, the taxpayer must reduce any remaining available carryforward amount to reflect the Iowa credit carryforward remaining after the recomputation.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amount of the Iowa credit previously claimed is more than the recomputed Iowa credit amount, the taxpayer must include the amount that was overclaimed in prior tax years as a negative credit amount on Form IA 148, Iowa Tax Credit Schedule, and any remaining unused credit carryforward amount expires immediately. The negative credit amount represents the overclaimed Iowa credit and will be netted against the taxpayer’s other nonrefundable tax credits on Form IA 148, Iowa Tax Credit Schedule, if any. After applying the negative credit amount against other available nonrefundable credits, if the taxpayer’s net total nonrefundable credits for the year is a negative amount, that negative amount must be entered on the appropriate line of the taxpayer’s income tax return for reporting nonrefundable Iowa credits from Form IA 148, Iowa Tax Credit Schedule, and will increase the taxpayer’s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304.48(3)</w:t>
      </w:r>
      <w:r>
        <w:rPr>
          <w:rFonts w:ascii="Times New Roman" w:hAnsi="Times New Roman"/>
          <w:b w:val="false"/>
          <w:i w:val="false"/>
          <w:color w:val="000000"/>
          <w:sz w:val="22"/>
        </w:rPr>
        <w:t> </w:t>
      </w:r>
      <w:r>
        <w:rPr>
          <w:rFonts w:ascii="Times New Roman" w:hAnsi="Times New Roman"/>
          <w:b w:val="false"/>
          <w:i/>
          <w:color w:val="000000"/>
          <w:sz w:val="22"/>
        </w:rPr>
        <w:t xml:space="preserve">Tax credit award program limitations. </w:t>
      </w:r>
      <w:r>
        <w:rPr>
          <w:rFonts w:ascii="Times New Roman" w:hAnsi="Times New Roman"/>
          <w:b w:val="false"/>
          <w:i w:val="false"/>
          <w:color w:val="000000"/>
          <w:sz w:val="22"/>
        </w:rPr>
        <w:t>The following program limitations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Aggregate tax credit award limit. </w:t>
      </w:r>
      <w:r>
        <w:rPr>
          <w:rFonts w:ascii="Times New Roman" w:hAnsi="Times New Roman"/>
          <w:b w:val="false"/>
          <w:i w:val="false"/>
          <w:color w:val="000000"/>
          <w:sz w:val="22"/>
        </w:rPr>
        <w:t xml:space="preserve">No more than $5 million of tax credits per year will be issued for calendar years beginning on or after January 1, 2015. The annual tax credit allocation cap also includes the solar energy system tax credits provided in rule </w:t>
      </w:r>
      <w:hyperlink r:id="rId367">
        <w:r>
          <w:rPr>
            <w:rStyle w:val="Hyperlink"/>
            <w:rFonts w:ascii="Times New Roman" w:hAnsi="Times New Roman"/>
            <w:b w:val="false"/>
            <w:i w:val="false"/>
            <w:color w:val="000000"/>
            <w:sz w:val="22"/>
          </w:rPr>
          <w:t>701—501.44</w:t>
        </w:r>
      </w:hyperlink>
      <w:r>
        <w:rPr>
          <w:rFonts w:ascii="Times New Roman" w:hAnsi="Times New Roman"/>
          <w:b w:val="false"/>
          <w:i w:val="false"/>
          <w:color w:val="000000"/>
          <w:sz w:val="22"/>
        </w:rPr>
        <w:t xml:space="preserve">(422) for corporation income tax and in rule </w:t>
      </w:r>
      <w:hyperlink r:id="rId368">
        <w:r>
          <w:rPr>
            <w:rStyle w:val="Hyperlink"/>
            <w:rFonts w:ascii="Times New Roman" w:hAnsi="Times New Roman"/>
            <w:b w:val="false"/>
            <w:i w:val="false"/>
            <w:color w:val="000000"/>
            <w:sz w:val="22"/>
          </w:rPr>
          <w:t>701—601.22</w:t>
        </w:r>
      </w:hyperlink>
      <w:r>
        <w:rPr>
          <w:rFonts w:ascii="Times New Roman" w:hAnsi="Times New Roman"/>
          <w:b w:val="false"/>
          <w:i w:val="false"/>
          <w:color w:val="000000"/>
          <w:sz w:val="22"/>
        </w:rPr>
        <w:t>(422) for franchise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Allocation for residential installations. </w:t>
      </w:r>
      <w:r>
        <w:rPr>
          <w:rFonts w:ascii="Times New Roman" w:hAnsi="Times New Roman"/>
          <w:b w:val="false"/>
          <w:i w:val="false"/>
          <w:color w:val="000000"/>
          <w:sz w:val="22"/>
        </w:rPr>
        <w:t xml:space="preserve">Beginning with tax year 2014, at least $1 million of the annual tax credit allocation cap for each tax year is reserved for residential installations qualifying under </w:t>
      </w:r>
      <w:r>
        <w:rPr>
          <w:rFonts w:ascii="Times New Roman" w:hAnsi="Times New Roman"/>
          <w:b w:val="false"/>
          <w:i w:val="false"/>
          <w:color w:val="000000"/>
          <w:sz w:val="22"/>
        </w:rPr>
        <w:t>Section 25D of the Internal Revenue Code</w:t>
      </w:r>
      <w:r>
        <w:rPr>
          <w:rFonts w:ascii="Times New Roman" w:hAnsi="Times New Roman"/>
          <w:b w:val="false"/>
          <w:i w:val="false"/>
          <w:color w:val="000000"/>
          <w:sz w:val="22"/>
        </w:rPr>
        <w:t xml:space="preserve">. If the total amount of credits for residential installations for a tax year is less than $1 million, the remaining amount below $1 million will be allowed for nonresidential installations qualifying under </w:t>
      </w:r>
      <w:r>
        <w:rPr>
          <w:rFonts w:ascii="Times New Roman" w:hAnsi="Times New Roman"/>
          <w:b w:val="false"/>
          <w:i w:val="false"/>
          <w:color w:val="000000"/>
          <w:sz w:val="22"/>
        </w:rPr>
        <w:t>Section 48 of the 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Rollover of unallocated credits. </w:t>
      </w:r>
      <w:r>
        <w:rPr>
          <w:rFonts w:ascii="Times New Roman" w:hAnsi="Times New Roman"/>
          <w:b w:val="false"/>
          <w:i w:val="false"/>
          <w:color w:val="000000"/>
          <w:sz w:val="22"/>
        </w:rPr>
        <w:t>Beginning with calendar year 2014, if the annual tax credit allocation cap is not reached, the remaining amount below the cap shall be made available for the following tax year in addition to, and cumulated with, the cap for that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304.48(4)</w:t>
      </w:r>
      <w:r>
        <w:rPr>
          <w:rFonts w:ascii="Times New Roman" w:hAnsi="Times New Roman"/>
          <w:b w:val="false"/>
          <w:i w:val="false"/>
          <w:color w:val="000000"/>
          <w:sz w:val="22"/>
        </w:rPr>
        <w:t> </w:t>
      </w:r>
      <w:r>
        <w:rPr>
          <w:rFonts w:ascii="Times New Roman" w:hAnsi="Times New Roman"/>
          <w:b w:val="false"/>
          <w:i/>
          <w:color w:val="000000"/>
          <w:sz w:val="22"/>
        </w:rPr>
        <w:t xml:space="preserve">How to apply for the credit. </w:t>
      </w:r>
      <w:r>
        <w:rPr>
          <w:rFonts w:ascii="Times New Roman" w:hAnsi="Times New Roman"/>
          <w:b w:val="false"/>
          <w:i w:val="false"/>
          <w:color w:val="000000"/>
          <w:sz w:val="22"/>
        </w:rPr>
        <w:t>Timely and complete applications shall be reviewed and approved on a first-come, first-served basis. Applications for the tax credit shall be submitted through the tax credit submission system, which applicants may access through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deadline. </w:t>
      </w:r>
      <w:r>
        <w:rPr>
          <w:rFonts w:ascii="Times New Roman" w:hAnsi="Times New Roman"/>
          <w:b w:val="false"/>
          <w:i w:val="false"/>
          <w:color w:val="000000"/>
          <w:sz w:val="22"/>
        </w:rPr>
        <w:t>For installations completed on or after January 1, 2014, the application must be filed by May 1 following the year of installation of the solar energy system. Notwithstanding the foregoing sentence, the following extensions are applicable to installations completed in 2014 and 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Solar energy systems installed during the 2014 calendar year shall be eligible for approval under Iowa Code section </w:t>
      </w:r>
      <w:hyperlink r:id="rId369">
        <w:r>
          <w:rPr>
            <w:rStyle w:val="Hyperlink"/>
            <w:rFonts w:ascii="Times New Roman" w:hAnsi="Times New Roman"/>
            <w:b w:val="false"/>
            <w:i w:val="false"/>
            <w:color w:val="000000"/>
            <w:sz w:val="22"/>
          </w:rPr>
          <w:t>422.11L</w:t>
        </w:r>
      </w:hyperlink>
      <w:r>
        <w:rPr>
          <w:rFonts w:ascii="Times New Roman" w:hAnsi="Times New Roman"/>
          <w:b w:val="false"/>
          <w:i w:val="false"/>
          <w:color w:val="000000"/>
          <w:sz w:val="22"/>
        </w:rPr>
        <w:t xml:space="preserve"> even if the application is filed after May 1, 2015. Valid and complete applications shall be accepted and approved on a first-come, first-served basis and shall first be eligible for approval for the tax year during which the application is received, but not before the tax year beginning January 1,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Solar energy systems installed during the 2015 calendar year shall be eligible for approval under Iowa Code section </w:t>
      </w:r>
      <w:hyperlink r:id="rId370">
        <w:r>
          <w:rPr>
            <w:rStyle w:val="Hyperlink"/>
            <w:rFonts w:ascii="Times New Roman" w:hAnsi="Times New Roman"/>
            <w:b w:val="false"/>
            <w:i w:val="false"/>
            <w:color w:val="000000"/>
            <w:sz w:val="22"/>
          </w:rPr>
          <w:t>422.11L</w:t>
        </w:r>
      </w:hyperlink>
      <w:r>
        <w:rPr>
          <w:rFonts w:ascii="Times New Roman" w:hAnsi="Times New Roman"/>
          <w:b w:val="false"/>
          <w:i w:val="false"/>
          <w:color w:val="000000"/>
          <w:sz w:val="22"/>
        </w:rPr>
        <w:t xml:space="preserve"> even if the application is filed after May 1, 2016. Valid and complete applications shall be accepted and approved on a first-come, first-served basis and shall first be eligible for approval for the tax year during which the application is received, but not before the tax year beginning January 1, 2017.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application. </w:t>
      </w:r>
      <w:r>
        <w:rPr>
          <w:rFonts w:ascii="Times New Roman" w:hAnsi="Times New Roman"/>
          <w:b w:val="false"/>
          <w:i w:val="false"/>
          <w:color w:val="000000"/>
          <w:sz w:val="22"/>
        </w:rPr>
        <w:t>The application must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and federal identification number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installation of the solar energy system. This is the same as the date the installation was placed in service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kilowatt capacity of the solar energy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Copies of invoices or other documents showing the cost of the solar energy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Amount of federal income tax credit claimed for the solar energy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Amount of Iowa tax credit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applicants must provide a completion sheet from a local utility company or similar documentation verifying that installation of the system has been completed. For nonresidential installations, the completion sheet must indicate the date the installation was placed in service. If a completion sheet from the local utility company or similar documentation is not available, a statement shall be provided that is similar to the one required to be attached to federal Form 3468 when claiming the federal energy credit and that specifies the date the system was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copy of any signed agreement made regarding the solar energy system that verifies the applicant is a qualified applicant. This includes, but is not limited to, lease agreements. When an applicant is entitled to the Iowa solar energy system tax credit for a leased solar energy system, the other party to the lease will not be entitled to such a credit for the same leased solar energy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For nonresidential installations, the date on which construction began.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requested by the department in order to verify eligibility for or amount of the Iowa tax credit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Previously claimed expenditures disallowed. </w:t>
      </w:r>
      <w:r>
        <w:rPr>
          <w:rFonts w:ascii="Times New Roman" w:hAnsi="Times New Roman"/>
          <w:b w:val="false"/>
          <w:i w:val="false"/>
          <w:color w:val="000000"/>
          <w:sz w:val="22"/>
        </w:rPr>
        <w:t>An applicant may not include on an application any expenditure for which the taxpayer previously received, or was denied, a tax credit award or any expenditure that was part of an approved separate and distinct installation but was disallowed due to exceeding the maximum Iowa tax credit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Waitlist. </w:t>
      </w:r>
      <w:r>
        <w:rPr>
          <w:rFonts w:ascii="Times New Roman" w:hAnsi="Times New Roman"/>
          <w:b w:val="false"/>
          <w:i w:val="false"/>
          <w:color w:val="000000"/>
          <w:sz w:val="22"/>
        </w:rPr>
        <w:t xml:space="preserve">If the department receives applications for tax credits in excess of the annual aggregate award limitation, the department shall establish a waitlist for the next year’s allocation of tax credits. Valid and complete applications will be placed on the waitlist in the order they are received by the department. However, in the event the department denies an application or part of an application, and upon appeal by the taxpayer a previously denied tax credit amount is allowed, the date the appeal is closed will be used to determine the placement of the allowed tax credit amount on the waitlist. Waitlisted applications are reviewed and, if approved, funded in the order they are listed on the waitlist. With the exception of the extension described in subparagraphs </w:t>
      </w:r>
      <w:hyperlink r:id="rId371">
        <w:r>
          <w:rPr>
            <w:rStyle w:val="Hyperlink"/>
            <w:rFonts w:ascii="Times New Roman" w:hAnsi="Times New Roman"/>
            <w:b w:val="false"/>
            <w:i w:val="false"/>
            <w:color w:val="000000"/>
            <w:sz w:val="22"/>
          </w:rPr>
          <w:t>304.48(4)</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372">
        <w:r>
          <w:rPr>
            <w:rStyle w:val="Hyperlink"/>
            <w:rFonts w:ascii="Times New Roman" w:hAnsi="Times New Roman"/>
            <w:b w:val="false"/>
            <w:i w:val="false"/>
            <w:color w:val="000000"/>
            <w:sz w:val="22"/>
          </w:rPr>
          <w:t>304.48(4)</w:t>
        </w:r>
      </w:hyperlink>
      <w:r>
        <w:rPr>
          <w:rFonts w:ascii="Times New Roman" w:hAnsi="Times New Roman"/>
          <w:b w:val="false"/>
          <w:i/>
          <w:color w:val="000000"/>
          <w:sz w:val="22"/>
        </w:rPr>
        <w:t>“a”</w:t>
      </w:r>
      <w:r>
        <w:rPr>
          <w:rFonts w:ascii="Times New Roman" w:hAnsi="Times New Roman"/>
          <w:b w:val="false"/>
          <w:i w:val="false"/>
          <w:color w:val="000000"/>
          <w:sz w:val="22"/>
        </w:rPr>
        <w:t>(2) above, only valid applications filed by the taxpayer by May 1 of the year following the year of the installation of the solar energy property shall be eligible for the waitlist. If the annual aggregate cap is reached for the final year in which the federal credit is available, no applications will be carried over to the next year. This tax credit limitation shall apply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Residential property tax credit claims. The federal credits related to residential property under </w:t>
      </w:r>
      <w:r>
        <w:rPr>
          <w:rFonts w:ascii="Times New Roman" w:hAnsi="Times New Roman"/>
          <w:b w:val="false"/>
          <w:i w:val="false"/>
          <w:color w:val="000000"/>
          <w:sz w:val="22"/>
        </w:rPr>
        <w:t>Sections 25D(a)(1) and 25D(a)(2) of the Internal Revenue Code</w:t>
      </w:r>
      <w:r>
        <w:rPr>
          <w:rFonts w:ascii="Times New Roman" w:hAnsi="Times New Roman"/>
          <w:b w:val="false"/>
          <w:i w:val="false"/>
          <w:color w:val="000000"/>
          <w:sz w:val="22"/>
        </w:rPr>
        <w:t xml:space="preserve"> expire and are unavailable for Iowa tax purposes for installations completed on or after January 1, 2022. Therefore, any residential tax credit request related to an installation completed prior to January 1, 2022, that does not receive a tax credit award by the time the 2021 aggregate award limitation is met shall expire and shall not be carried over on the waitlist to any future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Business property tax credit claims. The federal credit related to business property under </w:t>
      </w:r>
      <w:r>
        <w:rPr>
          <w:rFonts w:ascii="Times New Roman" w:hAnsi="Times New Roman"/>
          <w:b w:val="false"/>
          <w:i w:val="false"/>
          <w:color w:val="000000"/>
          <w:sz w:val="22"/>
        </w:rPr>
        <w:t>Section 48(a)(2)(A)(i)(II) of the Internal Revenue Code</w:t>
      </w:r>
      <w:r>
        <w:rPr>
          <w:rFonts w:ascii="Times New Roman" w:hAnsi="Times New Roman"/>
          <w:b w:val="false"/>
          <w:i w:val="false"/>
          <w:color w:val="000000"/>
          <w:sz w:val="22"/>
        </w:rPr>
        <w:t xml:space="preserve"> does not expire for Iowa tax purposes. It is available for installations that begin construction prior to January 1, 2022, in any future tax year the installation is placed in service. Therefore, any business tax credit request related to an installation that begins construction prior to January 1, 2022, but that does not receive a tax credit award by the time the annual aggregate award limitation is met will not expire and will be eligible to be carried over on the waitlist to future years, and receive a tax credit award in a future year, provided the authorization to approve and issue tax credits under Iowa Code section </w:t>
      </w:r>
      <w:hyperlink r:id="rId373">
        <w:r>
          <w:rPr>
            <w:rStyle w:val="Hyperlink"/>
            <w:rFonts w:ascii="Times New Roman" w:hAnsi="Times New Roman"/>
            <w:b w:val="false"/>
            <w:i w:val="false"/>
            <w:color w:val="000000"/>
            <w:sz w:val="22"/>
          </w:rPr>
          <w:t>422.11L(4)</w:t>
        </w:r>
      </w:hyperlink>
      <w:r>
        <w:rPr>
          <w:rFonts w:ascii="Times New Roman" w:hAnsi="Times New Roman"/>
          <w:b w:val="false"/>
          <w:i/>
          <w:color w:val="000000"/>
          <w:sz w:val="22"/>
        </w:rPr>
        <w:t>“a”</w:t>
      </w:r>
      <w:r>
        <w:rPr>
          <w:rFonts w:ascii="Times New Roman" w:hAnsi="Times New Roman"/>
          <w:b w:val="false"/>
          <w:i w:val="false"/>
          <w:color w:val="000000"/>
          <w:sz w:val="22"/>
        </w:rPr>
        <w:t xml:space="preserve"> is not repealed. </w:t>
      </w:r>
    </w:p>
    <w:p>
      <w:pPr>
        <w:spacing w:before="0" w:after="0"/>
        <w:ind w:left="120"/>
        <w:jc w:val="both"/>
      </w:pPr>
      <w:r>
        <w:rPr>
          <w:rFonts w:ascii="Times New Roman" w:hAnsi="Times New Roman"/>
          <w:b w:val="false"/>
          <w:i w:val="false"/>
          <w:color w:val="000000"/>
          <w:sz w:val="22"/>
        </w:rPr>
        <w:t>Placement on a waitlist shall not constitute a promise binding the state that persons placed on the waitlist will actually receive the credit in a future year. The availability of a tax credit and approval of a tax credit application pursuant to this rule in a future year is contingent upon the availability of tax credits in that particular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Certificate issuance. </w:t>
      </w:r>
      <w:r>
        <w:rPr>
          <w:rFonts w:ascii="Times New Roman" w:hAnsi="Times New Roman"/>
          <w:b w:val="false"/>
          <w:i w:val="false"/>
          <w:color w:val="000000"/>
          <w:sz w:val="22"/>
        </w:rPr>
        <w:t>If the application is approved, the department will send a letter to the taxpayer including the amount of the tax credit and providing a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The solar energy system tax credit will be claimed on Form IA 148, Tax Credits Schedule. The taxpayer must include with any Iowa tax return claiming the solar energy system tax credit federal Form 5695, Residential Energy Credits, if claiming the residential energy credit or federal Form 3468, Investment Credit, if claiming the business energy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 Nonrefundable. </w:t>
      </w:r>
      <w:r>
        <w:rPr>
          <w:rFonts w:ascii="Times New Roman" w:hAnsi="Times New Roman"/>
          <w:b w:val="false"/>
          <w:i w:val="false"/>
          <w:color w:val="000000"/>
          <w:sz w:val="22"/>
        </w:rPr>
        <w:t>Any credit in excess of the taxpayer’s tax liability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Any tax credit in excess of the taxpayer’s tax liability for the tax year may be credited to the taxpayer’s tax liability for the following ten years or until depleted,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 Nontransferable. </w:t>
      </w:r>
      <w:r>
        <w:rPr>
          <w:rFonts w:ascii="Times New Roman" w:hAnsi="Times New Roman"/>
          <w:b w:val="false"/>
          <w:i w:val="false"/>
          <w:color w:val="000000"/>
          <w:sz w:val="22"/>
        </w:rPr>
        <w:t>The credit may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304.48(5)</w:t>
      </w:r>
      <w:r>
        <w:rPr>
          <w:rFonts w:ascii="Times New Roman" w:hAnsi="Times New Roman"/>
          <w:b w:val="false"/>
          <w:i w:val="false"/>
          <w:color w:val="000000"/>
          <w:sz w:val="22"/>
        </w:rPr>
        <w:t> </w:t>
      </w:r>
      <w:r>
        <w:rPr>
          <w:rFonts w:ascii="Times New Roman" w:hAnsi="Times New Roman"/>
          <w:b w:val="false"/>
          <w:i/>
          <w:color w:val="000000"/>
          <w:sz w:val="22"/>
        </w:rPr>
        <w:t xml:space="preserve">Separate and distinct installation requirement. </w:t>
      </w:r>
      <w:r>
        <w:rPr>
          <w:rFonts w:ascii="Times New Roman" w:hAnsi="Times New Roman"/>
          <w:b w:val="false"/>
          <w:i w:val="false"/>
          <w:color w:val="000000"/>
          <w:sz w:val="22"/>
        </w:rPr>
        <w:t xml:space="preserve">Only one tax credit may be awarded and claimed for each separate and distinct solar installation. Each separate and distinct installation requires a separate application. For purposes of this subrule, unless the context otherwise requires, use of the term “installation” or “solar installation” refers to the physical equipment that generates electricity using solar energy in a manner that qualifies that equipment for a tax credit. In order for an installation that otherwise meets the requirements of Iowa Code section </w:t>
      </w:r>
      <w:hyperlink r:id="rId374">
        <w:r>
          <w:rPr>
            <w:rStyle w:val="Hyperlink"/>
            <w:rFonts w:ascii="Times New Roman" w:hAnsi="Times New Roman"/>
            <w:b w:val="false"/>
            <w:i w:val="false"/>
            <w:color w:val="000000"/>
            <w:sz w:val="22"/>
          </w:rPr>
          <w:t>422.11L</w:t>
        </w:r>
      </w:hyperlink>
      <w:r>
        <w:rPr>
          <w:rFonts w:ascii="Times New Roman" w:hAnsi="Times New Roman"/>
          <w:b w:val="false"/>
          <w:i w:val="false"/>
          <w:color w:val="000000"/>
          <w:sz w:val="22"/>
        </w:rPr>
        <w:t xml:space="preserve"> and this rule to be considered a separate and distinct solar installation, both of the factors in paragraphs </w:t>
      </w:r>
      <w:hyperlink r:id="rId375">
        <w:r>
          <w:rPr>
            <w:rStyle w:val="Hyperlink"/>
            <w:rFonts w:ascii="Times New Roman" w:hAnsi="Times New Roman"/>
            <w:b w:val="false"/>
            <w:i w:val="false"/>
            <w:color w:val="000000"/>
            <w:sz w:val="22"/>
          </w:rPr>
          <w:t>304.48(5)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must be met. This determination is made by the department and requires a review of the current application received by the department and all prior applications received by the department from any taxpayer. When determining whether a solar installation is separate and distinct from other solar installations, the department will consider the totality of the facts and circumstances surrounding the solar installations. The taxpayer bears the burden of showing that an installation qualifies as separate and distinct. For a safe harbor rule relating to solar installations that begin construction prior to June 1, 2021, see </w:t>
      </w:r>
      <w:hyperlink r:id="rId376">
        <w:r>
          <w:rPr>
            <w:rStyle w:val="Hyperlink"/>
            <w:rFonts w:ascii="Times New Roman" w:hAnsi="Times New Roman"/>
            <w:b w:val="false"/>
            <w:i w:val="false"/>
            <w:color w:val="000000"/>
            <w:sz w:val="22"/>
          </w:rPr>
          <w:t>paragraph 304.48(5)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repair or maintenance shall not constitute a solar installation. If the installed equipment repairs or otherwise maintains the working order of another solar installation or part of another solar installation, it will not be considered separate and distinct from that other solar installation, even if the installed equipment results in increased production capacity because of its superior quality, performance, or efficiency, or other similar reason. Evidence that part of the other solar installation was removed or replaced at or around the time the equipment was installed is a strong indication that the equipment is a repair or maintenance, but it is not required for such a determination.</w:t>
      </w:r>
    </w:p>
    <w:p>
      <w:pPr>
        <w:spacing w:before="0" w:after="0"/>
        <w:ind w:left="120"/>
        <w:jc w:val="both"/>
      </w:pPr>
      <w:r>
        <w:rPr>
          <w:rFonts w:ascii="Times New Roman" w:hAnsi="Times New Roman"/>
          <w:b w:val="false"/>
          <w:i w:val="false"/>
          <w:color w:val="000000"/>
          <w:sz w:val="22"/>
        </w:rPr>
        <w:t>Example 3: Taxpayer B applies for and is awarded an Iowa solar tax credit for a solar installation that powers taxpayer B’s workshop. Two years after that solar installation is placed in service, the solar inverter malfunctions. Taxpayer B purchases and installs a new solar inverter, which keeps the solar installation in working order. At the same time, B also replaces several functioning solar panels on the solar installation with new, higher quality panels that increase the solar installation’s production capacity. Taxpayer B submits a second application for the costs of the solar inverter and the solar panels. These costs are considered a repair or maintenance and do not qualify as separate and distinct from the prior installation. Therefore, they do not qualify for the Iowa solar tax credit. This is the result even if the costs qualify for the federal tax credit and even though the solar panels improve the productivity of the solar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solar installation must be a replacement installation or an independent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Replacement installation. When previous solar installations have been completely decommissioned, whether from disposal by the applicant or casualty loss or theft, the new solar installation may be considered a replacement installation of the decommissioned solar installation. A solar installation that ceases operation but that has not been physically removed and discarded by a person is not decommissioned unless it cannot operate and is incapable of being repaired to working order. A solar installation that merely changes location or ownership has not been decommissioned and thus may not qualify as a replacement installation. Expenditures that are subject to an insurance reimbursement do not qualify for the solar energy system tax credit. </w:t>
      </w:r>
    </w:p>
    <w:p>
      <w:pPr>
        <w:spacing w:before="0" w:after="0"/>
        <w:ind w:left="120"/>
        <w:jc w:val="both"/>
      </w:pPr>
      <w:r>
        <w:rPr>
          <w:rFonts w:ascii="Times New Roman" w:hAnsi="Times New Roman"/>
          <w:b w:val="false"/>
          <w:i w:val="false"/>
          <w:color w:val="000000"/>
          <w:sz w:val="22"/>
        </w:rPr>
        <w:t>Example 4: Taxpayer C applies for and is awarded an Iowa solar tax credit for a solar installation that powers taxpayer C’s business. One year after that solar installation is placed in service, it is destroyed beyond repair by a severe storm. Taxpayer C’s insurance policy does not cover damage to a solar installation. Taxpayer C purchases and places in service another solar installation that powers taxpayer C’s business and timely applies for the Iowa solar energy system tax credit. Taxpayer C’s subsequent installation may be eligible for the Iowa solar energy system installation credit as a replacement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Independent installation. An independent installation is one that has a sufficiently remote association with other solar installations that received the Iowa solar energy system tax credit such that it can be considered independent from those other solar installations. When determining whether a particular solar installation qualifies as an independent installation, the department will first consider the electrical generation purpose of the relevant solar installations, as described in numbered </w:t>
      </w:r>
      <w:hyperlink r:id="rId377">
        <w:r>
          <w:rPr>
            <w:rStyle w:val="Hyperlink"/>
            <w:rFonts w:ascii="Times New Roman" w:hAnsi="Times New Roman"/>
            <w:b w:val="false"/>
            <w:i w:val="false"/>
            <w:color w:val="000000"/>
            <w:sz w:val="22"/>
          </w:rPr>
          <w:t>paragraph 304.48(5)</w:t>
        </w:r>
      </w:hyperlink>
      <w:r>
        <w:rPr>
          <w:rFonts w:ascii="Times New Roman" w:hAnsi="Times New Roman"/>
          <w:b w:val="false"/>
          <w:i/>
          <w:color w:val="000000"/>
          <w:sz w:val="22"/>
        </w:rPr>
        <w:t>“b”</w:t>
      </w:r>
      <w:r>
        <w:rPr>
          <w:rFonts w:ascii="Times New Roman" w:hAnsi="Times New Roman"/>
          <w:b w:val="false"/>
          <w:i w:val="false"/>
          <w:color w:val="000000"/>
          <w:sz w:val="22"/>
        </w:rPr>
        <w:t xml:space="preserve">(2)“1” below. Only if the department finds that it cannot make a determination from that criteria alone will the department consider other criteria. A nonexhaustive list of other criteria that may be considered by the department is provided in numbered </w:t>
      </w:r>
      <w:hyperlink r:id="rId378">
        <w:r>
          <w:rPr>
            <w:rStyle w:val="Hyperlink"/>
            <w:rFonts w:ascii="Times New Roman" w:hAnsi="Times New Roman"/>
            <w:b w:val="false"/>
            <w:i w:val="false"/>
            <w:color w:val="000000"/>
            <w:sz w:val="22"/>
          </w:rPr>
          <w:t>paragraph 304.48(5)</w:t>
        </w:r>
      </w:hyperlink>
      <w:r>
        <w:rPr>
          <w:rFonts w:ascii="Times New Roman" w:hAnsi="Times New Roman"/>
          <w:b w:val="false"/>
          <w:i/>
          <w:color w:val="000000"/>
          <w:sz w:val="22"/>
        </w:rPr>
        <w:t>“b”</w:t>
      </w:r>
      <w:r>
        <w:rPr>
          <w:rFonts w:ascii="Times New Roman" w:hAnsi="Times New Roman"/>
          <w:b w:val="false"/>
          <w:i w:val="false"/>
          <w:color w:val="000000"/>
          <w:sz w:val="22"/>
        </w:rPr>
        <w:t xml:space="preserve">(2)“2” below.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Electrical generation purpose. The department will review the electrical generation purpose of each solar installation. As described below, this involves a review of the building(s) or structure(s) being powered by each solar installation. When two or more solar installations have the same electrical generation purpose, they are not independent installations. When two or more solar installations have different electrical generation purposes, this is an indication that they may be independent installations. With respect only to a multiple housing cooperative under Iowa Code chapter </w:t>
      </w:r>
      <w:hyperlink r:id="rId379">
        <w:r>
          <w:rPr>
            <w:rStyle w:val="Hyperlink"/>
            <w:rFonts w:ascii="Times New Roman" w:hAnsi="Times New Roman"/>
            <w:b w:val="false"/>
            <w:i w:val="false"/>
            <w:color w:val="000000"/>
            <w:sz w:val="22"/>
          </w:rPr>
          <w:t>499A</w:t>
        </w:r>
      </w:hyperlink>
      <w:r>
        <w:rPr>
          <w:rFonts w:ascii="Times New Roman" w:hAnsi="Times New Roman"/>
          <w:b w:val="false"/>
          <w:i w:val="false"/>
          <w:color w:val="000000"/>
          <w:sz w:val="22"/>
        </w:rPr>
        <w:t xml:space="preserve"> or a horizontal property regime under Iowa Code chapter </w:t>
      </w:r>
      <w:hyperlink r:id="rId380">
        <w:r>
          <w:rPr>
            <w:rStyle w:val="Hyperlink"/>
            <w:rFonts w:ascii="Times New Roman" w:hAnsi="Times New Roman"/>
            <w:b w:val="false"/>
            <w:i w:val="false"/>
            <w:color w:val="000000"/>
            <w:sz w:val="22"/>
          </w:rPr>
          <w:t>499B</w:t>
        </w:r>
      </w:hyperlink>
      <w:r>
        <w:rPr>
          <w:rFonts w:ascii="Times New Roman" w:hAnsi="Times New Roman"/>
          <w:b w:val="false"/>
          <w:i w:val="false"/>
          <w:color w:val="000000"/>
          <w:sz w:val="22"/>
        </w:rPr>
        <w:t>, each apartment shall constitute a building or structure, and each cooperative or regime owner’s proportionate share of qualifying expenses incurred by the cooperative or regime shall constitute a solar installation paid by the cooperative or regime owner.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Same building(s) or structure(s). If the applied-for solar installation will power buildings or structures that are also being powered by another solar installation, or that were being powered by another solar installation at some point during the 12-month period before the applied-for solar installation was placed in service, then the installations have the same electrical generation purpose. However, adequate proof from the taxpayer of a substantial increase in electricity demand is evidence tending to indicate that the solar installations do not have the same electrical generation purpose. A “substantial increase in electricity demand” exists when the sum of the average monthly electricity consumption of each building or structure powered by the applied-for solar installation for the 12-month period before the applied-for solar installation is placed in service is at least 50 percent greater than the sum of the average monthly electricity consumption of each building or structure powered by the other solar installation for the 12-month period before the other solar installation was placed in service. Average electricity consumption shall be measured in kilowatt hours. With respect to the other solar installation, if any applicable building or structure was not in service for a period of 12 months before the other solar installation was placed in service, the average monthly electricity consumption for that building or structure shall be the average electricity consumption for the first 12 months the building or structure was in service. With respect to the applied-for solar installation, the calculation of the average monthly electricity consumption for any building or structure that was not placed in service prior to the other solar installation shall be calculated using a denominator of 12 even if that building or structure was not in service for a period of 12 months before the applied-for solar installation was placed in service. The reason for the increased electricity consumption shall not be relevant in determining if a substantial increase in electricity demand exists. </w:t>
      </w:r>
    </w:p>
    <w:p>
      <w:pPr>
        <w:spacing w:before="0" w:after="0"/>
        <w:ind w:left="120"/>
        <w:jc w:val="both"/>
      </w:pPr>
      <w:r>
        <w:rPr>
          <w:rFonts w:ascii="Times New Roman" w:hAnsi="Times New Roman"/>
          <w:b w:val="false"/>
          <w:i w:val="false"/>
          <w:color w:val="000000"/>
          <w:sz w:val="22"/>
        </w:rPr>
        <w:t>Example 5: Taxpayer D is awarded a solar energy system tax credit for a solar installation that provides power to D’s home. Three years later, D installs a second solar installation that also provides power to D’s home. Absent additional information from D that would show a substantial increase in electricity demand, the second solar installation has the same electrical generation purpose as the first installation because they both provide power to D’s home. Therefore, the second solar installation would not be considered an independent installation.</w:t>
      </w:r>
    </w:p>
    <w:p>
      <w:pPr>
        <w:spacing w:before="0" w:after="0"/>
        <w:ind w:left="120"/>
        <w:jc w:val="both"/>
      </w:pPr>
      <w:r>
        <w:rPr>
          <w:rFonts w:ascii="Times New Roman" w:hAnsi="Times New Roman"/>
          <w:b w:val="false"/>
          <w:i w:val="false"/>
          <w:color w:val="000000"/>
          <w:sz w:val="22"/>
        </w:rPr>
        <w:t xml:space="preserve">Example 6: Taxpayer E owns an apartment building with ten apartment units. In 2021, taxpayer E installs solar energy business property with a cost of $300,000 that will power the apartment building. Taxpayer E submits solar tax credit applications for ten different solar installations, one for each unit within the apartment building. Each application claims $30,000 in qualifying costs and requests an Iowa solar credit of $3,300 ($30,000 × 11%) for business property, for a sum total of $33,000 in tax credits. Because the solar installations claimed on all ten applications provide power to the same apartment building, they all have the same electrical generation purpose. Therefore, only one of the solar installations could qualify for the tax credit as an independent installation, subject to the $20,000 per-installation tax credit cap. The other nine installations would all fail to qualify as independent installations. The result is the same whether or not the apartment units have separate utility meters. See Example 10 for a different result if the building were organized as a multiple housing cooperative or horizontal property regime. </w:t>
      </w:r>
    </w:p>
    <w:p>
      <w:pPr>
        <w:spacing w:before="0" w:after="0"/>
        <w:ind w:left="120"/>
        <w:jc w:val="both"/>
      </w:pPr>
      <w:r>
        <w:rPr>
          <w:rFonts w:ascii="Times New Roman" w:hAnsi="Times New Roman"/>
          <w:b w:val="false"/>
          <w:i w:val="false"/>
          <w:color w:val="000000"/>
          <w:sz w:val="22"/>
        </w:rPr>
        <w:t>Example 7: Taxpayer F, a machinist, is awarded a solar energy system tax credit for a solar installation that provides power to F’s machine shop. Several years later, F installs a second solar installation that will provide power to F’s machine shop but also to F’s office building. Taxpayer F submits a complete and timely application for the solar energy system tax credit. Absent additional information from F that would show a substantial increase in electricity demand, the second solar installation has the same electrical generation purpose as the first solar installation because they both provide power to F’s machine shop. Therefore, the second solar installation would not be considered an independent installation.</w:t>
      </w:r>
    </w:p>
    <w:p>
      <w:pPr>
        <w:spacing w:before="0" w:after="0"/>
        <w:ind w:left="120"/>
        <w:jc w:val="both"/>
      </w:pPr>
      <w:r>
        <w:rPr>
          <w:rFonts w:ascii="Times New Roman" w:hAnsi="Times New Roman"/>
          <w:b w:val="false"/>
          <w:i w:val="false"/>
          <w:color w:val="000000"/>
          <w:sz w:val="22"/>
        </w:rPr>
        <w:t>Example 8: Assume the same facts as Example 7, except that taxpayer F provides additional information to the department regarding the electricity consumption of F’s machine shop and office building. Taxpayer F provides utility bills which show that for the 12-month period before the first solar installation was placed in service, the average monthly electricity consumption for the machine shop was 1,000 kilowatt hours. For the 12-month period before the second solar installation was placed in service, the average monthly electricity consumption for the machine shop was 1,200 kilowatt hours. Additionally, the office building was constructed and placed in service three months before the second solar installation was placed in service. Taxpayer F provides utility bills which show that for the three months the office building was in service, the monthly electricity consumption for the office building was 1,400 kilowatt hours, 1,600 kilowatt hours, and 1,800 kilowatt hours, respectively. This means that the average monthly electricity consumption of the office building for purposes of the “substantial increase in energy demand” test is 400 kilowatt hours [i.e., (1,400 + 1,600 + 1,800) ÷ 12 = 400]. Therefore, for the 12-month period before the second solar installation was placed in service, the average monthly electricity consumption for the machine shop and office building was 1,600 kilowatt hours [i.e., 1,200 + 400 = 1,600]. Because this 1,600 monthly kilowatt hour average applicable to the second solar installation exceeds by at least 50 percent the 1,000 monthly kilowatt hour average applicable to the first solar installation, taxpayer F has shown a substantial increase in electricity demand and the second solar installation may qualify as an independent installation.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Different building(s) or structure(s). If the applied-for solar installation will not power any building or structure that is also being powered by another solar installation, or that was also being powered by another solar installation at some point during the 12-month period before the applied-for solar installation was placed in service, this is an indication that the solar installations may have a different electrical generation purpose. </w:t>
      </w:r>
    </w:p>
    <w:p>
      <w:pPr>
        <w:spacing w:before="0" w:after="0"/>
        <w:ind w:left="120"/>
        <w:jc w:val="both"/>
      </w:pPr>
      <w:r>
        <w:rPr>
          <w:rFonts w:ascii="Times New Roman" w:hAnsi="Times New Roman"/>
          <w:b w:val="false"/>
          <w:i w:val="false"/>
          <w:color w:val="000000"/>
          <w:sz w:val="22"/>
        </w:rPr>
        <w:t>Example 9: Taxpayer G, a farmer, is awarded a solar energy system tax credit for a solar installation that provides power to G’s equipment barn. Later, G installs a second solar installation that will only provide power to G’s livestock building. Because the first solar installation only provides power to G’s barn and the second solar installation only provides power to G’s livestock building, this is an indication that each solar installation has a different electrical generation purpose. The second solar installation would be considered an independent installation, unless additional information shows the contrary to be true.</w:t>
      </w:r>
    </w:p>
    <w:p>
      <w:pPr>
        <w:spacing w:before="0" w:after="0"/>
        <w:ind w:left="120"/>
        <w:jc w:val="both"/>
      </w:pPr>
      <w:r>
        <w:rPr>
          <w:rFonts w:ascii="Times New Roman" w:hAnsi="Times New Roman"/>
          <w:b w:val="false"/>
          <w:i w:val="false"/>
          <w:color w:val="000000"/>
          <w:sz w:val="22"/>
        </w:rPr>
        <w:t xml:space="preserve">Example 10: Taxpayer H, a multiple housing cooperative under Iowa Code chapter </w:t>
      </w:r>
      <w:hyperlink r:id="rId381">
        <w:r>
          <w:rPr>
            <w:rStyle w:val="Hyperlink"/>
            <w:rFonts w:ascii="Times New Roman" w:hAnsi="Times New Roman"/>
            <w:b w:val="false"/>
            <w:i w:val="false"/>
            <w:color w:val="000000"/>
            <w:sz w:val="22"/>
          </w:rPr>
          <w:t>499A</w:t>
        </w:r>
      </w:hyperlink>
      <w:r>
        <w:rPr>
          <w:rFonts w:ascii="Times New Roman" w:hAnsi="Times New Roman"/>
          <w:b w:val="false"/>
          <w:i w:val="false"/>
          <w:color w:val="000000"/>
          <w:sz w:val="22"/>
        </w:rPr>
        <w:t xml:space="preserve">, owns an apartment building with ten apartment units. In 2021, H installs solar energy property with a cost of $300,000 that will power the apartment building. The owner of each apartment unit submits a solar tax credit application for a solar installation claiming a proportionate share of H’s qualifying expenditures for the solar energy property, which in this case is $30,000 per owner, and requesting an Iowa credit of $3,300 ($30,000 × 11%), for a sum total of $33,000 in tax credits. Since this building is organized as a multiple housing cooperative under Iowa Code chapter </w:t>
      </w:r>
      <w:hyperlink r:id="rId382">
        <w:r>
          <w:rPr>
            <w:rStyle w:val="Hyperlink"/>
            <w:rFonts w:ascii="Times New Roman" w:hAnsi="Times New Roman"/>
            <w:b w:val="false"/>
            <w:i w:val="false"/>
            <w:color w:val="000000"/>
            <w:sz w:val="22"/>
          </w:rPr>
          <w:t>499A</w:t>
        </w:r>
      </w:hyperlink>
      <w:r>
        <w:rPr>
          <w:rFonts w:ascii="Times New Roman" w:hAnsi="Times New Roman"/>
          <w:b w:val="false"/>
          <w:i w:val="false"/>
          <w:color w:val="000000"/>
          <w:sz w:val="22"/>
        </w:rPr>
        <w:t xml:space="preserve">, each apartment constitutes a building or structure and each owner’s proportionate share of qualifying expenses incurred by the cooperative constitutes a solar installation paid by the owner. This is the first solar installation with respect to each of these apartments, so they are not being powered by another solar installation that received an Iowa tax credit. Therefore, this is an indication that each solar installation has a different electrical generation purpose. Each of the ten solar installations would be considered an independent installation, unless additional information shows the contrary to be true. The result would be the same if the building were organized as a horizontal property regime under Iowa Code chapter </w:t>
      </w:r>
      <w:hyperlink r:id="rId383">
        <w:r>
          <w:rPr>
            <w:rStyle w:val="Hyperlink"/>
            <w:rFonts w:ascii="Times New Roman" w:hAnsi="Times New Roman"/>
            <w:b w:val="false"/>
            <w:i w:val="false"/>
            <w:color w:val="000000"/>
            <w:sz w:val="22"/>
          </w:rPr>
          <w:t>499B</w:t>
        </w:r>
      </w:hyperlink>
      <w:r>
        <w:rPr>
          <w:rFonts w:ascii="Times New Roman" w:hAnsi="Times New Roman"/>
          <w:b w:val="false"/>
          <w:i w:val="false"/>
          <w:color w:val="000000"/>
          <w:sz w:val="22"/>
        </w:rPr>
        <w:t>. However, see Example 7 regarding apartment buildings not organized as a multiple housing cooperative or horizontal property regime.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criteria.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Location. The department will consider the physical location of each solar installation. When two or more solar installations are in close physical proximity, this is an indication that the installations may not be independent installations. The farther in physical proximity the installations are, the stronger the likelihood that they are independent installations. Locating an installation at the same address or on the same or adjacent parcel as another installation is a stronger indication that the two installations are not independent installations than if they were located at different addresses or on nonadjacent parcels. The expansion in physical size or production capacity of an existing solar installation is an indication that the installations are not independent installations. If two or more solar installations are physically attached or connected to the same building or structure, this is an indication that the installations are not independent installations.</w:t>
      </w:r>
    </w:p>
    <w:p>
      <w:pPr>
        <w:spacing w:before="0" w:after="0"/>
        <w:ind w:left="120"/>
        <w:jc w:val="both"/>
      </w:pPr>
      <w:r>
        <w:rPr>
          <w:rFonts w:ascii="Times New Roman" w:hAnsi="Times New Roman"/>
          <w:b w:val="false"/>
          <w:i w:val="false"/>
          <w:color w:val="000000"/>
          <w:sz w:val="22"/>
        </w:rPr>
        <w:t>Example 11: Taxpayer Q submits a complete and timely solar energy system tax credit application for a solar installation located at an address that is adjacent to the address of a prior solar installation for which taxpayer Q received a solar energy system tax credit award. Based on the information provided by the taxpayer, the department is unable to determine the electrical generation purpose of the solar installations. Without additional information, the proximity of the two solar installations supports a determination by the department that the second solar installation is not an independent installation.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Billing. The department will consider the manner in which a utility company issues bills associated with solar installations. Even when a solar installation does not actually provide electricity to any buildings or structures that are also being powered by another solar installation, if a utility company issues bills associated with a solar installation under a net metering agreement in a manner that allows credits from the net outflow of one solar installation to be applied against the utility costs of buildings or structures that are powered by another solar installation, the department will evaluate the solar installations subject to the net metering agreement as if they were powering the same buildings or structures for purposes of determining electrical generation purpose in numbered </w:t>
      </w:r>
      <w:hyperlink r:id="rId384">
        <w:r>
          <w:rPr>
            <w:rStyle w:val="Hyperlink"/>
            <w:rFonts w:ascii="Times New Roman" w:hAnsi="Times New Roman"/>
            <w:b w:val="false"/>
            <w:i w:val="false"/>
            <w:color w:val="000000"/>
            <w:sz w:val="22"/>
          </w:rPr>
          <w:t>paragraph 304.48(5)</w:t>
        </w:r>
      </w:hyperlink>
      <w:r>
        <w:rPr>
          <w:rFonts w:ascii="Times New Roman" w:hAnsi="Times New Roman"/>
          <w:b w:val="false"/>
          <w:i/>
          <w:color w:val="000000"/>
          <w:sz w:val="22"/>
        </w:rPr>
        <w:t>“b”</w:t>
      </w:r>
      <w:r>
        <w:rPr>
          <w:rFonts w:ascii="Times New Roman" w:hAnsi="Times New Roman"/>
          <w:b w:val="false"/>
          <w:i w:val="false"/>
          <w:color w:val="000000"/>
          <w:sz w:val="22"/>
        </w:rPr>
        <w:t>(2)“1” above.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Utility metering. The department will consider whether each solar installation is connected to a separate utility meter and the business reason, if any, for using separate utility meters. For purposes of this subrule, “utility meter” means a device installed by a utility company used to monitor the amount of electricity consumed or produced by a consumer. When a metering agreement requires a person to install two unidirectional meters, the set will be considered a single utility meter for purposes of this subrule. The department will not consider a measuring device installed and used by a person for personal monitoring of electricity production or consumption to be a “utility meter” for purposes of this subrule. This should not be interpreted to require a person to connect the person’s solar installation to a utility provider’s grid in order to be eligible for the tax credit.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Payment for installation or service. The department will consider how expenses incurred for construction or servicing of a solar installation are paid. When expenses incurred for two or more solar installations are paid by related parties, it may indicate that the installations are not independent installations. However, the department may request additional information to evaluate the relationship between the person who pays for such expenses and the person who claims the tax credit.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Contract terms. The department will consider the terms of installation and service contracts related to the solar installation and may require a person to provide installation and service contracts related to any prior solar installation for which the department has received a tax credit application. When contract terms indicate that the solar installations have been installed as or are serviced as a single, functional unit or system, the department will consider that as evidence that the installations are not independent installations.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Timing of installation or application. The department will consider when the applied-for solar installation was placed in service and when a person submits the tax credit application as compared to other solar installations.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Safe harbor for solar installations that begin construction prior to June 1, 2021. For any solar installation for which the taxpayer begins construction prior to June 1, 2021, the taxpayer may rely on the factors in the prior version of paragraph </w:t>
      </w:r>
      <w:hyperlink r:id="rId385">
        <w:r>
          <w:rPr>
            <w:rStyle w:val="Hyperlink"/>
            <w:rFonts w:ascii="Times New Roman" w:hAnsi="Times New Roman"/>
            <w:b w:val="false"/>
            <w:i w:val="false"/>
            <w:color w:val="000000"/>
            <w:sz w:val="22"/>
          </w:rPr>
          <w:t>304.48(7)</w:t>
        </w:r>
      </w:hyperlink>
      <w:r>
        <w:rPr>
          <w:rFonts w:ascii="Times New Roman" w:hAnsi="Times New Roman"/>
          <w:b w:val="false"/>
          <w:i/>
          <w:color w:val="000000"/>
          <w:sz w:val="22"/>
        </w:rPr>
        <w:t>“a”</w:t>
      </w:r>
      <w:r>
        <w:rPr>
          <w:rFonts w:ascii="Times New Roman" w:hAnsi="Times New Roman"/>
          <w:b w:val="false"/>
          <w:i w:val="false"/>
          <w:color w:val="000000"/>
          <w:sz w:val="22"/>
        </w:rPr>
        <w:t xml:space="preserve"> in determining whether the solar installation is a separate and distinct installation. Prior versions of the Iowa Administrative Code are located here: </w:t>
      </w:r>
      <w:hyperlink r:id="rId386">
        <w:r>
          <w:rPr>
            <w:rStyle w:val="Hyperlink"/>
            <w:rFonts w:ascii="Times New Roman" w:hAnsi="Times New Roman"/>
            <w:b w:val="false"/>
            <w:i w:val="false"/>
            <w:color w:val="000000"/>
            <w:sz w:val="22"/>
            <w:u w:val="single"/>
          </w:rPr>
          <w:t>www.legis.iowa.gov/law/administrativeRules/agencies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304.48(6)</w:t>
      </w:r>
      <w:r>
        <w:rPr>
          <w:rFonts w:ascii="Times New Roman" w:hAnsi="Times New Roman"/>
          <w:b w:val="false"/>
          <w:i w:val="false"/>
          <w:color w:val="000000"/>
          <w:sz w:val="22"/>
        </w:rPr>
        <w:t> </w:t>
      </w:r>
      <w:r>
        <w:rPr>
          <w:rFonts w:ascii="Times New Roman" w:hAnsi="Times New Roman"/>
          <w:b w:val="false"/>
          <w:i/>
          <w:color w:val="000000"/>
          <w:sz w:val="22"/>
        </w:rPr>
        <w:t xml:space="preserve">Unavailable to those eligible for renewable energy tax credit. </w:t>
      </w:r>
      <w:r>
        <w:rPr>
          <w:rFonts w:ascii="Times New Roman" w:hAnsi="Times New Roman"/>
          <w:b w:val="false"/>
          <w:i w:val="false"/>
          <w:color w:val="000000"/>
          <w:sz w:val="22"/>
        </w:rPr>
        <w:t xml:space="preserve">A taxpayer who is eligible to receive a renewable energy tax credit provided in rule </w:t>
      </w:r>
      <w:hyperlink r:id="rId387">
        <w:r>
          <w:rPr>
            <w:rStyle w:val="Hyperlink"/>
            <w:rFonts w:ascii="Times New Roman" w:hAnsi="Times New Roman"/>
            <w:b w:val="false"/>
            <w:i w:val="false"/>
            <w:color w:val="000000"/>
            <w:sz w:val="22"/>
          </w:rPr>
          <w:t>701—304.28</w:t>
        </w:r>
      </w:hyperlink>
      <w:r>
        <w:rPr>
          <w:rFonts w:ascii="Times New Roman" w:hAnsi="Times New Roman"/>
          <w:b w:val="false"/>
          <w:i w:val="false"/>
          <w:color w:val="000000"/>
          <w:sz w:val="22"/>
        </w:rPr>
        <w:t>(422,476C) is not eligible for the solar energy system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304.48(7)</w:t>
      </w:r>
      <w:r>
        <w:rPr>
          <w:rFonts w:ascii="Times New Roman" w:hAnsi="Times New Roman"/>
          <w:b w:val="false"/>
          <w:i w:val="false"/>
          <w:color w:val="000000"/>
          <w:sz w:val="22"/>
        </w:rPr>
        <w:t> </w:t>
      </w:r>
      <w:r>
        <w:rPr>
          <w:rFonts w:ascii="Times New Roman" w:hAnsi="Times New Roman"/>
          <w:b w:val="false"/>
          <w:i/>
          <w:color w:val="000000"/>
          <w:sz w:val="22"/>
        </w:rPr>
        <w:t xml:space="preserve">Allocation of tax credit to owners of a business entity or beneficiaries of an estate or trust. </w:t>
      </w:r>
      <w:r>
        <w:rPr>
          <w:rFonts w:ascii="Times New Roman" w:hAnsi="Times New Roman"/>
          <w:b w:val="false"/>
          <w:i w:val="false"/>
          <w:color w:val="000000"/>
          <w:sz w:val="22"/>
        </w:rPr>
        <w:t xml:space="preserve">If the taxpayer claiming the tax credit based on a percentage of the federal energy credit under </w:t>
      </w:r>
      <w:r>
        <w:rPr>
          <w:rFonts w:ascii="Times New Roman" w:hAnsi="Times New Roman"/>
          <w:b w:val="false"/>
          <w:i w:val="false"/>
          <w:color w:val="000000"/>
          <w:sz w:val="22"/>
        </w:rPr>
        <w:t>Section 48 of the Internal Revenue Code</w:t>
      </w:r>
      <w:r>
        <w:rPr>
          <w:rFonts w:ascii="Times New Roman" w:hAnsi="Times New Roman"/>
          <w:b w:val="false"/>
          <w:i w:val="false"/>
          <w:color w:val="000000"/>
          <w:sz w:val="22"/>
        </w:rPr>
        <w:t xml:space="preserve"> is a partnership, limited liability company, S corporation, estate, or trust electing to have income taxed directly to the individual, the individual may claim the tax credit. The amount claimed by the individual shall be based upon the pro rata share of the individual’s earnings of the partnership, limited liability company, S corporation, estate, or trust. The maximum amount of credit available to a partnership, limited liability company, S corporation, estate, or trust shall be limited to $15,000 for installations placed in service in tax years 2012 and 2013 and $20,000 for installations placed in service in tax years beginning on or after January 1, 2014.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8">
        <w:r>
          <w:rPr>
            <w:rStyle w:val="Hyperlink"/>
            <w:rFonts w:ascii="Times New Roman" w:hAnsi="Times New Roman"/>
            <w:b w:val="false"/>
            <w:i w:val="false"/>
            <w:color w:val="000000"/>
            <w:sz w:val="22"/>
          </w:rPr>
          <w:t>422.11L</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0361C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1666C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2925C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5590C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701—304.49</w:t>
      </w:r>
      <w:r>
        <w:rPr>
          <w:rFonts w:ascii="Times New Roman" w:hAnsi="Times New Roman"/>
          <w:b/>
          <w:i w:val="false"/>
          <w:color w:val="000000"/>
          <w:sz w:val="22"/>
        </w:rPr>
        <w:t xml:space="preserve">(422) </w:t>
      </w:r>
      <w:r>
        <w:rPr>
          <w:rFonts w:ascii="Times New Roman" w:hAnsi="Times New Roman"/>
          <w:b/>
          <w:i w:val="false"/>
          <w:color w:val="000000"/>
          <w:sz w:val="22"/>
        </w:rPr>
        <w:t xml:space="preserve">Volunteer fire fighter, volunteer emergency medical services personnel member, and reserve peace officer tax credit. </w:t>
      </w:r>
      <w:r>
        <w:rPr>
          <w:rFonts w:ascii="Times New Roman" w:hAnsi="Times New Roman"/>
          <w:b w:val="false"/>
          <w:i w:val="false"/>
          <w:color w:val="000000"/>
          <w:sz w:val="22"/>
        </w:rPr>
        <w:t>Effective for tax years beginning on or after January 1, 2014, a tax credit is available for individual income tax for volunteer fire fighters, volunteer emergency medical services (EMS) personnel members, and reserve peace officers.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services personnel member”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“EMS personnel member” </w:t>
      </w:r>
      <w:r>
        <w:rPr>
          <w:rFonts w:ascii="Times New Roman" w:hAnsi="Times New Roman"/>
          <w:b w:val="false"/>
          <w:i w:val="false"/>
          <w:color w:val="000000"/>
          <w:sz w:val="22"/>
        </w:rPr>
        <w:t xml:space="preserve">means an emergency medical care provider, as defined in Iowa Code section </w:t>
      </w:r>
      <w:hyperlink r:id="rId389">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 xml:space="preserve">, who is certified as a first responder in accordance with Iowa Code chapter </w:t>
      </w:r>
      <w:hyperlink r:id="rId390">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For tax years beginning on or after January 1, 2014, “emergency medical services personnel member” or “EMS personnel member” also includes an individual who is a paid employee of an emergency medical services program and who is also a volunteer emergency medical services personnel member in a city, county, or area governed by an agreement pursuant to Iowa Code chapter </w:t>
      </w:r>
      <w:hyperlink r:id="rId391">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“Reserve peace officer” </w:t>
      </w:r>
      <w:r>
        <w:rPr>
          <w:rFonts w:ascii="Times New Roman" w:hAnsi="Times New Roman"/>
          <w:b w:val="false"/>
          <w:i w:val="false"/>
          <w:color w:val="000000"/>
          <w:sz w:val="22"/>
        </w:rPr>
        <w:t xml:space="preserve">means a reserve peace officer as defined in Iowa Code section </w:t>
      </w:r>
      <w:hyperlink r:id="rId392">
        <w:r>
          <w:rPr>
            <w:rStyle w:val="Hyperlink"/>
            <w:rFonts w:ascii="Times New Roman" w:hAnsi="Times New Roman"/>
            <w:b w:val="false"/>
            <w:i w:val="false"/>
            <w:color w:val="000000"/>
            <w:sz w:val="22"/>
          </w:rPr>
          <w:t>80D.1A</w:t>
        </w:r>
      </w:hyperlink>
      <w:r>
        <w:rPr>
          <w:rFonts w:ascii="Times New Roman" w:hAnsi="Times New Roman"/>
          <w:b w:val="false"/>
          <w:i w:val="false"/>
          <w:color w:val="000000"/>
          <w:sz w:val="22"/>
        </w:rPr>
        <w:t xml:space="preserve"> who has met the minimum state training standards established by the Iowa law enforcement academy in accordance with Iowa Code chapter </w:t>
      </w:r>
      <w:hyperlink r:id="rId393">
        <w:r>
          <w:rPr>
            <w:rStyle w:val="Hyperlink"/>
            <w:rFonts w:ascii="Times New Roman" w:hAnsi="Times New Roman"/>
            <w:b w:val="false"/>
            <w:i w:val="false"/>
            <w:color w:val="000000"/>
            <w:sz w:val="22"/>
          </w:rPr>
          <w:t>80D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“Volunteer fire fighter” </w:t>
      </w:r>
      <w:r>
        <w:rPr>
          <w:rFonts w:ascii="Times New Roman" w:hAnsi="Times New Roman"/>
          <w:b w:val="false"/>
          <w:i w:val="false"/>
          <w:color w:val="000000"/>
          <w:sz w:val="22"/>
        </w:rPr>
        <w:t xml:space="preserve">means a volunteer fire fighter, as defined in Iowa Code section </w:t>
      </w:r>
      <w:hyperlink r:id="rId394">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 xml:space="preserve">, who has met the minimum training standards established by the fire service training bureau pursuant to Iowa Code chapter </w:t>
      </w:r>
      <w:hyperlink r:id="rId395">
        <w:r>
          <w:rPr>
            <w:rStyle w:val="Hyperlink"/>
            <w:rFonts w:ascii="Times New Roman" w:hAnsi="Times New Roman"/>
            <w:b w:val="false"/>
            <w:i w:val="false"/>
            <w:color w:val="000000"/>
            <w:sz w:val="22"/>
          </w:rPr>
          <w:t>100B</w:t>
        </w:r>
      </w:hyperlink>
      <w:r>
        <w:rPr>
          <w:rFonts w:ascii="Times New Roman" w:hAnsi="Times New Roman"/>
          <w:b w:val="false"/>
          <w:i w:val="false"/>
          <w:color w:val="000000"/>
          <w:sz w:val="22"/>
        </w:rPr>
        <w:t xml:space="preserve">. For tax years beginning on or after January 1, 2014, “volunteer fire fighter” means an individual who is an active member of an organized volunteer fire department in Iowa or is performing services as a volunteer fire fighter for a municipality, township, or benefited fire district at the request of the chief or other person in command and who has met the minimum training standards established by the fire service training bureau pursuant to Iowa Code chapter </w:t>
      </w:r>
      <w:hyperlink r:id="rId396">
        <w:r>
          <w:rPr>
            <w:rStyle w:val="Hyperlink"/>
            <w:rFonts w:ascii="Times New Roman" w:hAnsi="Times New Roman"/>
            <w:b w:val="false"/>
            <w:i w:val="false"/>
            <w:color w:val="000000"/>
            <w:sz w:val="22"/>
          </w:rPr>
          <w:t>100B</w:t>
        </w:r>
      </w:hyperlink>
      <w:r>
        <w:rPr>
          <w:rFonts w:ascii="Times New Roman" w:hAnsi="Times New Roman"/>
          <w:b w:val="false"/>
          <w:i w:val="false"/>
          <w:color w:val="000000"/>
          <w:sz w:val="22"/>
        </w:rPr>
        <w:t xml:space="preserve">. For tax years beginning on or after January 1, 2014, a volunteer fire fighter also includes an individual who is a paid employee of a fire department and who is also a volunteer fire fighter in a city, county, or area governed by an agreement pursuant to Iowa Code chapter </w:t>
      </w:r>
      <w:hyperlink r:id="rId397">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304.49(2)</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credit is equal to $250 for tax years beginning on or after January 1, 2021, if the volunteer fire fighter, volunteer EMS personnel member, or reserve peace officer was a volunteer for the entire year. The credit is equal to $50 for tax year 2013 and $100 for tax years 2014 through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individual was not a volunteer fire fighter, volunteer EMS personnel member, or reserve peace officer for the entire calendar year, the credit is prorated based on the number of months the individual was a volunteer. If the individual was a volunteer during any part of a month, the individual will be considered a volunteer for the entire month. The amount of credit will be rounded to the nearest dollar.</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An individual became a volunteer fire fighter on April 15, 2021, and remained a volunteer for the rest of calendar year 2021. The individual is considered a volunteer for nine months of 2021. The tax credit for 2021 is equal to $188 ($250 multiplied by 9/12 equals $187.50; rounding to the nearest dollar results in a $188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individual holds more than one volunteer position as a volunteer fire fighter, a volunteer EMS personnel member, or a reserve peace office during the same month, a credit can be claimed for only one volunteer position for that month. For example, if an individual was both a volunteer fire fighter and volunteer EMS personnel member for all of calendar year 2021, the tax credit will equal $250.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304.49(3)</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eligibility for the tax credit. </w:t>
      </w:r>
      <w:r>
        <w:rPr>
          <w:rFonts w:ascii="Times New Roman" w:hAnsi="Times New Roman"/>
          <w:b w:val="false"/>
          <w:i w:val="false"/>
          <w:color w:val="000000"/>
          <w:sz w:val="22"/>
        </w:rPr>
        <w:t>An individual is required to have a written statement from the fire chief or other appropriate supervisor verifying that the individual was a volunteer fire fighter or volunteer EMS personnel member for the months for which the tax credit is being claimed. An individual who is a reserve peace officer must have a written statement from the chief of police, sheriff, commissioner of public safety, or other appropriate supervisor verifying that the individual was a reserve peace officer for the months for which the tax credit is being claimed. The written statement does not have to be attached to a tax return claiming the credit. However, the department may request that the individual provide the written statement.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8">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6227C</w:t>
      </w:r>
      <w:r>
        <w:rPr>
          <w:rFonts w:ascii="Times New Roman" w:hAnsi="Times New Roman"/>
          <w:b w:val="false"/>
          <w:i w:val="false"/>
          <w:color w:val="000000"/>
          <w:sz w:val="16"/>
        </w:rPr>
        <w:t>, IAB 4/13/22, effective 4/13/22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701—304.50</w:t>
      </w:r>
      <w:r>
        <w:rPr>
          <w:rFonts w:ascii="Times New Roman" w:hAnsi="Times New Roman"/>
          <w:b/>
          <w:i w:val="false"/>
          <w:color w:val="000000"/>
          <w:sz w:val="22"/>
        </w:rPr>
        <w:t xml:space="preserve">(422) </w:t>
      </w:r>
      <w:r>
        <w:rPr>
          <w:rFonts w:ascii="Times New Roman" w:hAnsi="Times New Roman"/>
          <w:b/>
          <w:i w:val="false"/>
          <w:color w:val="000000"/>
          <w:sz w:val="22"/>
        </w:rPr>
        <w:t xml:space="preserve">Taxpayers trust fund tax credit. </w:t>
      </w:r>
      <w:r>
        <w:rPr>
          <w:rFonts w:ascii="Times New Roman" w:hAnsi="Times New Roman"/>
          <w:b w:val="false"/>
          <w:i w:val="false"/>
          <w:color w:val="000000"/>
          <w:sz w:val="22"/>
        </w:rPr>
        <w:t xml:space="preserve">For tax years beginning on or after January 1, 2013, a taxpayers trust fund tax credit is available for Iowa individual income tax. The credit is available for all individual income tax filers, including residents, nonresidents and part-year residents of Iowa, and individuals who file as part of a composite return as described in rule </w:t>
      </w:r>
      <w:hyperlink r:id="rId399">
        <w:r>
          <w:rPr>
            <w:rStyle w:val="Hyperlink"/>
            <w:rFonts w:ascii="Times New Roman" w:hAnsi="Times New Roman"/>
            <w:b w:val="false"/>
            <w:i w:val="false"/>
            <w:color w:val="000000"/>
            <w:sz w:val="22"/>
          </w:rPr>
          <w:t>701—404.1</w:t>
        </w:r>
      </w:hyperlink>
      <w:r>
        <w:rPr>
          <w:rFonts w:ascii="Times New Roman" w:hAnsi="Times New Roman"/>
          <w:b w:val="false"/>
          <w:i w:val="false"/>
          <w:color w:val="000000"/>
          <w:sz w:val="22"/>
        </w:rPr>
        <w:t>(422), as long as the Iowa return is filed within the extended due date to file an Iowa return. Therefore, a fiscal-year filer whose tax year does not begin on January 1 is eligible to claim the taxpayers trust fund tax credit as long as the return is filed within the extended due date of the Iowa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304.50(1)</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the amount of tax credit. </w:t>
      </w:r>
      <w:r>
        <w:rPr>
          <w:rFonts w:ascii="Times New Roman" w:hAnsi="Times New Roman"/>
          <w:b w:val="false"/>
          <w:i w:val="false"/>
          <w:color w:val="000000"/>
          <w:sz w:val="22"/>
        </w:rPr>
        <w:t>The credit is calculated by taking the amount in the Iowa taxpayers trust fund and dividing it by the number of individual income taxpayers who filed Iowa returns by October 31 of the year preceding the year in which the credit is allowed.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There is $120 million in the Iowa taxpayers trust fund at the end of the fiscal year ending June 30, 2013. There were 2,200,000 individuals who filed Iowa income tax returns by October 31, 2013, for tax years beginning on or after January 1, 2012, but beginning before January 1, 2013. This results in an Iowa taxpayers trust fund tax credit of $54 for the tax year beginning on or after January 1, 2013, but beginning before January 1, 2014 ($120,000,000 divided by 2,200,000 equals $54.55, which is rounded down to the nearest whole dollar). All taxpayers who file their Iowa individual income tax return by October 31, 2014, for the tax period beginning on or after January 1, 2013, but beginning before January 1, 2014, will be entitled to claim a $54 Iowa taxpayers trust fund tax credit.</w:t>
      </w:r>
    </w:p>
    <w:p>
      <w:pPr>
        <w:spacing w:before="0" w:after="0"/>
        <w:ind w:left="120"/>
        <w:jc w:val="both"/>
      </w:pPr>
      <w:r>
        <w:rPr>
          <w:rFonts w:ascii="Times New Roman" w:hAnsi="Times New Roman"/>
          <w:b w:val="false"/>
          <w:i w:val="false"/>
          <w:color w:val="000000"/>
          <w:sz w:val="22"/>
        </w:rPr>
        <w:t>If the amount of Iowa taxpayers trust fund tax credits claimed on tax returns for a particular year is less than the amount authorized, the difference will be transferred to the Iowa taxpayers trust fund for the next year and will be available as an Iowa taxpayers trust fund tax credit for the next year. There must be a balance in the Iowa taxpayers trust fund of at least $30 million in order for the Iowa taxpayers trust fund tax credit to be available.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There is $120 million in the Iowa taxpayers trust fund at the end of the fiscal year ending June 30, 2013. The total amount of Iowa taxpayers trust fund tax credit claimed on Iowa tax returns for tax years beginning on or after January 1, 2013, but beginning before January 1, 2014, which were filed on or before October 31, 2014, is $90 million. The difference of $30 million will be transferred to the Iowa taxpayers trust fund for the fiscal year ending June 30, 2014. The legislature approves an additional $60 million to be deposited in the Iowa taxpayers trust fund for the fiscal year ending June 30, 2014. This will result in $90 million in the Iowa taxpayers trust fund for the fiscal year ending June 30, 2014. If 2,200,000 individuals file Iowa individual income tax returns for tax years beginning on or after January 1, 2013, but beginning before January 1, 2014, by October 31, 2014, this will result in a $40 Iowa taxpayers trust fund tax credit for the tax year beginning on or after January 1, 2014, but beginning before January 1, 2015 ($90,000,000 divided by 2,200,000 equals $40.90, which is rounded down to the nearest whole dollar).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304.50(2)</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on the tax return. </w:t>
      </w:r>
      <w:r>
        <w:rPr>
          <w:rFonts w:ascii="Times New Roman" w:hAnsi="Times New Roman"/>
          <w:b w:val="false"/>
          <w:i w:val="false"/>
          <w:color w:val="000000"/>
          <w:sz w:val="22"/>
        </w:rPr>
        <w:t xml:space="preserve">The Iowa taxpayers trust fund is claimed on the amount of Iowa tax computed after all other nonrefundable credits allowed in division II of Iowa Code chapter </w:t>
      </w:r>
      <w:hyperlink r:id="rId400">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(excluding the Iowa taxpayers trust fund tax credit) are deducted, after the amount of school district surtax described in rule </w:t>
      </w:r>
      <w:hyperlink r:id="rId401">
        <w:r>
          <w:rPr>
            <w:rStyle w:val="Hyperlink"/>
            <w:rFonts w:ascii="Times New Roman" w:hAnsi="Times New Roman"/>
            <w:b w:val="false"/>
            <w:i w:val="false"/>
            <w:color w:val="000000"/>
            <w:sz w:val="22"/>
          </w:rPr>
          <w:t>701—304.1</w:t>
        </w:r>
      </w:hyperlink>
      <w:r>
        <w:rPr>
          <w:rFonts w:ascii="Times New Roman" w:hAnsi="Times New Roman"/>
          <w:b w:val="false"/>
          <w:i w:val="false"/>
          <w:color w:val="000000"/>
          <w:sz w:val="22"/>
        </w:rPr>
        <w:t xml:space="preserve">(257,422) and emergency medical services income surtax described in rule </w:t>
      </w:r>
      <w:hyperlink r:id="rId402">
        <w:r>
          <w:rPr>
            <w:rStyle w:val="Hyperlink"/>
            <w:rFonts w:ascii="Times New Roman" w:hAnsi="Times New Roman"/>
            <w:b w:val="false"/>
            <w:i w:val="false"/>
            <w:color w:val="000000"/>
            <w:sz w:val="22"/>
          </w:rPr>
          <w:t>701—304.2</w:t>
        </w:r>
      </w:hyperlink>
      <w:r>
        <w:rPr>
          <w:rFonts w:ascii="Times New Roman" w:hAnsi="Times New Roman"/>
          <w:b w:val="false"/>
          <w:i w:val="false"/>
          <w:color w:val="000000"/>
          <w:sz w:val="22"/>
        </w:rPr>
        <w:t xml:space="preserve">(422D) is added, and after all refundable credits (excluding estimated payments and tax withheld) allowed in division II of Iowa Code chapter </w:t>
      </w:r>
      <w:hyperlink r:id="rId403">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are deducted. Any Iowa taxpayers trust fund tax credit in excess of the tax liability is not refundable and shall not be carried back to the tax year prior to the tax year in which the credit is claimed and cannot be carried forward to a tax year for any following year.</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taxpayer reported a tax liability of $100 on the taxpayer’s 2013 Iowa income tax return. The taxpayer claimed a $40 personal exemption credit and a $25 franchise tax credit. This resulted in tax due of $35 before applying the school district surtax. Taxpayer was subject to a $2 school district surtax which resulted in total tax due of $37. Taxpayer was entitled to claim a $54 Iowa taxpayers trust fund tax credit, but only $37 of credit could be applied on the 2013 Iowa return. The remaining $17 of credit cannot be refunded, cannot be applied to a prior year tax liability, and cannot be carried forward to be applied to a subsequent year tax liability.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4">
        <w:r>
          <w:rPr>
            <w:rStyle w:val="Hyperlink"/>
            <w:rFonts w:ascii="Times New Roman" w:hAnsi="Times New Roman"/>
            <w:b w:val="false"/>
            <w:i w:val="false"/>
            <w:color w:val="000000"/>
            <w:sz w:val="22"/>
          </w:rPr>
          <w:t>422.11E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701—304.51</w:t>
      </w:r>
      <w:r>
        <w:rPr>
          <w:rFonts w:ascii="Times New Roman" w:hAnsi="Times New Roman"/>
          <w:b/>
          <w:i w:val="false"/>
          <w:color w:val="000000"/>
          <w:sz w:val="22"/>
        </w:rPr>
        <w:t xml:space="preserve">(422) </w:t>
      </w:r>
      <w:r>
        <w:rPr>
          <w:rFonts w:ascii="Times New Roman" w:hAnsi="Times New Roman"/>
          <w:b/>
          <w:i w:val="false"/>
          <w:color w:val="000000"/>
          <w:sz w:val="22"/>
        </w:rPr>
        <w:t xml:space="preserve">From farm to food donation tax credit. </w:t>
      </w:r>
      <w:r>
        <w:rPr>
          <w:rFonts w:ascii="Times New Roman" w:hAnsi="Times New Roman"/>
          <w:b w:val="false"/>
          <w:i w:val="false"/>
          <w:color w:val="000000"/>
          <w:sz w:val="22"/>
        </w:rPr>
        <w:t xml:space="preserve">A taxpayer that donates a food commodity that the taxpayer produces may claim a tax credit for Iowa individual income tax. The credit is equal to 15 percent of the value of the commodities donated during the tax year for which the credit is claimed or $5,000, whichever is less. The value of the commodities shall be determined in the same manner as a charitable contribution of food for federal tax purposes under </w:t>
      </w:r>
      <w:r>
        <w:rPr>
          <w:rFonts w:ascii="Times New Roman" w:hAnsi="Times New Roman"/>
          <w:b w:val="false"/>
          <w:i w:val="false"/>
          <w:color w:val="000000"/>
          <w:sz w:val="22"/>
        </w:rPr>
        <w:t>Section 170(e)(3)(C) of the Internal Revenue Code</w:t>
      </w:r>
      <w:r>
        <w:rPr>
          <w:rFonts w:ascii="Times New Roman" w:hAnsi="Times New Roman"/>
          <w:b w:val="false"/>
          <w:i w:val="false"/>
          <w:color w:val="000000"/>
          <w:sz w:val="22"/>
        </w:rPr>
        <w:t>.</w:t>
      </w:r>
    </w:p>
    <w:p>
      <w:pPr>
        <w:spacing w:before="0" w:after="0"/>
        <w:ind w:left="120"/>
        <w:jc w:val="both"/>
      </w:pPr>
      <w:hyperlink r:id="rId405">
        <w:r>
          <w:rPr>
            <w:rStyle w:val="Hyperlink"/>
            <w:rFonts w:ascii="Times New Roman" w:hAnsi="Times New Roman"/>
            <w:b/>
            <w:i w:val="false"/>
            <w:color w:val="000000"/>
            <w:sz w:val="22"/>
          </w:rPr>
          <w:t>304.51(1)</w:t>
        </w:r>
      </w:hyperlink>
      <w:r>
        <w:rPr>
          <w:rFonts w:ascii="Times New Roman" w:hAnsi="Times New Roman"/>
          <w:b w:val="false"/>
          <w:i w:val="false"/>
          <w:color w:val="000000"/>
          <w:sz w:val="22"/>
        </w:rPr>
        <w:t>To qualify for the tax credit, the taxpayer (1) must produce the donated food commodity; (2) must transfer title to the donated food commodity to an Iowa food bank or Iowa emergency feeding organization recognized by the department; and (3) shall not receive remuneration for the transfer. The donated food commodity cannot be damaged or out-of-condition and declared to be unfit for human consumption by a federal, state, or local health official. A food commodity that meets the requirements for donated foods pursuant to the federal Emergency Food Assistance Program satisfies this requirement.</w:t>
      </w:r>
    </w:p>
    <w:p>
      <w:pPr>
        <w:spacing w:before="0" w:after="0"/>
        <w:ind w:left="120"/>
        <w:jc w:val="both"/>
      </w:pPr>
      <w:hyperlink r:id="rId406">
        <w:r>
          <w:rPr>
            <w:rStyle w:val="Hyperlink"/>
            <w:rFonts w:ascii="Times New Roman" w:hAnsi="Times New Roman"/>
            <w:b/>
            <w:i w:val="false"/>
            <w:color w:val="000000"/>
            <w:sz w:val="22"/>
          </w:rPr>
          <w:t>304.51(2)</w:t>
        </w:r>
      </w:hyperlink>
      <w:r>
        <w:rPr>
          <w:rFonts w:ascii="Times New Roman" w:hAnsi="Times New Roman"/>
          <w:b w:val="false"/>
          <w:i w:val="false"/>
          <w:color w:val="000000"/>
          <w:sz w:val="22"/>
        </w:rPr>
        <w:t>To be recognized by the department, a food bank or emergency feeding organization must either be a recognized affiliate of one of the eight partner food banks with the Iowa Food Bank Association or must register with the department. To register with the department, the organization must meet the definition of “emergency feeding organization,” “food bank,” or “food pantry” as defined by the department of human services in  </w:t>
      </w:r>
      <w:hyperlink r:id="rId407">
        <w:r>
          <w:rPr>
            <w:rStyle w:val="Hyperlink"/>
            <w:rFonts w:ascii="Times New Roman" w:hAnsi="Times New Roman"/>
            <w:b w:val="false"/>
            <w:i w:val="false"/>
            <w:color w:val="000000"/>
            <w:sz w:val="22"/>
          </w:rPr>
          <w:t>441—66.1</w:t>
        </w:r>
      </w:hyperlink>
      <w:r>
        <w:rPr>
          <w:rFonts w:ascii="Times New Roman" w:hAnsi="Times New Roman"/>
          <w:b w:val="false"/>
          <w:i w:val="false"/>
          <w:color w:val="000000"/>
          <w:sz w:val="22"/>
        </w:rPr>
        <w:t>(234). A food bank or emergency feeding organization that seeks recognition by the department shall register with the department in the form and manner prescribed by the department. The department will maintain a list of recognized organizations on the department’s website.</w:t>
      </w:r>
    </w:p>
    <w:p>
      <w:pPr>
        <w:spacing w:before="0" w:after="0"/>
        <w:ind w:left="120"/>
        <w:jc w:val="both"/>
      </w:pPr>
      <w:hyperlink r:id="rId408">
        <w:r>
          <w:rPr>
            <w:rStyle w:val="Hyperlink"/>
            <w:rFonts w:ascii="Times New Roman" w:hAnsi="Times New Roman"/>
            <w:b/>
            <w:i w:val="false"/>
            <w:color w:val="000000"/>
            <w:sz w:val="22"/>
          </w:rPr>
          <w:t>304.51(3)</w:t>
        </w:r>
      </w:hyperlink>
      <w:r>
        <w:rPr>
          <w:rFonts w:ascii="Times New Roman" w:hAnsi="Times New Roman"/>
          <w:b w:val="false"/>
          <w:i w:val="false"/>
          <w:color w:val="000000"/>
          <w:sz w:val="22"/>
        </w:rPr>
        <w:t>Food banks and emergency feeding organizations that receive eligible donations shall be required to issue receipts in a format prescribed by the department for all donations received and must annually submit to the department a receipt log of all the receipts issued during the calendar year. The receipt log must be submitted in the form of a spreadsheet with column specifications as provided by the department. Receipt logs showing the donations for the previous calendar year must be delivered electronically or mailed to the department postmarked by January 15 of each year. If a receipt for a taxpayer’s claim is not provided by the organization, the taxpayer’s claim will be denied.</w:t>
      </w:r>
    </w:p>
    <w:p>
      <w:pPr>
        <w:spacing w:before="0" w:after="0"/>
        <w:ind w:left="120"/>
        <w:jc w:val="both"/>
      </w:pPr>
      <w:hyperlink r:id="rId409">
        <w:r>
          <w:rPr>
            <w:rStyle w:val="Hyperlink"/>
            <w:rFonts w:ascii="Times New Roman" w:hAnsi="Times New Roman"/>
            <w:b/>
            <w:i w:val="false"/>
            <w:color w:val="000000"/>
            <w:sz w:val="22"/>
          </w:rPr>
          <w:t>304.51(4)</w:t>
        </w:r>
      </w:hyperlink>
      <w:r>
        <w:rPr>
          <w:rFonts w:ascii="Times New Roman" w:hAnsi="Times New Roman"/>
          <w:b w:val="false"/>
          <w:i w:val="false"/>
          <w:color w:val="000000"/>
          <w:sz w:val="22"/>
        </w:rPr>
        <w:t xml:space="preserve">To claim the credit for tax years beginning before January 1, 2022, a taxpayer shall submit to the department the original receipts that were issued by the food bank or emergency feeding organization. The receipt must include quantity information completed by the food bank or emergency feeding organization, taxpayer information, and a donation valuation consistent with </w:t>
      </w:r>
      <w:r>
        <w:rPr>
          <w:rFonts w:ascii="Times New Roman" w:hAnsi="Times New Roman"/>
          <w:b w:val="false"/>
          <w:i w:val="false"/>
          <w:color w:val="000000"/>
          <w:sz w:val="22"/>
        </w:rPr>
        <w:t>Section 170(e)(3)(C) of the Internal Revenue Code</w:t>
      </w:r>
      <w:r>
        <w:rPr>
          <w:rFonts w:ascii="Times New Roman" w:hAnsi="Times New Roman"/>
          <w:b w:val="false"/>
          <w:i w:val="false"/>
          <w:color w:val="000000"/>
          <w:sz w:val="22"/>
        </w:rPr>
        <w:t xml:space="preserve"> completed by the taxpayer. Claims must be postmarked on or before January 15 of the year following the tax year for which the claim is requested. Once the department verifies the amount of the tax credit, a letter will be sent to the taxpayer providing the amount of the tax credit and a tax credit certificate number.</w:t>
      </w:r>
    </w:p>
    <w:p>
      <w:pPr>
        <w:spacing w:before="0" w:after="0"/>
        <w:ind w:left="120"/>
        <w:jc w:val="both"/>
      </w:pPr>
      <w:hyperlink r:id="rId410">
        <w:r>
          <w:rPr>
            <w:rStyle w:val="Hyperlink"/>
            <w:rFonts w:ascii="Times New Roman" w:hAnsi="Times New Roman"/>
            <w:b/>
            <w:i w:val="false"/>
            <w:color w:val="000000"/>
            <w:sz w:val="22"/>
          </w:rPr>
          <w:t>304.51(5)</w:t>
        </w:r>
      </w:hyperlink>
      <w:r>
        <w:rPr>
          <w:rFonts w:ascii="Times New Roman" w:hAnsi="Times New Roman"/>
          <w:b w:val="false"/>
          <w:i w:val="false"/>
          <w:color w:val="000000"/>
          <w:sz w:val="22"/>
        </w:rPr>
        <w:t>To claim the credit for tax years beginning on or after January 1, 2022, a taxpayer shall complete the required tax credit form provided by the department and shall submit the form with the taxpayer’s income tax return for the tax year the taxpayer made the qualifying donations. The required tax credit form shall be available on the department’s website.</w:t>
      </w:r>
    </w:p>
    <w:p>
      <w:pPr>
        <w:spacing w:before="0" w:after="0"/>
        <w:ind w:left="120"/>
        <w:jc w:val="both"/>
      </w:pPr>
      <w:hyperlink r:id="rId411">
        <w:r>
          <w:rPr>
            <w:rStyle w:val="Hyperlink"/>
            <w:rFonts w:ascii="Times New Roman" w:hAnsi="Times New Roman"/>
            <w:b/>
            <w:i w:val="false"/>
            <w:color w:val="000000"/>
            <w:sz w:val="22"/>
          </w:rPr>
          <w:t>304.51(6)</w:t>
        </w:r>
      </w:hyperlink>
      <w:r>
        <w:rPr>
          <w:rFonts w:ascii="Times New Roman" w:hAnsi="Times New Roman"/>
          <w:b w:val="false"/>
          <w:i w:val="false"/>
          <w:color w:val="000000"/>
          <w:sz w:val="22"/>
        </w:rPr>
        <w:t>Any credit in excess of the tax liability for the tax year may be credited to the tax liability for the following five years or until used, whichever is earlier. The tax credit shall not be carried back to a tax year prior to the year in which the owner redeems the credit. The credit is not transferable to any other person.</w:t>
      </w:r>
    </w:p>
    <w:p>
      <w:pPr>
        <w:spacing w:before="0" w:after="0"/>
        <w:ind w:left="120"/>
        <w:jc w:val="both"/>
      </w:pPr>
      <w:hyperlink r:id="rId412">
        <w:r>
          <w:rPr>
            <w:rStyle w:val="Hyperlink"/>
            <w:rFonts w:ascii="Times New Roman" w:hAnsi="Times New Roman"/>
            <w:b/>
            <w:i w:val="false"/>
            <w:color w:val="000000"/>
            <w:sz w:val="22"/>
          </w:rPr>
          <w:t>304.51(7)</w:t>
        </w:r>
      </w:hyperlink>
      <w:r>
        <w:rPr>
          <w:rFonts w:ascii="Times New Roman" w:hAnsi="Times New Roman"/>
          <w:b w:val="false"/>
          <w:i w:val="false"/>
          <w:color w:val="000000"/>
          <w:sz w:val="22"/>
        </w:rPr>
        <w:t>If the producer is a partnership, limited liability company, S corporation,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13">
        <w:r>
          <w:rPr>
            <w:rStyle w:val="Hyperlink"/>
            <w:rFonts w:ascii="Times New Roman" w:hAnsi="Times New Roman"/>
            <w:b w:val="false"/>
            <w:i w:val="false"/>
            <w:color w:val="000000"/>
            <w:sz w:val="22"/>
          </w:rPr>
          <w:t>190B</w:t>
        </w:r>
      </w:hyperlink>
      <w:r>
        <w:rPr>
          <w:rFonts w:ascii="Times New Roman" w:hAnsi="Times New Roman"/>
          <w:b w:val="false"/>
          <w:i w:val="false"/>
          <w:color w:val="000000"/>
          <w:sz w:val="22"/>
        </w:rPr>
        <w:t xml:space="preserve">, subchapter I, and section </w:t>
      </w:r>
      <w:hyperlink r:id="rId414">
        <w:r>
          <w:rPr>
            <w:rStyle w:val="Hyperlink"/>
            <w:rFonts w:ascii="Times New Roman" w:hAnsi="Times New Roman"/>
            <w:b w:val="false"/>
            <w:i w:val="false"/>
            <w:color w:val="000000"/>
            <w:sz w:val="22"/>
          </w:rPr>
          <w:t>422.11R</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1138C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6901C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701—304.52</w:t>
      </w:r>
      <w:r>
        <w:rPr>
          <w:rFonts w:ascii="Times New Roman" w:hAnsi="Times New Roman"/>
          <w:b/>
          <w:i w:val="false"/>
          <w:color w:val="000000"/>
          <w:sz w:val="22"/>
        </w:rPr>
        <w:t xml:space="preserve">(422) </w:t>
      </w:r>
      <w:r>
        <w:rPr>
          <w:rFonts w:ascii="Times New Roman" w:hAnsi="Times New Roman"/>
          <w:b/>
          <w:i w:val="false"/>
          <w:color w:val="000000"/>
          <w:sz w:val="22"/>
        </w:rPr>
        <w:t xml:space="preserve">Adoption tax credit. </w:t>
      </w:r>
      <w:r>
        <w:rPr>
          <w:rFonts w:ascii="Times New Roman" w:hAnsi="Times New Roman"/>
          <w:b w:val="false"/>
          <w:i w:val="false"/>
          <w:color w:val="000000"/>
          <w:sz w:val="22"/>
        </w:rPr>
        <w:t>Effective for tax years beginning on or after January 1, 2014, an adoption tax credit is available for individual income tax equal to the amount of qualified adoption expenses paid or incurred by a taxpayer related to the adoption of a child. For an adoption finalized on or after January 1, 2014, but before January 1, 2017, the total adoption tax credit claimed for the adoption may not exceed $2,500. For an adoption finalized on or after January 1, 2017, the total adoption tax credit claimed for the adoption may not exceed $5,000.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304.52(1)</w:t>
      </w:r>
      <w:r>
        <w:rPr>
          <w:rFonts w:ascii="Times New Roman" w:hAnsi="Times New Roman"/>
          <w:b w:val="false"/>
          <w:i w:val="false"/>
          <w:color w:val="000000"/>
          <w:sz w:val="22"/>
        </w:rPr>
        <w:t> </w:t>
      </w:r>
      <w:r>
        <w:rPr>
          <w:rFonts w:ascii="Times New Roman" w:hAnsi="Times New Roman"/>
          <w:b w:val="false"/>
          <w:i/>
          <w:color w:val="000000"/>
          <w:sz w:val="22"/>
        </w:rPr>
        <w:t xml:space="preserve">Adoption. </w:t>
      </w:r>
      <w:r>
        <w:rPr>
          <w:rFonts w:ascii="Times New Roman" w:hAnsi="Times New Roman"/>
          <w:b w:val="false"/>
          <w:i w:val="false"/>
          <w:color w:val="000000"/>
          <w:sz w:val="22"/>
        </w:rPr>
        <w:t>For purposes of the credit, an adoption occurs when a child is permanently placed in Iowa by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adoption service provider as defined in Iowa Code section </w:t>
      </w:r>
      <w:hyperlink r:id="rId415">
        <w:r>
          <w:rPr>
            <w:rStyle w:val="Hyperlink"/>
            <w:rFonts w:ascii="Times New Roman" w:hAnsi="Times New Roman"/>
            <w:b w:val="false"/>
            <w:i w:val="false"/>
            <w:color w:val="000000"/>
            <w:sz w:val="22"/>
          </w:rPr>
          <w:t>600A.2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that meets the provisions of the interstate compact in Iowa Code section </w:t>
      </w:r>
      <w:hyperlink r:id="rId416">
        <w:r>
          <w:rPr>
            <w:rStyle w:val="Hyperlink"/>
            <w:rFonts w:ascii="Times New Roman" w:hAnsi="Times New Roman"/>
            <w:b w:val="false"/>
            <w:i w:val="false"/>
            <w:color w:val="000000"/>
            <w:sz w:val="22"/>
          </w:rPr>
          <w:t>232.158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304.52(2)</w:t>
      </w: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A “child” is an individual who is under the age of 18 years. “Child” does not include any individual who is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304.52(3)</w:t>
      </w:r>
      <w:r>
        <w:rPr>
          <w:rFonts w:ascii="Times New Roman" w:hAnsi="Times New Roman"/>
          <w:b w:val="false"/>
          <w:i w:val="false"/>
          <w:color w:val="000000"/>
          <w:sz w:val="22"/>
        </w:rPr>
        <w:t> </w:t>
      </w:r>
      <w:r>
        <w:rPr>
          <w:rFonts w:ascii="Times New Roman" w:hAnsi="Times New Roman"/>
          <w:b w:val="false"/>
          <w:i/>
          <w:color w:val="000000"/>
          <w:sz w:val="22"/>
        </w:rPr>
        <w:t xml:space="preserve">Qualified adoption expenses.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“Qualified adoption expenses” means unreimbursed expenses paid or incurred in connection with the adoption of a child. Qualified adoption expenses include all fees and costs related to the adoption of a child,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and hospital expenses of the biological mother that are incident to the child’s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Welfare agency fees and other reasonable and necessary adoption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Court costs, attorney fees, and other legal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Travel expenses, including amounts spent for meals and lodging while away from home;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other fees and costs related to the adoption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Expenses that are eligible for the federal adoption credit as provided in Section 23(d)(1) of the Internal Revenue Code will be considered qualified adoption expenses. Expenses paid or incurred in violation of state or federal law are not qualified adoption expenses. Expenses that have been reimbursed are not qualified adoption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304.52(4)</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Amount eligible for credit. </w:t>
      </w:r>
      <w:r>
        <w:rPr>
          <w:rFonts w:ascii="Times New Roman" w:hAnsi="Times New Roman"/>
          <w:b w:val="false"/>
          <w:i w:val="false"/>
          <w:color w:val="000000"/>
          <w:sz w:val="22"/>
        </w:rPr>
        <w:t xml:space="preserve">For tax years beginning on or after January 1, 2014, but beginning before January 1, 2017, the first $2,500 of qualified adoption expenses is eligible for the credit. For tax years beginning on or after January 1, 2017, the first $5,000 of qualified adoption expenses is eligible for the credit. The maximum credit amount is determined at the time the adoption becomes final. If the qualified adoption expenses are less than the maximum credit amount, then the total amount of qualified expenses can be claimed as a credit. The amount of tax credit claimed cannot be used as an itemized deduction for adoption expenses provided in </w:t>
      </w:r>
      <w:hyperlink r:id="rId417">
        <w:r>
          <w:rPr>
            <w:rStyle w:val="Hyperlink"/>
            <w:rFonts w:ascii="Times New Roman" w:hAnsi="Times New Roman"/>
            <w:b w:val="false"/>
            <w:i w:val="false"/>
            <w:color w:val="000000"/>
            <w:sz w:val="22"/>
          </w:rPr>
          <w:t>701—subrule 303.5(3)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in tax years beginning on or after January 1, 2014, but before January 1, 2019.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Claiming the credit in the year the adoption becomes final. For tax years beginning on or after January 1, 2014, but before January 1, 2019, to claim an adoption tax credit, a taxpayer must claim the credit for all qualified adoption expenses paid or incurred in the tax year the adoption becomes final, up to the maximum credit amount provided in </w:t>
      </w:r>
      <w:hyperlink r:id="rId418">
        <w:r>
          <w:rPr>
            <w:rStyle w:val="Hyperlink"/>
            <w:rFonts w:ascii="Times New Roman" w:hAnsi="Times New Roman"/>
            <w:b w:val="false"/>
            <w:i w:val="false"/>
            <w:color w:val="000000"/>
            <w:sz w:val="22"/>
          </w:rPr>
          <w:t>paragraph 304.52(4)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 xml:space="preserve">Michael and Lori are married. Michael and Lori adopt a child who is permanently placed in Iowa. The adoption process begins and becomes final in 2015. Because the adoption becomes final on or after January 1, 2014, but prior to January 1, 2017, Michael and Lori qualify for a maximum credit amount of $2,500. Michael and Lori incur and pay unreimbursed qualified adoption expenses of $20,000 in 2015. Michael and Lori jointly file their Iowa individual income tax return in 2015. Michael and Lori may claim an Iowa adoption tax credit of $2,500 in 2015.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Claiming the credit in years other than the year the adoption becomes final. For tax years beginning on or after January 1, 2014, but before January 1, 2019, if a taxpayer cannot claim the maximum credit amount provided in </w:t>
      </w:r>
      <w:hyperlink r:id="rId419">
        <w:r>
          <w:rPr>
            <w:rStyle w:val="Hyperlink"/>
            <w:rFonts w:ascii="Times New Roman" w:hAnsi="Times New Roman"/>
            <w:b w:val="false"/>
            <w:i w:val="false"/>
            <w:color w:val="000000"/>
            <w:sz w:val="22"/>
          </w:rPr>
          <w:t>paragraph 304.52(4)</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the year the adoption becomes final, the taxpayer may amend a prior year’s return to claim any remaining credit for expenses paid in that prior year, or the taxpayer may claim any remaining credit on a subsequent year’s return for expenses paid in that subsequent year. If a qualified adoption expense was incurred in one tax year and paid in another tax year, the taxpayer may only claim a credit for that expense in one year. The total adoption tax credit claimed for all years combined may not exceed the maximum credit amount per adoption provided in </w:t>
      </w:r>
      <w:hyperlink r:id="rId420">
        <w:r>
          <w:rPr>
            <w:rStyle w:val="Hyperlink"/>
            <w:rFonts w:ascii="Times New Roman" w:hAnsi="Times New Roman"/>
            <w:b w:val="false"/>
            <w:i w:val="false"/>
            <w:color w:val="000000"/>
            <w:sz w:val="22"/>
          </w:rPr>
          <w:t>paragraph 304.52(4)</w:t>
        </w:r>
      </w:hyperlink>
      <w:r>
        <w:rPr>
          <w:rFonts w:ascii="Times New Roman" w:hAnsi="Times New Roman"/>
          <w:b w:val="false"/>
          <w:i/>
          <w:color w:val="000000"/>
          <w:sz w:val="22"/>
        </w:rPr>
        <w:t>“a.”</w:t>
      </w:r>
      <w:r>
        <w:rPr>
          <w:rFonts w:ascii="Times New Roman" w:hAnsi="Times New Roman"/>
          <w:b w:val="false"/>
          <w:i w:val="false"/>
          <w:color w:val="000000"/>
          <w:sz w:val="22"/>
        </w:rPr>
        <w:t xml:space="preserve"> An adjustment to a prior’s year return is subject to the limitations in rule </w:t>
      </w:r>
      <w:hyperlink r:id="rId421">
        <w:r>
          <w:rPr>
            <w:rStyle w:val="Hyperlink"/>
            <w:rFonts w:ascii="Times New Roman" w:hAnsi="Times New Roman"/>
            <w:b w:val="false"/>
            <w:i w:val="false"/>
            <w:color w:val="000000"/>
            <w:sz w:val="22"/>
          </w:rPr>
          <w:t>701—302.20</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 xml:space="preserve">Erin adopts a child as a single parent. The child is permanently placed in Iowa. The adoption process begins in 2016 and becomes final in 2017. Because the adoption becomes final on or after January 1, 2017, Erin qualifies for a maximum credit amount of $5,000. Erin pays and incurs unreimbursed qualified adoption expenses of $20,000 in 2016 and $1,000 in 2017. In tax year 2017, Erin may claim an Iowa adoption tax credit equal to the $1,000 in unreimbursed qualified adoption expenses paid and incurred in 2017. After claiming the credit for tax year 2017, Erin may amend the 2016 return to claim the remaining $4,000 credit for unreimbursed qualified adoption expenses paid and incurred in 2016.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in tax years beginning on or after January 1, 2019.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Claiming the credit in the year the adoption becomes final. For tax years beginning on or after January 1, 2019, to claim an adoption tax credit, a taxpayer must claim the credit in the tax year the adoption is finalized for all qualified adoption expenses paid or incurred prior to or in the tax year the adoption becomes final, up to the maximum credit amount of $5,000. A taxpayer shall not amend a prior year return in an attempt to claim the credit for unreimbursed qualified adoption expenses paid or incurred prior to the tax year in which the adoption becomes final.</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Y and Z are married. Y and Z adopt a child who is permanently placed in Iowa. The adoption process begins in 2016 and becomes final in 2019. Because the adoption becomes final on or after January 1, 2017, Y and Z qualify for a maximum credit amount of $5,000. Additionally, because the adoption becomes final on or after January 1, 2019, Y and Z may claim an Iowa adoption tax credit for unreimbursed qualified adoption expenses paid or incurred prior to or in the year the adoption becomes final. Y and Z incur and pay unreimbursed qualified adoption expenses of $5,000 in 2016, $10,000 in 2017, $2,000 in 2018, and $2,000 in 2019. Y and Z jointly file their Iowa individual income tax return in 2019. Y and Z may claim an Iowa adoption tax credit of $5,000 on their 2019 Iowa income tax return. Y and Z are not allowed to amend a prior year return in an attempt to claim the credit for unreimbursed qualified adoption expenses paid or incurred prior to the tax year in which the adoption became final.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Claiming the credit in years after the adoption becomes final. For tax years beginning on or after January 1, 2019, if a taxpayer cannot claim the maximum credit amount of $5,000 for the year the adoption becomes final, the taxpayer may claim an adoption tax credit for any unreimbursed qualified adoption expenses paid or incurred after the tax year in which the adoption becomes final in the tax year in which unreimbursed qualified adoption expenses are paid or incurred.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W and X are married. W and X adopt a child who is permanently placed in Iowa. The adoption process begins in 2018 and becomes final in 2019. Because the adoption becomes final on or after January 1, 2017, W and X qualify for a maximum credit amount of $5,000. W and X incur and pay unreimbursed qualified adoption expenses of $1,000 in 2018, and $1,000 in 2019. W and X jointly file their Iowa individual income tax return in 2019. W and X may claim the Iowa adoption tax credit in 2019 in the amount of $2,000. In 2020, W and X incur and pay $5,000 in unreimbursed qualified adoption expenses in connection to the adoption finalized in 2019. W and X may claim the remaining $3,000 credit on their jointly filed Iowa individual income tax return for 2020 for unreimbursed qualified adoption expenses incurred and paid in 2020. W and X shall not amend their 2019 return to reflect the additional unreimbursed qualified adoption expenses from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by two adoptive parents. </w:t>
      </w:r>
      <w:r>
        <w:rPr>
          <w:rFonts w:ascii="Times New Roman" w:hAnsi="Times New Roman"/>
          <w:b w:val="false"/>
          <w:i w:val="false"/>
          <w:color w:val="000000"/>
          <w:sz w:val="22"/>
        </w:rPr>
        <w:t xml:space="preserve">The adoption tax credit may only be claimed by a person who adopted the child. When a married couple adopts a child together and the couple files jointly on the same return, the credit may only be claimed once between the couple. When any other two persons adopt a child together, including married persons filing separately on the same or different returns or any unmarried persons filing on separate returns, the credit must be divided between the adoptive parents. Two adoptive parents, other than persons who are married filing jointly, may agree to divide the credit in any way. The total adoption tax credit claimed for all years by both parents combined may not exceed the maximum credit amount per adoption provided in </w:t>
      </w:r>
      <w:hyperlink r:id="rId422">
        <w:r>
          <w:rPr>
            <w:rStyle w:val="Hyperlink"/>
            <w:rFonts w:ascii="Times New Roman" w:hAnsi="Times New Roman"/>
            <w:b w:val="false"/>
            <w:i w:val="false"/>
            <w:color w:val="000000"/>
            <w:sz w:val="22"/>
          </w:rPr>
          <w:t>paragraph 304.52(4)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 xml:space="preserve">Peyton and Kerry are unmarried individuals. Peyton and Kerry adopt a child together. The child is permanently placed in Iowa. The adoption process begins and ends in 2018. Because the adoption becomes final on or after January 1, 2017, Peyton and Kerry qualify for a maximum credit amount of $5,000. However, Peyton and Kerry pay and incur unreimbursed qualified adoption expenses of only $3,000 in 2018. Accordingly, Peyton and Kerry may claim an Iowa adoption tax credit of $3,000 in 2018, which must be divided between them. Peyton and Kerry agree that Peyton will claim $2,000 of the credit, and Kerry will claim $1,000 of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Adoption of a special needs child. </w:t>
      </w:r>
      <w:r>
        <w:rPr>
          <w:rFonts w:ascii="Times New Roman" w:hAnsi="Times New Roman"/>
          <w:b w:val="false"/>
          <w:i w:val="false"/>
          <w:color w:val="000000"/>
          <w:sz w:val="22"/>
        </w:rPr>
        <w:t>If a taxpayer adopts a special needs child, the credit under this rule cannot exceed the amount of qualified adoption expenses paid or incurred by the taxpayer during the tax year. The amount of the federal adoption tax credit claimed for the adoption of a special needs child does not affect the amount of the credit under this rule.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 xml:space="preserve">Francis and Mandy are married. Francis and Mandy adopt a special needs child who is permanently placed in Iowa. The adoption process begins and ends in 2017. Francis and Mandy paid and incurred $2,000 in unreimbursed qualified adoption expenses related to the adoption during 2017. For federal purposes, Francis and Mandy qualify for a maximum adoption tax credit of $13,570 for the adoption of a special needs child. For Iowa purposes, Francis and Mandy qualify for a maximum adoption tax credit of $2,000, which is equal to the amount of unreimbursed qualified adoption expenses they paid or incurred related to the adoption during the tax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Adoption tax credit in excess of tax liability. </w:t>
      </w:r>
      <w:r>
        <w:rPr>
          <w:rFonts w:ascii="Times New Roman" w:hAnsi="Times New Roman"/>
          <w:b w:val="false"/>
          <w:i w:val="false"/>
          <w:color w:val="000000"/>
          <w:sz w:val="22"/>
        </w:rPr>
        <w:t xml:space="preserve">Any credit in excess of the taxpayer’s tax liability is refundable. In lieu of claiming the refund, the taxpayer may elect to have the overpayment credited to the tax liability for the following tax year.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3">
        <w:r>
          <w:rPr>
            <w:rStyle w:val="Hyperlink"/>
            <w:rFonts w:ascii="Times New Roman" w:hAnsi="Times New Roman"/>
            <w:b w:val="false"/>
            <w:i w:val="false"/>
            <w:color w:val="000000"/>
            <w:sz w:val="22"/>
          </w:rPr>
          <w:t>422.12A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2468</w:t>
      </w:r>
      <w:r>
        <w:rPr>
          <w:rFonts w:ascii="Times New Roman" w:hAnsi="Times New Roman"/>
          <w:b w:val="false"/>
          <w:i w:val="false"/>
          <w:color w:val="000000"/>
          <w:sz w:val="22"/>
        </w:rPr>
        <w:t>; </w:t>
      </w:r>
      <w:r>
        <w:rPr>
          <w:rFonts w:ascii="Times New Roman" w:hAnsi="Times New Roman"/>
          <w:b w:val="false"/>
          <w:i w:val="false"/>
          <w:color w:val="000000"/>
          <w:sz w:val="22"/>
        </w:rPr>
        <w:t xml:space="preserve">2017 Iowa Acts, Senate File 433; and </w:t>
      </w:r>
      <w:r>
        <w:rPr>
          <w:rFonts w:ascii="Times New Roman" w:hAnsi="Times New Roman"/>
          <w:b w:val="false"/>
          <w:i w:val="false"/>
          <w:color w:val="000000"/>
          <w:sz w:val="22"/>
        </w:rPr>
        <w:t>2019 Iowa Acts, House File 779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3749C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5308C</w:t>
      </w:r>
      <w:r>
        <w:rPr>
          <w:rFonts w:ascii="Times New Roman" w:hAnsi="Times New Roman"/>
          <w:b w:val="false"/>
          <w:i w:val="false"/>
          <w:color w:val="000000"/>
          <w:sz w:val="16"/>
        </w:rPr>
        <w:t>, IAB 12/2/20, effective 1/6/21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701—304.53</w:t>
      </w:r>
      <w:r>
        <w:rPr>
          <w:rFonts w:ascii="Times New Roman" w:hAnsi="Times New Roman"/>
          <w:b/>
          <w:i w:val="false"/>
          <w:color w:val="000000"/>
          <w:sz w:val="22"/>
        </w:rPr>
        <w:t xml:space="preserve">(15) </w:t>
      </w:r>
      <w:r>
        <w:rPr>
          <w:rFonts w:ascii="Times New Roman" w:hAnsi="Times New Roman"/>
          <w:b/>
          <w:i w:val="false"/>
          <w:color w:val="000000"/>
          <w:sz w:val="22"/>
        </w:rPr>
        <w:t xml:space="preserve">Workforce housing tax incentives program. </w:t>
      </w:r>
      <w:r>
        <w:rPr>
          <w:rFonts w:ascii="Times New Roman" w:hAnsi="Times New Roman"/>
          <w:b w:val="false"/>
          <w:i w:val="false"/>
          <w:color w:val="000000"/>
          <w:sz w:val="22"/>
        </w:rPr>
        <w:t xml:space="preserve">A business which qualifies under the workforce housing tax incentives program is eligible to receive tax incentives for individual income tax. The workforce housing tax incentives program replaced the eligible housing business enterprise zone program. An eligible business under the workforce housing tax incentives program must be approved by the economic development authority. The administrative rules for the workforce housing tax incentives program for the economic development authority may be found at </w:t>
      </w:r>
      <w:hyperlink r:id="rId424">
        <w:r>
          <w:rPr>
            <w:rStyle w:val="Hyperlink"/>
            <w:rFonts w:ascii="Times New Roman" w:hAnsi="Times New Roman"/>
            <w:b w:val="false"/>
            <w:i w:val="false"/>
            <w:color w:val="000000"/>
            <w:sz w:val="22"/>
          </w:rPr>
          <w:t>261—Chapter 48</w:t>
        </w:r>
      </w:hyperlink>
      <w:r>
        <w:rPr>
          <w:rFonts w:ascii="Times New Roman" w:hAnsi="Times New Roman"/>
          <w:b w:val="false"/>
          <w:i w:val="false"/>
          <w:color w:val="000000"/>
          <w:sz w:val="22"/>
        </w:rPr>
        <w:t xml:space="preserve">. The general assembly has mandated that the economic development authority and the department of revenue adopt rules to jointly administer Iowa Code sections </w:t>
      </w:r>
      <w:hyperlink r:id="rId425">
        <w:r>
          <w:rPr>
            <w:rStyle w:val="Hyperlink"/>
            <w:rFonts w:ascii="Times New Roman" w:hAnsi="Times New Roman"/>
            <w:b w:val="false"/>
            <w:i w:val="false"/>
            <w:color w:val="000000"/>
            <w:sz w:val="22"/>
          </w:rPr>
          <w:t>15.351 to 15.356</w:t>
        </w:r>
      </w:hyperlink>
      <w:r>
        <w:rPr>
          <w:rFonts w:ascii="Times New Roman" w:hAnsi="Times New Roman"/>
          <w:b w:val="false"/>
          <w:i w:val="false"/>
          <w:color w:val="000000"/>
          <w:sz w:val="22"/>
        </w:rPr>
        <w:t>. In general, the economic development authority is responsible for evaluating whether projects meet the requirements for a workforce housing tax incentives program while the department of revenue administers tax credit claims and transfers.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“Costs directly related” </w:t>
      </w:r>
      <w:r>
        <w:rPr>
          <w:rFonts w:ascii="Times New Roman" w:hAnsi="Times New Roman"/>
          <w:b w:val="false"/>
          <w:i w:val="false"/>
          <w:color w:val="000000"/>
          <w:sz w:val="22"/>
        </w:rPr>
        <w:t xml:space="preserve">means the same as defined in rule </w:t>
      </w:r>
      <w:hyperlink r:id="rId426">
        <w:r>
          <w:rPr>
            <w:rStyle w:val="Hyperlink"/>
            <w:rFonts w:ascii="Times New Roman" w:hAnsi="Times New Roman"/>
            <w:b w:val="false"/>
            <w:i w:val="false"/>
            <w:color w:val="000000"/>
            <w:sz w:val="22"/>
          </w:rPr>
          <w:t>261—48.3</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new investment” </w:t>
      </w:r>
      <w:r>
        <w:rPr>
          <w:rFonts w:ascii="Times New Roman" w:hAnsi="Times New Roman"/>
          <w:b w:val="false"/>
          <w:i w:val="false"/>
          <w:color w:val="000000"/>
          <w:sz w:val="22"/>
        </w:rPr>
        <w:t xml:space="preserve">means the same as defined in rule </w:t>
      </w:r>
      <w:hyperlink r:id="rId427">
        <w:r>
          <w:rPr>
            <w:rStyle w:val="Hyperlink"/>
            <w:rFonts w:ascii="Times New Roman" w:hAnsi="Times New Roman"/>
            <w:b w:val="false"/>
            <w:i w:val="false"/>
            <w:color w:val="000000"/>
            <w:sz w:val="22"/>
          </w:rPr>
          <w:t>261—48.3</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304.53(2)</w:t>
      </w:r>
      <w:r>
        <w:rPr>
          <w:rFonts w:ascii="Times New Roman" w:hAnsi="Times New Roman"/>
          <w:b w:val="false"/>
          <w:i w:val="false"/>
          <w:color w:val="000000"/>
          <w:sz w:val="22"/>
        </w:rPr>
        <w:t> </w:t>
      </w:r>
      <w:r>
        <w:rPr>
          <w:rFonts w:ascii="Times New Roman" w:hAnsi="Times New Roman"/>
          <w:b w:val="false"/>
          <w:i/>
          <w:color w:val="000000"/>
          <w:sz w:val="22"/>
        </w:rPr>
        <w:t xml:space="preserve">Workforce housing tax incentives. </w:t>
      </w:r>
      <w:r>
        <w:rPr>
          <w:rFonts w:ascii="Times New Roman" w:hAnsi="Times New Roman"/>
          <w:b w:val="false"/>
          <w:i w:val="false"/>
          <w:color w:val="000000"/>
          <w:sz w:val="22"/>
        </w:rPr>
        <w:t xml:space="preserve">The economic development authority will allocate no more than $20 million in tax incentives for this program for any fiscal year, $5 million of which shall be reserved for allocation to qualified housing projects in small cities, as defined in Iowa Code section </w:t>
      </w:r>
      <w:hyperlink r:id="rId428">
        <w:r>
          <w:rPr>
            <w:rStyle w:val="Hyperlink"/>
            <w:rFonts w:ascii="Times New Roman" w:hAnsi="Times New Roman"/>
            <w:b w:val="false"/>
            <w:i w:val="false"/>
            <w:color w:val="000000"/>
            <w:sz w:val="22"/>
          </w:rPr>
          <w:t>15.352(10)</w:t>
        </w:r>
      </w:hyperlink>
      <w:r>
        <w:rPr>
          <w:rFonts w:ascii="Times New Roman" w:hAnsi="Times New Roman"/>
          <w:b w:val="false"/>
          <w:i w:val="false"/>
          <w:color w:val="000000"/>
          <w:sz w:val="22"/>
        </w:rPr>
        <w:t>, that are registered on or after July 1, 2017. A housing business that has entered into an agreement with the economic development authority is eligible to receive the tax incentives described in the following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Sales tax refund. </w:t>
      </w:r>
      <w:r>
        <w:rPr>
          <w:rFonts w:ascii="Times New Roman" w:hAnsi="Times New Roman"/>
          <w:b w:val="false"/>
          <w:i w:val="false"/>
          <w:color w:val="000000"/>
          <w:sz w:val="22"/>
        </w:rPr>
        <w:t xml:space="preserve">A housing business may claim a refund of the sales and use tax described in rule </w:t>
      </w:r>
      <w:hyperlink r:id="rId429">
        <w:r>
          <w:rPr>
            <w:rStyle w:val="Hyperlink"/>
            <w:rFonts w:ascii="Times New Roman" w:hAnsi="Times New Roman"/>
            <w:b w:val="false"/>
            <w:i w:val="false"/>
            <w:color w:val="000000"/>
            <w:sz w:val="22"/>
          </w:rPr>
          <w:t>701—278.1</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Computation of the credit. A housing business may claim a tax credit in an amount not to exceed 10 percent of the qualifying new investment in a housing project not located in a small city, or 20 percent of the qualifying new investment in a housing project located in a small city.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Allocation of the tax credit to the individual owners of the entity or beneficiaries of an estate or trust. An individual may claim a tax credit if the housing business is a partnership, limited liability company, S corporation, estate, or trust electing to have income taxed directly to the individual. The amount claimed by the individual shall be based upon the pro rata share of the individual’s earnings from the partnership, limited liability company, S corporation, estate, or trust.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Refundability. Any tax credit in excess of the taxpayer’s liability for the tax year is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Carryforward. Any tax credit in excess of the taxpayer’s liability may be credited to the tax liability for the following five years or until depleted,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304.53(3)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credit—information required. </w:t>
      </w:r>
      <w:r>
        <w:rPr>
          <w:rFonts w:ascii="Times New Roman" w:hAnsi="Times New Roman"/>
          <w:b w:val="false"/>
          <w:i w:val="false"/>
          <w:color w:val="000000"/>
          <w:sz w:val="22"/>
        </w:rPr>
        <w:t xml:space="preserve">The taxpayer must receive a tax credit certificate from the economic development authority to claim the eligible housing business tax credit. The tax credit certificate shall include the taxpayer’s name, the taxpayer’s address, the taxpayer’s tax identification number, the date the project was completed, the amount of the eligible housing business tax credit and the tax year for which the credit may be claimed. In addition, the tax credit certificate shall include a place for the name and tax identification number of a transferee and the amount of the tax credit being transferred, as provided in subrule </w:t>
      </w:r>
      <w:hyperlink r:id="rId430">
        <w:r>
          <w:rPr>
            <w:rStyle w:val="Hyperlink"/>
            <w:rFonts w:ascii="Times New Roman" w:hAnsi="Times New Roman"/>
            <w:b w:val="false"/>
            <w:i w:val="false"/>
            <w:color w:val="000000"/>
            <w:sz w:val="22"/>
          </w:rPr>
          <w:t>304.53(5)</w:t>
        </w:r>
      </w:hyperlink>
      <w:r>
        <w:rPr>
          <w:rFonts w:ascii="Times New Roman" w:hAnsi="Times New Roman"/>
          <w:b w:val="false"/>
          <w:i w:val="false"/>
          <w:color w:val="000000"/>
          <w:sz w:val="22"/>
        </w:rPr>
        <w:t>. The tax credit certificate must be included with the income tax return for the tax period in which the housing is ready for occupancy.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304.53(4)</w:t>
      </w:r>
      <w:r>
        <w:rPr>
          <w:rFonts w:ascii="Times New Roman" w:hAnsi="Times New Roman"/>
          <w:b w:val="false"/>
          <w:i w:val="false"/>
          <w:color w:val="000000"/>
          <w:sz w:val="22"/>
        </w:rPr>
        <w:t> </w:t>
      </w:r>
      <w:r>
        <w:rPr>
          <w:rFonts w:ascii="Times New Roman" w:hAnsi="Times New Roman"/>
          <w:b w:val="false"/>
          <w:i/>
          <w:color w:val="000000"/>
          <w:sz w:val="22"/>
        </w:rPr>
        <w:t xml:space="preserve">Basis adjustment. </w:t>
      </w:r>
      <w:r>
        <w:rPr>
          <w:rFonts w:ascii="Times New Roman" w:hAnsi="Times New Roman"/>
          <w:b w:val="false"/>
          <w:i w:val="false"/>
          <w:color w:val="000000"/>
          <w:sz w:val="22"/>
        </w:rPr>
        <w:t>The increase in the basis of the property that would otherwise result from the qualifying new investment shall be reduced by the amount of the investment tax credit. For example, if a new housing project had qualifying new investment of $1 million which resulted in a $100,000 investment tax credit for Iowa tax purposes, the basis of the property for Iowa income tax purposes would be $900,000.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304.53(5)</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Submission of transferred tax credit certificate to the department—information required. </w:t>
      </w:r>
      <w:r>
        <w:rPr>
          <w:rFonts w:ascii="Times New Roman" w:hAnsi="Times New Roman"/>
          <w:b w:val="false"/>
          <w:i w:val="false"/>
          <w:color w:val="000000"/>
          <w:sz w:val="22"/>
        </w:rPr>
        <w:t xml:space="preserve">Tax credit certificates issued under an agreement entered into pursuant to subrule </w:t>
      </w:r>
      <w:hyperlink r:id="rId431">
        <w:r>
          <w:rPr>
            <w:rStyle w:val="Hyperlink"/>
            <w:rFonts w:ascii="Times New Roman" w:hAnsi="Times New Roman"/>
            <w:b w:val="false"/>
            <w:i w:val="false"/>
            <w:color w:val="000000"/>
            <w:sz w:val="22"/>
          </w:rPr>
          <w:t>304.53(3)</w:t>
        </w:r>
      </w:hyperlink>
      <w:r>
        <w:rPr>
          <w:rFonts w:ascii="Times New Roman" w:hAnsi="Times New Roman"/>
          <w:b w:val="false"/>
          <w:i w:val="false"/>
          <w:color w:val="000000"/>
          <w:sz w:val="22"/>
        </w:rPr>
        <w:t xml:space="preserve"> may be transferred to any person. Within 90 days of transfer, the transferee shall submit the transferred tax credit certificate to the department of revenue along with a statement containing the transferee’s name, tax identification number, and address, the denomination that each replacement tax credit certificate is to carry, and any other information required by the department of revenue. However, tax credit certificate amounts of less than the minimum amount established in rule by the economic development authority shall not be transferable.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Issuance of replacement certificate by the department. </w:t>
      </w:r>
      <w:r>
        <w:rPr>
          <w:rFonts w:ascii="Times New Roman" w:hAnsi="Times New Roman"/>
          <w:b w:val="false"/>
          <w:i w:val="false"/>
          <w:color w:val="000000"/>
          <w:sz w:val="22"/>
        </w:rPr>
        <w:t xml:space="preserve">Within 30 days of receiving the transferred tax credit certificate and the transferee’s statement, the department of revenue shall issue one or more replacement tax credit certificates to the transferee. Each replacement tax credit certificate must contain the information required for the original tax credit certificate and must have the same expiration date that appeared on the transferred tax credit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Claiming the transferred tax credit. </w:t>
      </w:r>
      <w:r>
        <w:rPr>
          <w:rFonts w:ascii="Times New Roman" w:hAnsi="Times New Roman"/>
          <w:b w:val="false"/>
          <w:i w:val="false"/>
          <w:color w:val="000000"/>
          <w:sz w:val="22"/>
        </w:rPr>
        <w:t>A tax credit shall not be claimed by a transferee under this rule until a replacement tax credit certificate identifying the transferee as the proper holder has been issued. The transferee may use the amount of the tax credit transferred for any tax year the original transferor could have claimed the tax credit. 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Unlimited number of transferees and subsequent transfers. </w:t>
      </w:r>
      <w:r>
        <w:rPr>
          <w:rFonts w:ascii="Times New Roman" w:hAnsi="Times New Roman"/>
          <w:b w:val="false"/>
          <w:i w:val="false"/>
          <w:color w:val="000000"/>
          <w:sz w:val="22"/>
        </w:rPr>
        <w:t>There is no limitation on the number of transferees to whom the credit may be transferred. There is no limitation on the number of times that the credit may be retransferred by a transferee. The transferor may divide the credit into multiple credits of alternate denominations so long as the resulting credits are for amounts of no less than the minimum amount established in rule by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Carryforward limitations on transferees. </w:t>
      </w:r>
      <w:r>
        <w:rPr>
          <w:rFonts w:ascii="Times New Roman" w:hAnsi="Times New Roman"/>
          <w:b w:val="false"/>
          <w:i w:val="false"/>
          <w:color w:val="000000"/>
          <w:sz w:val="22"/>
        </w:rPr>
        <w:t xml:space="preserve">The transferee may use the amount of the transferred tax credit for any tax year that the original transferor could have claimed the tax credit. The carryforward limitations described in subparagraph </w:t>
      </w:r>
      <w:hyperlink r:id="rId432">
        <w:r>
          <w:rPr>
            <w:rStyle w:val="Hyperlink"/>
            <w:rFonts w:ascii="Times New Roman" w:hAnsi="Times New Roman"/>
            <w:b w:val="false"/>
            <w:i w:val="false"/>
            <w:color w:val="000000"/>
            <w:sz w:val="22"/>
          </w:rPr>
          <w:t>304.53(2)</w:t>
        </w:r>
      </w:hyperlink>
      <w:r>
        <w:rPr>
          <w:rFonts w:ascii="Times New Roman" w:hAnsi="Times New Roman"/>
          <w:b w:val="false"/>
          <w:i/>
          <w:color w:val="000000"/>
          <w:sz w:val="22"/>
        </w:rPr>
        <w:t>“b”</w:t>
      </w:r>
      <w:r>
        <w:rPr>
          <w:rFonts w:ascii="Times New Roman" w:hAnsi="Times New Roman"/>
          <w:b w:val="false"/>
          <w:i w:val="false"/>
          <w:color w:val="000000"/>
          <w:sz w:val="22"/>
        </w:rPr>
        <w:t>(4)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304.53(6)</w:t>
      </w:r>
      <w:r>
        <w:rPr>
          <w:rFonts w:ascii="Times New Roman" w:hAnsi="Times New Roman"/>
          <w:b w:val="false"/>
          <w:i w:val="false"/>
          <w:color w:val="000000"/>
          <w:sz w:val="22"/>
        </w:rPr>
        <w:t> </w:t>
      </w:r>
      <w:r>
        <w:rPr>
          <w:rFonts w:ascii="Times New Roman" w:hAnsi="Times New Roman"/>
          <w:b w:val="false"/>
          <w:i/>
          <w:color w:val="000000"/>
          <w:sz w:val="22"/>
        </w:rPr>
        <w:t xml:space="preserve">Repayment of benefits. </w:t>
      </w:r>
      <w:r>
        <w:rPr>
          <w:rFonts w:ascii="Times New Roman" w:hAnsi="Times New Roman"/>
          <w:b w:val="false"/>
          <w:i w:val="false"/>
          <w:color w:val="000000"/>
          <w:sz w:val="22"/>
        </w:rPr>
        <w:t xml:space="preserve">If the housing business fails to maintain the requirements of Iowa Code section </w:t>
      </w:r>
      <w:hyperlink r:id="rId433">
        <w:r>
          <w:rPr>
            <w:rStyle w:val="Hyperlink"/>
            <w:rFonts w:ascii="Times New Roman" w:hAnsi="Times New Roman"/>
            <w:b w:val="false"/>
            <w:i w:val="false"/>
            <w:color w:val="000000"/>
            <w:sz w:val="22"/>
          </w:rPr>
          <w:t>15.353</w:t>
        </w:r>
      </w:hyperlink>
      <w:r>
        <w:rPr>
          <w:rFonts w:ascii="Times New Roman" w:hAnsi="Times New Roman"/>
          <w:b w:val="false"/>
          <w:i w:val="false"/>
          <w:color w:val="000000"/>
          <w:sz w:val="22"/>
        </w:rPr>
        <w:t xml:space="preserve">, the taxpayer may be required to repay all or a portion of the tax incentives the taxpayer received. Irrespective of the fact that the statute of limitations to assess the taxpayer for repayment of the income tax credit may have expired, the department may proceed to collect the tax incentives forfeited by failure of the taxpayer to maintain the requirements of Iowa Code section </w:t>
      </w:r>
      <w:hyperlink r:id="rId434">
        <w:r>
          <w:rPr>
            <w:rStyle w:val="Hyperlink"/>
            <w:rFonts w:ascii="Times New Roman" w:hAnsi="Times New Roman"/>
            <w:b w:val="false"/>
            <w:i w:val="false"/>
            <w:color w:val="000000"/>
            <w:sz w:val="22"/>
          </w:rPr>
          <w:t>15.353</w:t>
        </w:r>
      </w:hyperlink>
      <w:r>
        <w:rPr>
          <w:rFonts w:ascii="Times New Roman" w:hAnsi="Times New Roman"/>
          <w:b w:val="false"/>
          <w:i w:val="false"/>
          <w:color w:val="000000"/>
          <w:sz w:val="22"/>
        </w:rPr>
        <w:t xml:space="preserve">. This repayment is required because it is a recovery of an incentive, rather than an adjustment to the taxpayer’s tax liability. Details on the calculation of the repayment can be found in </w:t>
      </w:r>
      <w:hyperlink r:id="rId435">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36">
        <w:r>
          <w:rPr>
            <w:rStyle w:val="Hyperlink"/>
            <w:rFonts w:ascii="Times New Roman" w:hAnsi="Times New Roman"/>
            <w:b w:val="false"/>
            <w:i w:val="false"/>
            <w:color w:val="000000"/>
            <w:sz w:val="22"/>
          </w:rPr>
          <w:t>15.354</w:t>
        </w:r>
      </w:hyperlink>
      <w:r>
        <w:rPr>
          <w:rFonts w:ascii="Times New Roman" w:hAnsi="Times New Roman"/>
          <w:b w:val="false"/>
          <w:i w:val="false"/>
          <w:color w:val="000000"/>
          <w:sz w:val="22"/>
        </w:rPr>
        <w:t xml:space="preserve"> and </w:t>
      </w:r>
      <w:hyperlink r:id="rId437">
        <w:r>
          <w:rPr>
            <w:rStyle w:val="Hyperlink"/>
            <w:rFonts w:ascii="Times New Roman" w:hAnsi="Times New Roman"/>
            <w:b w:val="false"/>
            <w:i w:val="false"/>
            <w:color w:val="000000"/>
            <w:sz w:val="22"/>
          </w:rPr>
          <w:t>15.355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3837C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 xml:space="preserve">; </w:t>
      </w:r>
      <w:r>
        <w:rPr>
          <w:rFonts w:ascii="Times New Roman" w:hAnsi="Times New Roman"/>
          <w:b/>
          <w:i w:val="false"/>
          <w:color w:val="000000"/>
          <w:sz w:val="16"/>
        </w:rPr>
        <w:t>ARC 6398C</w:t>
      </w:r>
      <w:r>
        <w:rPr>
          <w:rFonts w:ascii="Times New Roman" w:hAnsi="Times New Roman"/>
          <w:b w:val="false"/>
          <w:i w:val="false"/>
          <w:color w:val="000000"/>
          <w:sz w:val="16"/>
        </w:rPr>
        <w:t>, IAB 7/13/22, effective 7/1/22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701—304.54</w:t>
      </w:r>
      <w:r>
        <w:rPr>
          <w:rFonts w:ascii="Times New Roman" w:hAnsi="Times New Roman"/>
          <w:b/>
          <w:i w:val="false"/>
          <w:color w:val="000000"/>
          <w:sz w:val="22"/>
        </w:rPr>
        <w:t xml:space="preserve">(404A,422) </w:t>
      </w:r>
      <w:r>
        <w:rPr>
          <w:rFonts w:ascii="Times New Roman" w:hAnsi="Times New Roman"/>
          <w:b/>
          <w:i w:val="false"/>
          <w:color w:val="000000"/>
          <w:sz w:val="22"/>
        </w:rPr>
        <w:t xml:space="preserve">Historic preservation and cultural and entertainment district tax credit for projects registered on or after July 1, 2014, and before August 15, 2016. </w:t>
      </w:r>
      <w:r>
        <w:rPr>
          <w:rFonts w:ascii="Times New Roman" w:hAnsi="Times New Roman"/>
          <w:b w:val="false"/>
          <w:i w:val="false"/>
          <w:color w:val="000000"/>
          <w:sz w:val="22"/>
        </w:rPr>
        <w:t xml:space="preserve">For projects registered before August 15, 2016, the department of cultural affairs is authorized by the general assembly to award tax credits for a percentage of the qualified rehabilitation expenditures on a qualified rehabilitation project as described in the historic preservation and cultural and entertainment district tax credit program, Iowa Code chapter </w:t>
      </w:r>
      <w:hyperlink r:id="rId438">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The program is administered by the department of cultural affairs with the assistance of the department of revenue. The general assembly has mandated that the department of cultural affairs and the department of revenue adopt rules to jointly administer Iowa Code chapter </w:t>
      </w:r>
      <w:hyperlink r:id="rId439">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In general, the department of cultural affairs is responsible for evaluating whether projects comply with the prescribed standards for rehabilitation while the department of revenue is responsible for evaluating whether projects comply with the tax aspects of the program.</w:t>
      </w:r>
    </w:p>
    <w:p>
      <w:pPr>
        <w:spacing w:before="0" w:after="0"/>
        <w:ind w:left="120"/>
        <w:jc w:val="both"/>
      </w:pP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 xml:space="preserve">, amended the historic preservation and cultural and entertainment district tax credit program effective July 1, 2014. The department of revenue’s provisions for projects with Part 2 applications approved and tax credits reserved prior to July 1, 2014, are found in rule </w:t>
      </w:r>
      <w:hyperlink r:id="rId440">
        <w:r>
          <w:rPr>
            <w:rStyle w:val="Hyperlink"/>
            <w:rFonts w:ascii="Times New Roman" w:hAnsi="Times New Roman"/>
            <w:b w:val="false"/>
            <w:i w:val="false"/>
            <w:color w:val="000000"/>
            <w:sz w:val="22"/>
          </w:rPr>
          <w:t>701—304.19</w:t>
        </w:r>
      </w:hyperlink>
      <w:r>
        <w:rPr>
          <w:rFonts w:ascii="Times New Roman" w:hAnsi="Times New Roman"/>
          <w:b w:val="false"/>
          <w:i w:val="false"/>
          <w:color w:val="000000"/>
          <w:sz w:val="22"/>
        </w:rPr>
        <w:t xml:space="preserve">(404A,422). The department of revenue’s provisions for projects registered on or after July 1, 2014, and before August 15, 2016, are found in this rule. The department of cultural affairs’ rules related to this program may be found at </w:t>
      </w:r>
      <w:hyperlink r:id="rId441">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amended the program and transferred primary responsibility for its administration to the economic development authority effective August 15, 2016. Effective August 15, 2016, the program is administered by the economic development authority with the assistance of the department of cultural affairs and the department of revenue. The department of revenue’s provisions for projects registered on or after August 15, 2016, are found in rule </w:t>
      </w:r>
      <w:hyperlink r:id="rId442">
        <w:r>
          <w:rPr>
            <w:rStyle w:val="Hyperlink"/>
            <w:rFonts w:ascii="Times New Roman" w:hAnsi="Times New Roman"/>
            <w:b w:val="false"/>
            <w:i w:val="false"/>
            <w:color w:val="000000"/>
            <w:sz w:val="22"/>
          </w:rPr>
          <w:t>701—304.55</w:t>
        </w:r>
      </w:hyperlink>
      <w:r>
        <w:rPr>
          <w:rFonts w:ascii="Times New Roman" w:hAnsi="Times New Roman"/>
          <w:b w:val="false"/>
          <w:i w:val="false"/>
          <w:color w:val="000000"/>
          <w:sz w:val="22"/>
        </w:rPr>
        <w:t xml:space="preserve">(404A,422). The economic development authority’s rules related to the program may be found at </w:t>
      </w:r>
      <w:hyperlink r:id="rId443">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 xml:space="preserve">. When adopted, the department of cultural affairs’ rules related to the program will be found in </w:t>
      </w:r>
      <w:hyperlink r:id="rId444">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Notwithstanding anything contained herein to the contrary, the department of cultural affairs shall not reserve tax credits under 2013 Iowa Code chapter </w:t>
      </w:r>
      <w:hyperlink r:id="rId445">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chapter 112, section 1</w:t>
      </w:r>
      <w:r>
        <w:rPr>
          <w:rFonts w:ascii="Times New Roman" w:hAnsi="Times New Roman"/>
          <w:b w:val="false"/>
          <w:i w:val="false"/>
          <w:color w:val="000000"/>
          <w:sz w:val="22"/>
        </w:rPr>
        <w:t xml:space="preserve">, for applicants that do not have an approved Part 2 application and a tax credit reservation on or before June 30, 2014. Projects with approved Part 2 applications and provisional tax credit reservations on or before June 30, 2014, shall be governed by 2013 Iowa Code chapter </w:t>
      </w:r>
      <w:hyperlink r:id="rId446">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chapter 112, section 1</w:t>
      </w:r>
      <w:r>
        <w:rPr>
          <w:rFonts w:ascii="Times New Roman" w:hAnsi="Times New Roman"/>
          <w:b w:val="false"/>
          <w:i w:val="false"/>
          <w:color w:val="000000"/>
          <w:sz w:val="22"/>
        </w:rPr>
        <w:t xml:space="preserve">; by </w:t>
      </w:r>
      <w:hyperlink r:id="rId447">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 and by rule </w:t>
      </w:r>
      <w:hyperlink r:id="rId448">
        <w:r>
          <w:rPr>
            <w:rStyle w:val="Hyperlink"/>
            <w:rFonts w:ascii="Times New Roman" w:hAnsi="Times New Roman"/>
            <w:b w:val="false"/>
            <w:i w:val="false"/>
            <w:color w:val="000000"/>
            <w:sz w:val="22"/>
          </w:rPr>
          <w:t>701—304.19</w:t>
        </w:r>
      </w:hyperlink>
      <w:r>
        <w:rPr>
          <w:rFonts w:ascii="Times New Roman" w:hAnsi="Times New Roman"/>
          <w:b w:val="false"/>
          <w:i w:val="false"/>
          <w:color w:val="000000"/>
          <w:sz w:val="22"/>
        </w:rPr>
        <w:t xml:space="preserve">(404A,422). Projects registered on or after July 1, 2014, but before August 15, 2016, shall be governed by </w:t>
      </w:r>
      <w:r>
        <w:rPr>
          <w:rFonts w:ascii="Times New Roman" w:hAnsi="Times New Roman"/>
          <w:b w:val="false"/>
          <w:i w:val="false"/>
          <w:color w:val="000000"/>
          <w:sz w:val="22"/>
        </w:rPr>
        <w:t>2014 Iowa Code chapter 404A as amended by 2014 Iowa Acts, House File 2453</w:t>
      </w:r>
      <w:r>
        <w:rPr>
          <w:rFonts w:ascii="Times New Roman" w:hAnsi="Times New Roman"/>
          <w:b w:val="false"/>
          <w:i w:val="false"/>
          <w:color w:val="000000"/>
          <w:sz w:val="22"/>
        </w:rPr>
        <w:t xml:space="preserve">; by </w:t>
      </w:r>
      <w:hyperlink r:id="rId449">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II; and by this rule. Projects registered on or after August 15, 2016, shall be governed by 2016 Iowa Code chapter </w:t>
      </w:r>
      <w:hyperlink r:id="rId450">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by </w:t>
      </w:r>
      <w:hyperlink r:id="rId451">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 xml:space="preserve">; and by rule </w:t>
      </w:r>
      <w:hyperlink r:id="rId452">
        <w:r>
          <w:rPr>
            <w:rStyle w:val="Hyperlink"/>
            <w:rFonts w:ascii="Times New Roman" w:hAnsi="Times New Roman"/>
            <w:b w:val="false"/>
            <w:i w:val="false"/>
            <w:color w:val="000000"/>
            <w:sz w:val="22"/>
          </w:rPr>
          <w:t>701—304.55</w:t>
        </w:r>
      </w:hyperlink>
      <w:r>
        <w:rPr>
          <w:rFonts w:ascii="Times New Roman" w:hAnsi="Times New Roman"/>
          <w:b w:val="false"/>
          <w:i w:val="false"/>
          <w:color w:val="000000"/>
          <w:sz w:val="22"/>
        </w:rPr>
        <w:t>(404A,422).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304.54(1)</w:t>
      </w:r>
      <w:r>
        <w:rPr>
          <w:rFonts w:ascii="Times New Roman" w:hAnsi="Times New Roman"/>
          <w:b w:val="false"/>
          <w:i w:val="false"/>
          <w:color w:val="000000"/>
          <w:sz w:val="22"/>
        </w:rPr>
        <w:t> </w:t>
      </w:r>
      <w:r>
        <w:rPr>
          <w:rFonts w:ascii="Times New Roman" w:hAnsi="Times New Roman"/>
          <w:b w:val="false"/>
          <w:i/>
          <w:color w:val="000000"/>
          <w:sz w:val="22"/>
        </w:rPr>
        <w:t xml:space="preserve">Application, registration, and agreement for the historic preservation and cultural and entertainment district tax credit. </w:t>
      </w:r>
      <w:r>
        <w:rPr>
          <w:rFonts w:ascii="Times New Roman" w:hAnsi="Times New Roman"/>
          <w:b w:val="false"/>
          <w:i w:val="false"/>
          <w:color w:val="000000"/>
          <w:sz w:val="22"/>
        </w:rPr>
        <w:t>Taxpayers that want to claim an income tax credit for completing a qualified rehabilitation project must submit an application for approval of the project. The application forms and instructions for the historic preservation and cultural and entertainment district tax credit are available on the department of cultural affairs’ website. Once a project is registered, the taxpayer must enter into an agreement with the department of cultural affairs to be eligible for the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304.54(2)</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amount of the historic preservation and cultural and entertainment district tax credit. </w:t>
      </w:r>
      <w:r>
        <w:rPr>
          <w:rFonts w:ascii="Times New Roman" w:hAnsi="Times New Roman"/>
          <w:b w:val="false"/>
          <w:i w:val="false"/>
          <w:color w:val="000000"/>
          <w:sz w:val="22"/>
        </w:rPr>
        <w:t>The amount of the historic preservation and cultural and entertainment district tax credit is a maximum of 25 percent of the qualified rehabilitation expenditures verified by the department of cultural affairs and the department of revenue following project completion, up to the amount specified in the agreement between the taxpayer and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304.54(3)</w:t>
      </w:r>
      <w:r>
        <w:rPr>
          <w:rFonts w:ascii="Times New Roman" w:hAnsi="Times New Roman"/>
          <w:b w:val="false"/>
          <w:i w:val="false"/>
          <w:color w:val="000000"/>
          <w:sz w:val="22"/>
        </w:rPr>
        <w:t> </w:t>
      </w:r>
      <w:r>
        <w:rPr>
          <w:rFonts w:ascii="Times New Roman" w:hAnsi="Times New Roman"/>
          <w:b w:val="false"/>
          <w:i/>
          <w:color w:val="000000"/>
          <w:sz w:val="22"/>
        </w:rPr>
        <w:t xml:space="preserve">Qualified rehabilitation expenditures. </w:t>
      </w:r>
      <w:r>
        <w:rPr>
          <w:rFonts w:ascii="Times New Roman" w:hAnsi="Times New Roman"/>
          <w:b w:val="false"/>
          <w:i w:val="false"/>
          <w:color w:val="000000"/>
          <w:sz w:val="22"/>
        </w:rPr>
        <w:t xml:space="preserve">“Qualified rehabilitation expenditures” means the same as defined in rule </w:t>
      </w:r>
      <w:hyperlink r:id="rId453">
        <w:r>
          <w:rPr>
            <w:rStyle w:val="Hyperlink"/>
            <w:rFonts w:ascii="Times New Roman" w:hAnsi="Times New Roman"/>
            <w:b w:val="false"/>
            <w:i w:val="false"/>
            <w:color w:val="000000"/>
            <w:sz w:val="22"/>
          </w:rPr>
          <w:t>223—48.22</w:t>
        </w:r>
      </w:hyperlink>
      <w:r>
        <w:rPr>
          <w:rFonts w:ascii="Times New Roman" w:hAnsi="Times New Roman"/>
          <w:b w:val="false"/>
          <w:i w:val="false"/>
          <w:color w:val="000000"/>
          <w:sz w:val="22"/>
        </w:rPr>
        <w:t xml:space="preserve">(404A) of the historical division of the department of cultural affairs. In general, the department of cultural affairs evaluates whether expenditures comply with the prescribed standards for rehabilitation while the department of revenue evaluates whether expenditures comply with the tax requirements to be considered qualified rehabilitation expenditures, including whether the expenditures are in accordance with the requirements of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47 and its related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Type of property and services eligible. </w:t>
      </w:r>
      <w:r>
        <w:rPr>
          <w:rFonts w:ascii="Times New Roman" w:hAnsi="Times New Roman"/>
          <w:b w:val="false"/>
          <w:i w:val="false"/>
          <w:color w:val="000000"/>
          <w:sz w:val="22"/>
        </w:rPr>
        <w:t xml:space="preserve">In accordance with Iowa Code section </w:t>
      </w:r>
      <w:hyperlink r:id="rId454">
        <w:r>
          <w:rPr>
            <w:rStyle w:val="Hyperlink"/>
            <w:rFonts w:ascii="Times New Roman" w:hAnsi="Times New Roman"/>
            <w:b w:val="false"/>
            <w:i w:val="false"/>
            <w:color w:val="000000"/>
            <w:sz w:val="22"/>
          </w:rPr>
          <w:t>404A.1(6)</w:t>
        </w:r>
      </w:hyperlink>
      <w:r>
        <w:rPr>
          <w:rFonts w:ascii="Times New Roman" w:hAnsi="Times New Roman"/>
          <w:b w:val="false"/>
          <w:i w:val="false"/>
          <w:color w:val="000000"/>
          <w:sz w:val="22"/>
        </w:rPr>
        <w:t xml:space="preserve">, the types of property and services claimed for the state tax credit must be “qualified rehabilitation expenditures” in accordance with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47. Notwithstanding the foregoing sentence, expenditures incurred by an eligible taxpayer that is a nonprofit organization as defined in Iowa Code section </w:t>
      </w:r>
      <w:hyperlink r:id="rId455">
        <w:r>
          <w:rPr>
            <w:rStyle w:val="Hyperlink"/>
            <w:rFonts w:ascii="Times New Roman" w:hAnsi="Times New Roman"/>
            <w:b w:val="false"/>
            <w:i w:val="false"/>
            <w:color w:val="000000"/>
            <w:sz w:val="22"/>
          </w:rPr>
          <w:t>404A.1(4)</w:t>
        </w:r>
      </w:hyperlink>
      <w:r>
        <w:rPr>
          <w:rFonts w:ascii="Times New Roman" w:hAnsi="Times New Roman"/>
          <w:b w:val="false"/>
          <w:i w:val="false"/>
          <w:color w:val="000000"/>
          <w:sz w:val="22"/>
        </w:rPr>
        <w:t xml:space="preserve"> shall be considered “qualified rehabilitation expenditures” if they are for “structural components,” as that term is defined in Treasury Regulation § 1.48-1(e)(2), and for amounts incurred for architectural and engineering fees, site survey fees, legal expenses, insurance premiums, development fees and other construction-related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Effect of financing sources on eligibility of expenditures. </w:t>
      </w:r>
      <w:r>
        <w:rPr>
          <w:rFonts w:ascii="Times New Roman" w:hAnsi="Times New Roman"/>
          <w:b w:val="false"/>
          <w:i w:val="false"/>
          <w:color w:val="000000"/>
          <w:sz w:val="22"/>
        </w:rPr>
        <w:t xml:space="preserve">Qualified rehabilitation expenditures do not include expenditures financed by federal, state, or local government grants or forgivable loans unless otherwise allowed under </w:t>
      </w:r>
      <w:r>
        <w:rPr>
          <w:rFonts w:ascii="Times New Roman" w:hAnsi="Times New Roman"/>
          <w:b w:val="false"/>
          <w:i w:val="false"/>
          <w:color w:val="000000"/>
          <w:sz w:val="22"/>
        </w:rPr>
        <w:t>Section 47 of the Internal Revenue Code</w:t>
      </w:r>
      <w:r>
        <w:rPr>
          <w:rFonts w:ascii="Times New Roman" w:hAnsi="Times New Roman"/>
          <w:b w:val="false"/>
          <w:i w:val="false"/>
          <w:color w:val="000000"/>
          <w:sz w:val="22"/>
        </w:rPr>
        <w:t xml:space="preserve">. For an eligible taxpayer that is a nonprofit organization as defined in Iowa Code section </w:t>
      </w:r>
      <w:hyperlink r:id="rId456">
        <w:r>
          <w:rPr>
            <w:rStyle w:val="Hyperlink"/>
            <w:rFonts w:ascii="Times New Roman" w:hAnsi="Times New Roman"/>
            <w:b w:val="false"/>
            <w:i w:val="false"/>
            <w:color w:val="000000"/>
            <w:sz w:val="22"/>
          </w:rPr>
          <w:t>404A.1(4)</w:t>
        </w:r>
      </w:hyperlink>
      <w:r>
        <w:rPr>
          <w:rFonts w:ascii="Times New Roman" w:hAnsi="Times New Roman"/>
          <w:b w:val="false"/>
          <w:i w:val="false"/>
          <w:color w:val="000000"/>
          <w:sz w:val="22"/>
        </w:rPr>
        <w:t xml:space="preserve"> that is not eligible for the federal rehabilitation credit, or another person that is not eligible for the federal rehabilitation credit, expenditures financed with federal, state, or local government grants or forgivable loans are not qualified rehabilitation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304.54(4)</w:t>
      </w:r>
      <w:r>
        <w:rPr>
          <w:rFonts w:ascii="Times New Roman" w:hAnsi="Times New Roman"/>
          <w:b w:val="false"/>
          <w:i w:val="false"/>
          <w:color w:val="000000"/>
          <w:sz w:val="22"/>
        </w:rPr>
        <w:t> </w:t>
      </w:r>
      <w:r>
        <w:rPr>
          <w:rFonts w:ascii="Times New Roman" w:hAnsi="Times New Roman"/>
          <w:b w:val="false"/>
          <w:i/>
          <w:color w:val="000000"/>
          <w:sz w:val="22"/>
        </w:rPr>
        <w:t xml:space="preserve">Completion of the qualified rehabilitation project and claiming the tax credit on the Iowa return. </w:t>
      </w:r>
      <w:r>
        <w:rPr>
          <w:rFonts w:ascii="Times New Roman" w:hAnsi="Times New Roman"/>
          <w:b w:val="false"/>
          <w:i w:val="false"/>
          <w:color w:val="000000"/>
          <w:sz w:val="22"/>
        </w:rPr>
        <w:t xml:space="preserve">After the taxpayer completes a qualified rehabilitation project, the taxpayer will be issued a certificate of completion of the project from the department of cultural affairs if the project complies with the federal standards, as defined in rule </w:t>
      </w:r>
      <w:hyperlink r:id="rId457">
        <w:r>
          <w:rPr>
            <w:rStyle w:val="Hyperlink"/>
            <w:rFonts w:ascii="Times New Roman" w:hAnsi="Times New Roman"/>
            <w:b w:val="false"/>
            <w:i w:val="false"/>
            <w:color w:val="000000"/>
            <w:sz w:val="22"/>
          </w:rPr>
          <w:t>223—48.22</w:t>
        </w:r>
      </w:hyperlink>
      <w:r>
        <w:rPr>
          <w:rFonts w:ascii="Times New Roman" w:hAnsi="Times New Roman"/>
          <w:b w:val="false"/>
          <w:i w:val="false"/>
          <w:color w:val="000000"/>
          <w:sz w:val="22"/>
        </w:rPr>
        <w:t>(404A). After the department of cultural affairs and the department of revenue verify the taxpayer’s eligibility for the tax credit, the department of cultural affairs shall issue a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r>
        <w:rPr>
          <w:rFonts w:ascii="Times New Roman" w:hAnsi="Times New Roman"/>
          <w:b w:val="false"/>
          <w:i w:val="false"/>
          <w:color w:val="000000"/>
          <w:sz w:val="22"/>
        </w:rPr>
        <w:t xml:space="preserve">For the taxpayer to claim the credit, the certificate must be included with the taxpayer’s income tax return for the tax year in which the rehabilitation project is completed or the income tax return for any tax year within the five years following the tax year of project completion. Taxpayers that elect to delay claiming the credit to a later tax year return as described in this paragraph are subject to the carryforward limitations described in paragraph </w:t>
      </w:r>
      <w:hyperlink r:id="rId458">
        <w:r>
          <w:rPr>
            <w:rStyle w:val="Hyperlink"/>
            <w:rFonts w:ascii="Times New Roman" w:hAnsi="Times New Roman"/>
            <w:b w:val="false"/>
            <w:i w:val="false"/>
            <w:color w:val="000000"/>
            <w:sz w:val="22"/>
          </w:rPr>
          <w:t>304.54(4)</w:t>
        </w:r>
      </w:hyperlink>
      <w:r>
        <w:rPr>
          <w:rFonts w:ascii="Times New Roman" w:hAnsi="Times New Roman"/>
          <w:b w:val="false"/>
          <w:i/>
          <w:color w:val="000000"/>
          <w:sz w:val="22"/>
        </w:rPr>
        <w:t>“d”</w:t>
      </w:r>
      <w:r>
        <w:rPr>
          <w:rFonts w:ascii="Times New Roman" w:hAnsi="Times New Roman"/>
          <w:b w:val="false"/>
          <w:i w:val="false"/>
          <w:color w:val="000000"/>
          <w:sz w:val="22"/>
        </w:rPr>
        <w:t xml:space="preserve"> below. The credit may be claimed on an amended return so long as the amended return is filed within the statute of limitations applicable to the tax year for which the amended tax return is being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 xml:space="preserve">The tax credit certificate shall include the taxpayer’s name, the taxpayer’s address, the taxpayer’s tax identification number, the address or location of the rehabilitation project, the date the project was completed, the amount of the historic preservation and cultural and entertainment district tax credit, and, if applicable, an indication of whether the credit is nonrefundable (see paragraph </w:t>
      </w:r>
      <w:hyperlink r:id="rId459">
        <w:r>
          <w:rPr>
            <w:rStyle w:val="Hyperlink"/>
            <w:rFonts w:ascii="Times New Roman" w:hAnsi="Times New Roman"/>
            <w:b w:val="false"/>
            <w:i w:val="false"/>
            <w:color w:val="000000"/>
            <w:sz w:val="22"/>
          </w:rPr>
          <w:t>304.54(4)</w:t>
        </w:r>
      </w:hyperlink>
      <w:r>
        <w:rPr>
          <w:rFonts w:ascii="Times New Roman" w:hAnsi="Times New Roman"/>
          <w:b w:val="false"/>
          <w:i/>
          <w:color w:val="000000"/>
          <w:sz w:val="22"/>
        </w:rPr>
        <w:t>“c”</w:t>
      </w:r>
      <w:r>
        <w:rPr>
          <w:rFonts w:ascii="Times New Roman" w:hAnsi="Times New Roman"/>
          <w:b w:val="false"/>
          <w:i w:val="false"/>
          <w:color w:val="000000"/>
          <w:sz w:val="22"/>
        </w:rPr>
        <w:t xml:space="preserve"> below). In addition, the tax credit certificate shall include a place for the name and tax identification number of a transferee and the amount of the tax credit being transferred, as provided in subrule </w:t>
      </w:r>
      <w:hyperlink r:id="rId460">
        <w:r>
          <w:rPr>
            <w:rStyle w:val="Hyperlink"/>
            <w:rFonts w:ascii="Times New Roman" w:hAnsi="Times New Roman"/>
            <w:b w:val="false"/>
            <w:i w:val="false"/>
            <w:color w:val="000000"/>
            <w:sz w:val="22"/>
          </w:rPr>
          <w:t>304.54(5)</w:t>
        </w:r>
      </w:hyperlink>
      <w:r>
        <w:rPr>
          <w:rFonts w:ascii="Times New Roman" w:hAnsi="Times New Roman"/>
          <w:b w:val="false"/>
          <w:i w:val="false"/>
          <w:color w:val="000000"/>
          <w:sz w:val="22"/>
        </w:rPr>
        <w:t>. In addition, if the taxpayer is a partnership, limited liability company, estate or trust, and the tax credit is allocated to the owners or beneficiaries of the entity, a list of the owners or beneficiaries and the amount of credit allocated to each owner or beneficiary shall be provided with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 xml:space="preserve">A historic preservation and cultural and entertainment district tax credit in excess of the taxpayer’s tax liability is fully refundable with interest computed under Iowa Code section </w:t>
      </w:r>
      <w:hyperlink r:id="rId461">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In lieu of claiming the refund, the taxpayer may elect to have the overpayment credited to the tax liability for the following tax year. To receive a refundable credit, the taxpayer must elect to receive the credit as refundable at the Part 3 stage of the application process administered by the department of cultural affairs. Once the taxpayer elects to receive a nonrefundable credit, the taxpayer cannot elect to change the credit to a refundable credit or vice versa. See department of cultural affairs’ </w:t>
      </w:r>
      <w:hyperlink r:id="rId462">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If the taxpayer is a transferee, the taxpayer may elect to receive the credit as refundable or nonrefundable when the taxpayer applies to the department of revenue for transfer of the tax credit as described in subrule </w:t>
      </w:r>
      <w:hyperlink r:id="rId463">
        <w:r>
          <w:rPr>
            <w:rStyle w:val="Hyperlink"/>
            <w:rFonts w:ascii="Times New Roman" w:hAnsi="Times New Roman"/>
            <w:b w:val="false"/>
            <w:i w:val="false"/>
            <w:color w:val="000000"/>
            <w:sz w:val="22"/>
          </w:rPr>
          <w:t>304.54(5)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 xml:space="preserve">If the taxpayer elects to receive a nonrefundable historic preservation and cultural and entertainment district tax credit as described in paragraph </w:t>
      </w:r>
      <w:hyperlink r:id="rId464">
        <w:r>
          <w:rPr>
            <w:rStyle w:val="Hyperlink"/>
            <w:rFonts w:ascii="Times New Roman" w:hAnsi="Times New Roman"/>
            <w:b w:val="false"/>
            <w:i w:val="false"/>
            <w:color w:val="000000"/>
            <w:sz w:val="22"/>
          </w:rPr>
          <w:t>304.54(4)</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amount in excess of the taxpayer’s tax liability may be carried forward for five years following the tax year in which the project is completed, or until it is depleted, whichever is earlier. A tax credit shall not be carried back to a tax year prior to the tax year in which the taxpayer is first eligible to claim the credit. Regardless of whether the taxpayer elects to claim the tax credit on a tax return for a year that is later than the year of project completion as described in paragraph </w:t>
      </w:r>
      <w:hyperlink r:id="rId465">
        <w:r>
          <w:rPr>
            <w:rStyle w:val="Hyperlink"/>
            <w:rFonts w:ascii="Times New Roman" w:hAnsi="Times New Roman"/>
            <w:b w:val="false"/>
            <w:i w:val="false"/>
            <w:color w:val="000000"/>
            <w:sz w:val="22"/>
          </w:rPr>
          <w:t>304.54(4)</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taxpayer must utilize the entire credit within five years following the tax year of the project completion as described in this paragraph; any credit amount that is not utilized within the five-year carryforward period is forfeited. The five-year carryforward limitation does not apply if the taxpayer elects to receive a refundable credit, the excess of which may be credited to future tax years as an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Allocation of historic preservation and cultural and entertainment district tax credits to the individual owners of the entity or beneficiaries of an estate or trust. </w:t>
      </w:r>
      <w:r>
        <w:rPr>
          <w:rFonts w:ascii="Times New Roman" w:hAnsi="Times New Roman"/>
          <w:b w:val="false"/>
          <w:i w:val="false"/>
          <w:color w:val="000000"/>
          <w:sz w:val="22"/>
        </w:rPr>
        <w:t>A partnership, limited liability company or S corporation may designate the amount of the tax credit to be allocated to each partner, member or shareholder. The credit does not have to be allocated based on the pro rata share of earnings of the partnership, limited liability company or S corporation. For an individual claiming a tax credit of an estate or trust, the amount claimed by the individual shall be based upon the pro rata share of the individual’s earnings from the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304.54(5)</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historic preservation and cultural and entertainment district tax credit. </w:t>
      </w:r>
      <w:r>
        <w:rPr>
          <w:rFonts w:ascii="Times New Roman" w:hAnsi="Times New Roman"/>
          <w:b w:val="false"/>
          <w:i w:val="false"/>
          <w:color w:val="000000"/>
          <w:sz w:val="22"/>
        </w:rPr>
        <w:t xml:space="preserve">The historic preservation and cultural and entertainment district tax credit certificates may be transferred to any person or entity. The transferee may use the amount of the tax credit transferred against the taxes imposed in Iowa Code chapter </w:t>
      </w:r>
      <w:hyperlink r:id="rId466">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divisions II, III, and V, and in Iowa Code chapter </w:t>
      </w:r>
      <w:hyperlink r:id="rId467">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for any tax year the original transferor could have claimed the tax credit. Transferees must elect to receive either a refundable or nonrefundable tax credit. Once the transferee elects to receive a nonrefundable credit, the transferee cannot elect to change the credit to a refundable credit or vice versa. A tax credit certificate of less than $1,000 shall not be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Transfer process—information required. </w:t>
      </w: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that contains the transferee’s name, address and tax identification number, the amount of the tax credit being transferred, an election to receive either a refundable or nonrefundable tax credit, and the amount of all consideration provided in exchange for the tax credit and the names of recipients of any consideration provided in exchange for the tax credit. If a payment of money was any part of the consideration provided in exchange for the tax credit, the transferee shall list the amount of the payment of money in its statement to the department of revenue. If any part of the consideration provided in exchange for the tax credit included nonmonetary consideration, including but not limited to any promise, representation, performance, discharge of debt or nonmonetary rights or property, the tax credit transferee shall describe the nature of the nonmonetary consideration and disclose any value the transferor and transferee assigned to the nonmonetary consideration. The tax credit transferee must indicate on its statement to the department of revenue if no consideration was provided in exchange for the tax credit. Within 30 days of receiving the transferred tax credit certificate and the statement from the transferee, the department of revenue will issue the replacement tax credit certificate to the transferee. If the transferee is a partnership, limited liability company or S corporation, the transferee shall provide a list of the partners, members or shareholders and information on how the historic preservation and cultural and entertainment district tax credit should be divided among the partners, members or shareholders. The transferee shall also provide the tax identification numbers and addresses of the partners, members or shareholders. The certificate must have the same information required for the original tax certificate and must have the same expiration date as the original tax credit certificate. The transferee may not claim a tax credit until a replacement certificate identifying the transferee as the proper holder has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Consideration. </w:t>
      </w:r>
      <w:r>
        <w:rPr>
          <w:rFonts w:ascii="Times New Roman" w:hAnsi="Times New Roman"/>
          <w:b w:val="false"/>
          <w:i w:val="false"/>
          <w:color w:val="000000"/>
          <w:sz w:val="22"/>
        </w:rPr>
        <w:t>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Unlimited number of transferees and subsequent transfers. </w:t>
      </w:r>
      <w:r>
        <w:rPr>
          <w:rFonts w:ascii="Times New Roman" w:hAnsi="Times New Roman"/>
          <w:b w:val="false"/>
          <w:i w:val="false"/>
          <w:color w:val="000000"/>
          <w:sz w:val="22"/>
        </w:rPr>
        <w:t>There is no limitation on the number of transferees to whom the credit may be transferred. There is no limitation on the number of times that the credit may be retransferred by a transferee. The transferor may divide the credit into multiple credits of alternate denominations so long as the resulting credits are for amounts of no less than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limitations on transferees. </w:t>
      </w:r>
      <w:r>
        <w:rPr>
          <w:rFonts w:ascii="Times New Roman" w:hAnsi="Times New Roman"/>
          <w:b w:val="false"/>
          <w:i w:val="false"/>
          <w:color w:val="000000"/>
          <w:sz w:val="22"/>
        </w:rPr>
        <w:t xml:space="preserve">The transferee may use the amount of the transferred tax credit for any tax year that the original transferor could have claimed the tax credit. The carryforward limitations described in paragraph </w:t>
      </w:r>
      <w:hyperlink r:id="rId468">
        <w:r>
          <w:rPr>
            <w:rStyle w:val="Hyperlink"/>
            <w:rFonts w:ascii="Times New Roman" w:hAnsi="Times New Roman"/>
            <w:b w:val="false"/>
            <w:i w:val="false"/>
            <w:color w:val="000000"/>
            <w:sz w:val="22"/>
          </w:rPr>
          <w:t>304.54(4)</w:t>
        </w:r>
      </w:hyperlink>
      <w:r>
        <w:rPr>
          <w:rFonts w:ascii="Times New Roman" w:hAnsi="Times New Roman"/>
          <w:b w:val="false"/>
          <w:i/>
          <w:color w:val="000000"/>
          <w:sz w:val="22"/>
        </w:rPr>
        <w:t>“d”</w:t>
      </w:r>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304.54(6)</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Challenges to an action by the department of revenue related to tax credit transfers, the claiming of tax credits, tax credit revocation, or repayment or recovery of tax credits must be brought pursuant to </w:t>
      </w:r>
      <w:hyperlink r:id="rId469">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70">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and Iowa Code section </w:t>
      </w:r>
      <w:hyperlink r:id="rId471">
        <w:r>
          <w:rPr>
            <w:rStyle w:val="Hyperlink"/>
            <w:rFonts w:ascii="Times New Roman" w:hAnsi="Times New Roman"/>
            <w:b w:val="false"/>
            <w:i w:val="false"/>
            <w:color w:val="000000"/>
            <w:sz w:val="22"/>
          </w:rPr>
          <w:t>422.11D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1968C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2928C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701—304.55</w:t>
      </w:r>
      <w:r>
        <w:rPr>
          <w:rFonts w:ascii="Times New Roman" w:hAnsi="Times New Roman"/>
          <w:b/>
          <w:i w:val="false"/>
          <w:color w:val="000000"/>
          <w:sz w:val="22"/>
        </w:rPr>
        <w:t xml:space="preserve">(404A,422) </w:t>
      </w:r>
      <w:r>
        <w:rPr>
          <w:rFonts w:ascii="Times New Roman" w:hAnsi="Times New Roman"/>
          <w:b/>
          <w:i w:val="false"/>
          <w:color w:val="000000"/>
          <w:sz w:val="22"/>
        </w:rPr>
        <w:t xml:space="preserve">Historic preservation and cultural and entertainment district tax credit for projects registered on or after August 15, 2016. </w:t>
      </w:r>
      <w:r>
        <w:rPr>
          <w:rFonts w:ascii="Times New Roman" w:hAnsi="Times New Roman"/>
          <w:b w:val="false"/>
          <w:i w:val="false"/>
          <w:color w:val="000000"/>
          <w:sz w:val="22"/>
        </w:rPr>
        <w:t xml:space="preserve">The economic development authority is authorized by the general assembly to award tax credits for a percentage of the qualified rehabilitation expenditures on a qualified rehabilitation project as described in the historic preservation and cultural and entertainment district tax credit program, Iowa Code chapter </w:t>
      </w:r>
      <w:hyperlink r:id="rId472">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The program is administered by the economic development authority with the assistance of the department of cultural affairs and the department of revenue. The general assembly has mandated that the economic development authority, the department of cultural affairs and the department of revenue adopt rules as necessary to administer Iowa Code chapter </w:t>
      </w:r>
      <w:hyperlink r:id="rId473">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In general, the department of revenue is responsible for administering tax credit transfers and processing and auditing tax credits claimed on returns. For the economic development authority’s rules on the credit program, see </w:t>
      </w:r>
      <w:hyperlink r:id="rId474">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 xml:space="preserve">. For the department of cultural affairs’ rules on the credit program, see </w:t>
      </w:r>
      <w:hyperlink r:id="rId475">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304.55(1)</w:t>
      </w:r>
      <w:r>
        <w:rPr>
          <w:rFonts w:ascii="Times New Roman" w:hAnsi="Times New Roman"/>
          <w:b w:val="false"/>
          <w:i w:val="false"/>
          <w:color w:val="000000"/>
          <w:sz w:val="22"/>
        </w:rPr>
        <w:t> </w:t>
      </w:r>
      <w:r>
        <w:rPr>
          <w:rFonts w:ascii="Times New Roman" w:hAnsi="Times New Roman"/>
          <w:b w:val="false"/>
          <w:i/>
          <w:color w:val="000000"/>
          <w:sz w:val="22"/>
        </w:rPr>
        <w:t xml:space="preserve">Program transition. </w:t>
      </w: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made several changes to the credit program, including transferring primary responsibility for the program’s administration from the department of cultural affairs to the economic development authority. Projects registered prior to August 15, 2016, remain under the purview of the department of cultural affairs, with assistance from the department of revenue. For department of revenue rules related to projects registered prior to August 15, 2016, see rules </w:t>
      </w:r>
      <w:hyperlink r:id="rId476">
        <w:r>
          <w:rPr>
            <w:rStyle w:val="Hyperlink"/>
            <w:rFonts w:ascii="Times New Roman" w:hAnsi="Times New Roman"/>
            <w:b w:val="false"/>
            <w:i w:val="false"/>
            <w:color w:val="000000"/>
            <w:sz w:val="22"/>
          </w:rPr>
          <w:t>701—304.54</w:t>
        </w:r>
      </w:hyperlink>
      <w:r>
        <w:rPr>
          <w:rFonts w:ascii="Times New Roman" w:hAnsi="Times New Roman"/>
          <w:b w:val="false"/>
          <w:i w:val="false"/>
          <w:color w:val="000000"/>
          <w:sz w:val="22"/>
        </w:rPr>
        <w:t xml:space="preserve">(404A,422) and </w:t>
      </w:r>
      <w:hyperlink r:id="rId477">
        <w:r>
          <w:rPr>
            <w:rStyle w:val="Hyperlink"/>
            <w:rFonts w:ascii="Times New Roman" w:hAnsi="Times New Roman"/>
            <w:b w:val="false"/>
            <w:i w:val="false"/>
            <w:color w:val="000000"/>
            <w:sz w:val="22"/>
          </w:rPr>
          <w:t>701—304.19</w:t>
        </w:r>
      </w:hyperlink>
      <w:r>
        <w:rPr>
          <w:rFonts w:ascii="Times New Roman" w:hAnsi="Times New Roman"/>
          <w:b w:val="false"/>
          <w:i w:val="false"/>
          <w:color w:val="000000"/>
          <w:sz w:val="22"/>
        </w:rPr>
        <w:t>(404A,422).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304.55(2)</w:t>
      </w:r>
      <w:r>
        <w:rPr>
          <w:rFonts w:ascii="Times New Roman" w:hAnsi="Times New Roman"/>
          <w:b w:val="false"/>
          <w:i w:val="false"/>
          <w:color w:val="000000"/>
          <w:sz w:val="22"/>
        </w:rPr>
        <w:t> </w:t>
      </w:r>
      <w:r>
        <w:rPr>
          <w:rFonts w:ascii="Times New Roman" w:hAnsi="Times New Roman"/>
          <w:b w:val="false"/>
          <w:i/>
          <w:color w:val="000000"/>
          <w:sz w:val="22"/>
        </w:rPr>
        <w:t xml:space="preserve">Application, registration, and agreement for the historic preservation and cultural and entertainment district tax credit. </w:t>
      </w:r>
      <w:r>
        <w:rPr>
          <w:rFonts w:ascii="Times New Roman" w:hAnsi="Times New Roman"/>
          <w:b w:val="false"/>
          <w:i w:val="false"/>
          <w:color w:val="000000"/>
          <w:sz w:val="22"/>
        </w:rPr>
        <w:t xml:space="preserve">For rules on the application, registration, and agreement process, see economic development authority rules, </w:t>
      </w:r>
      <w:hyperlink r:id="rId478">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304.55(3)</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amount of the historic preservation and cultural and entertainment district tax credit. </w:t>
      </w:r>
      <w:r>
        <w:rPr>
          <w:rFonts w:ascii="Times New Roman" w:hAnsi="Times New Roman"/>
          <w:b w:val="false"/>
          <w:i w:val="false"/>
          <w:color w:val="000000"/>
          <w:sz w:val="22"/>
        </w:rPr>
        <w:t xml:space="preserve">The amount of the historic preservation and cultural and entertainment district tax credit is a maximum of 25 percent of the qualified rehabilitation expenditures verified by the economic development authority following project completion, up to the amount specified in the agreement between the taxpayer and the economic development authority. For more information on the credit computation, see economic development authority rules, </w:t>
      </w:r>
      <w:hyperlink r:id="rId479">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 The amount remains subject to audit by the department of revenue when the credit is claimed on the taxpayer’s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304.55(4)</w:t>
      </w:r>
      <w:r>
        <w:rPr>
          <w:rFonts w:ascii="Times New Roman" w:hAnsi="Times New Roman"/>
          <w:b w:val="false"/>
          <w:i w:val="false"/>
          <w:color w:val="000000"/>
          <w:sz w:val="22"/>
        </w:rPr>
        <w:t> </w:t>
      </w:r>
      <w:r>
        <w:rPr>
          <w:rFonts w:ascii="Times New Roman" w:hAnsi="Times New Roman"/>
          <w:b w:val="false"/>
          <w:i/>
          <w:color w:val="000000"/>
          <w:sz w:val="22"/>
        </w:rPr>
        <w:t xml:space="preserve">Qualified rehabilitation expenditures. </w:t>
      </w:r>
      <w:r>
        <w:rPr>
          <w:rFonts w:ascii="Times New Roman" w:hAnsi="Times New Roman"/>
          <w:b w:val="false"/>
          <w:i w:val="false"/>
          <w:color w:val="000000"/>
          <w:sz w:val="22"/>
        </w:rPr>
        <w:t xml:space="preserve">“Qualified rehabilitation expenditures” means the same as defined in Iowa Code section </w:t>
      </w:r>
      <w:hyperlink r:id="rId480">
        <w:r>
          <w:rPr>
            <w:rStyle w:val="Hyperlink"/>
            <w:rFonts w:ascii="Times New Roman" w:hAnsi="Times New Roman"/>
            <w:b w:val="false"/>
            <w:i w:val="false"/>
            <w:color w:val="000000"/>
            <w:sz w:val="22"/>
          </w:rPr>
          <w:t>404A.1(7)</w:t>
        </w:r>
      </w:hyperlink>
      <w:r>
        <w:rPr>
          <w:rFonts w:ascii="Times New Roman" w:hAnsi="Times New Roman"/>
          <w:b w:val="false"/>
          <w:i w:val="false"/>
          <w:color w:val="000000"/>
          <w:sz w:val="22"/>
        </w:rPr>
        <w:t xml:space="preserve"> and rule </w:t>
      </w:r>
      <w:hyperlink r:id="rId481">
        <w:r>
          <w:rPr>
            <w:rStyle w:val="Hyperlink"/>
            <w:rFonts w:ascii="Times New Roman" w:hAnsi="Times New Roman"/>
            <w:b w:val="false"/>
            <w:i w:val="false"/>
            <w:color w:val="000000"/>
            <w:sz w:val="22"/>
          </w:rPr>
          <w:t>261—49.5</w:t>
        </w:r>
      </w:hyperlink>
      <w:r>
        <w:rPr>
          <w:rFonts w:ascii="Times New Roman" w:hAnsi="Times New Roman"/>
          <w:b w:val="false"/>
          <w:i w:val="false"/>
          <w:color w:val="000000"/>
          <w:sz w:val="22"/>
        </w:rPr>
        <w:t xml:space="preserve">(404A) of economic development authority rules. In the event of an audit, the department of revenue evaluates whether expenditures comply with the agreement between the economic development authority and the eligible taxpayer, as well as with applicable statutes and rules, including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47 and its related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304.55(5)</w:t>
      </w:r>
      <w:r>
        <w:rPr>
          <w:rFonts w:ascii="Times New Roman" w:hAnsi="Times New Roman"/>
          <w:b w:val="false"/>
          <w:i w:val="false"/>
          <w:color w:val="000000"/>
          <w:sz w:val="22"/>
        </w:rPr>
        <w:t> </w:t>
      </w:r>
      <w:r>
        <w:rPr>
          <w:rFonts w:ascii="Times New Roman" w:hAnsi="Times New Roman"/>
          <w:b w:val="false"/>
          <w:i/>
          <w:color w:val="000000"/>
          <w:sz w:val="22"/>
        </w:rPr>
        <w:t xml:space="preserve">Completion of the qualified rehabilitation project and claiming the tax credit. </w:t>
      </w:r>
      <w:r>
        <w:rPr>
          <w:rFonts w:ascii="Times New Roman" w:hAnsi="Times New Roman"/>
          <w:b w:val="false"/>
          <w:i w:val="false"/>
          <w:color w:val="000000"/>
          <w:sz w:val="22"/>
        </w:rPr>
        <w:t xml:space="preserve">After the economic development authority verifies the taxpayer’s eligibility for the tax credit, the economic development authority shall issue a tax credit certificate. For more information on credit certificate issuance, see economic development authority rules, </w:t>
      </w:r>
      <w:hyperlink r:id="rId482">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r>
        <w:rPr>
          <w:rFonts w:ascii="Times New Roman" w:hAnsi="Times New Roman"/>
          <w:b w:val="false"/>
          <w:i w:val="false"/>
          <w:color w:val="000000"/>
          <w:sz w:val="22"/>
        </w:rPr>
        <w:t xml:space="preserve">For the taxpayer to claim the credit, the certificate must be included with the taxpayer’s income tax return for the tax year in which the rehabilitation project is completed or the income tax return for any year within the five years following the year of project completion. Taxpayers that elect to delay claiming the credit to a later year’s return as described in this paragraph are subject to the carryforward limitations described in paragraph </w:t>
      </w:r>
      <w:hyperlink r:id="rId483">
        <w:r>
          <w:rPr>
            <w:rStyle w:val="Hyperlink"/>
            <w:rFonts w:ascii="Times New Roman" w:hAnsi="Times New Roman"/>
            <w:b w:val="false"/>
            <w:i w:val="false"/>
            <w:color w:val="000000"/>
            <w:sz w:val="22"/>
          </w:rPr>
          <w:t>304.55(5)</w:t>
        </w:r>
      </w:hyperlink>
      <w:r>
        <w:rPr>
          <w:rFonts w:ascii="Times New Roman" w:hAnsi="Times New Roman"/>
          <w:b w:val="false"/>
          <w:i/>
          <w:color w:val="000000"/>
          <w:sz w:val="22"/>
        </w:rPr>
        <w:t>“d”</w:t>
      </w:r>
      <w:r>
        <w:rPr>
          <w:rFonts w:ascii="Times New Roman" w:hAnsi="Times New Roman"/>
          <w:b w:val="false"/>
          <w:i w:val="false"/>
          <w:color w:val="000000"/>
          <w:sz w:val="22"/>
        </w:rPr>
        <w:t xml:space="preserve"> below. The credit may be claimed on an amended return so long as the amended return is filed within the statute of limitations applicable to the tax year for which the amended tax return is being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 xml:space="preserve">The tax credit certificate shall include the taxpayer’s name, the taxpayer’s address, the taxpayer’s tax identification number, the address or location of the rehabilitation project, the date the project was completed, the amount of the historic preservation and cultural and entertainment district tax credit, and, if applicable, an indication of whether the credit is nonrefundable (see paragraph </w:t>
      </w:r>
      <w:hyperlink r:id="rId484">
        <w:r>
          <w:rPr>
            <w:rStyle w:val="Hyperlink"/>
            <w:rFonts w:ascii="Times New Roman" w:hAnsi="Times New Roman"/>
            <w:b w:val="false"/>
            <w:i w:val="false"/>
            <w:color w:val="000000"/>
            <w:sz w:val="22"/>
          </w:rPr>
          <w:t>304.55(5)</w:t>
        </w:r>
      </w:hyperlink>
      <w:r>
        <w:rPr>
          <w:rFonts w:ascii="Times New Roman" w:hAnsi="Times New Roman"/>
          <w:b w:val="false"/>
          <w:i/>
          <w:color w:val="000000"/>
          <w:sz w:val="22"/>
        </w:rPr>
        <w:t>“c”</w:t>
      </w:r>
      <w:r>
        <w:rPr>
          <w:rFonts w:ascii="Times New Roman" w:hAnsi="Times New Roman"/>
          <w:b w:val="false"/>
          <w:i w:val="false"/>
          <w:color w:val="000000"/>
          <w:sz w:val="22"/>
        </w:rPr>
        <w:t xml:space="preserve"> below). In addition, the tax credit certificate shall include a place for the name and tax identification number of a transferee and the amount of the tax credit being transferred, as provided in subrule </w:t>
      </w:r>
      <w:hyperlink r:id="rId485">
        <w:r>
          <w:rPr>
            <w:rStyle w:val="Hyperlink"/>
            <w:rFonts w:ascii="Times New Roman" w:hAnsi="Times New Roman"/>
            <w:b w:val="false"/>
            <w:i w:val="false"/>
            <w:color w:val="000000"/>
            <w:sz w:val="22"/>
          </w:rPr>
          <w:t>304.55(6)</w:t>
        </w:r>
      </w:hyperlink>
      <w:r>
        <w:rPr>
          <w:rFonts w:ascii="Times New Roman" w:hAnsi="Times New Roman"/>
          <w:b w:val="false"/>
          <w:i w:val="false"/>
          <w:color w:val="000000"/>
          <w:sz w:val="22"/>
        </w:rPr>
        <w:t>. In addition, if the taxpayer is a partnership, limited liability company, estate or trust, and the tax credit is allocated to the owners or beneficiaries of the entity, a list of the owners or beneficiaries and the amount of credit allocated to each owner or beneficiary shall be provided with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 xml:space="preserve">A historic preservation and cultural and entertainment district tax credit in excess of the taxpayer’s tax liability is fully refundable with interest computed under Iowa Code section </w:t>
      </w:r>
      <w:hyperlink r:id="rId486">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In lieu of claiming the refund, the taxpayer may elect to have the overpayment credited to the tax liability for the following tax year. To receive a refundable credit, the taxpayer must elect to receive the credit as refundable at the Part 3 stage of the application process administered by the economic development authority. See the economic development authority’s rule </w:t>
      </w:r>
      <w:hyperlink r:id="rId487">
        <w:r>
          <w:rPr>
            <w:rStyle w:val="Hyperlink"/>
            <w:rFonts w:ascii="Times New Roman" w:hAnsi="Times New Roman"/>
            <w:b w:val="false"/>
            <w:i w:val="false"/>
            <w:color w:val="000000"/>
            <w:sz w:val="22"/>
          </w:rPr>
          <w:t>261—49.15</w:t>
        </w:r>
      </w:hyperlink>
      <w:r>
        <w:rPr>
          <w:rFonts w:ascii="Times New Roman" w:hAnsi="Times New Roman"/>
          <w:b w:val="false"/>
          <w:i w:val="false"/>
          <w:color w:val="000000"/>
          <w:sz w:val="22"/>
        </w:rPr>
        <w:t xml:space="preserve">(404A). Once the taxpayer elects to receive a nonrefundable credit, the taxpayer cannot elect to change the credit to a refundable credit or vice versa. If the taxpayer is a transferee, the taxpayer may elect to receive the credit as refundable when the taxpayer applies to the department of revenue for transfer of the tax credit as described in subrule </w:t>
      </w:r>
      <w:hyperlink r:id="rId488">
        <w:r>
          <w:rPr>
            <w:rStyle w:val="Hyperlink"/>
            <w:rFonts w:ascii="Times New Roman" w:hAnsi="Times New Roman"/>
            <w:b w:val="false"/>
            <w:i w:val="false"/>
            <w:color w:val="000000"/>
            <w:sz w:val="22"/>
          </w:rPr>
          <w:t>304.55(6)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 xml:space="preserve">If the taxpayer elects to receive a nonrefundable historic preservation and cultural and entertainment district tax credit as described in paragraph </w:t>
      </w:r>
      <w:hyperlink r:id="rId489">
        <w:r>
          <w:rPr>
            <w:rStyle w:val="Hyperlink"/>
            <w:rFonts w:ascii="Times New Roman" w:hAnsi="Times New Roman"/>
            <w:b w:val="false"/>
            <w:i w:val="false"/>
            <w:color w:val="000000"/>
            <w:sz w:val="22"/>
          </w:rPr>
          <w:t>304.55(5)</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amount in excess of the taxpayer’s tax liability may be carried forward for five years following the tax year in which the project is completed, or until it is depleted, whichever is earlier. A tax credit shall not be carried back to a tax year prior to the tax year in which the taxpayer is first eligible to claim the credit. Regardless of whether the taxpayer elects to claim the tax credit on a tax return for a year that is later than the year of project completion as described in paragraph </w:t>
      </w:r>
      <w:hyperlink r:id="rId490">
        <w:r>
          <w:rPr>
            <w:rStyle w:val="Hyperlink"/>
            <w:rFonts w:ascii="Times New Roman" w:hAnsi="Times New Roman"/>
            <w:b w:val="false"/>
            <w:i w:val="false"/>
            <w:color w:val="000000"/>
            <w:sz w:val="22"/>
          </w:rPr>
          <w:t>304.55(5)</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taxpayer must utilize the entire credit within five years following the tax year of the project completion as described in this paragraph; any credit amount that is not utilized within the five-year carryforward period is forfeited. The five-year carryforward limitation does not apply if the taxpayer elects to receive a refundable credit, the excess of which may be credited to future tax years as an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Allocation of historic preservation and cultural and entertainment district tax credits to the individual owners of the entity or beneficiaries of an estate or trust. </w:t>
      </w:r>
      <w:r>
        <w:rPr>
          <w:rFonts w:ascii="Times New Roman" w:hAnsi="Times New Roman"/>
          <w:b w:val="false"/>
          <w:i w:val="false"/>
          <w:color w:val="000000"/>
          <w:sz w:val="22"/>
        </w:rPr>
        <w:t>A partnership, limited liability company or S corporation may designate the amount of the tax credit to be allocated to each partner, member or shareholder. The credit does not have to be allocated based on the pro rata share of earnings of the partnership, limited liability company or S corporation. For an individual claiming a tax credit of an estate or trust, the amount claimed by the individual shall be based upon the pro rata share of the individual’s earnings from the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304.55(6)</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historic preservation and cultural and entertainment district tax credit. </w:t>
      </w:r>
      <w:r>
        <w:rPr>
          <w:rFonts w:ascii="Times New Roman" w:hAnsi="Times New Roman"/>
          <w:b w:val="false"/>
          <w:i w:val="false"/>
          <w:color w:val="000000"/>
          <w:sz w:val="22"/>
        </w:rPr>
        <w:t xml:space="preserve">The historic preservation and cultural and entertainment district tax credit certificates may be transferred to any person or entity. The transferee may use the amount of the tax credit transferred against the taxes imposed in Iowa Code chapter </w:t>
      </w:r>
      <w:hyperlink r:id="rId491">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divisions II, III, and V, and in Iowa Code chapter </w:t>
      </w:r>
      <w:hyperlink r:id="rId492">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for any tax year that the original transferor could have claimed the tax credit. Transferees must elect to receive either a refundable or nonrefundable tax credit. Once the transferee elects to receive a nonrefundable credit, the transferee cannot elect to change the credit to a refundable credit or vice versa. A tax credit certificate of less than $1,000 shall not be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Transfer process—information required. </w:t>
      </w: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that contains the transferee’s name, address and tax identification number, the amount of the tax credit being transferred, an election to receive either a refundable or nonrefundable tax credit, and the amount of all consideration provided in exchange for the tax credit and the names of recipients of any consideration provided in exchange for the tax credit. If a payment of money was any part of the consideration provided in exchange for the tax credit, the transferee shall list the amount of the payment of money in its statement to the department of revenue. If any part of the consideration provided in exchange for the tax credit included nonmonetary consideration, including but not limited to any promise, representation, performance, discharge of debt or nonmonetary rights or property, the tax credit transferee shall describe the nature of the nonmonetary consideration and disclose any value the transferor and transferee assigned to the nonmonetary consideration. The tax credit transferee must indicate on its statement to the department of revenue if no consideration was provided in exchange for the tax credit. Within 30 days of receiving the transferred tax credit certificate and the statement from the transferee, the department of revenue will issue the replacement tax credit certificate to the transferee. If the transferee is a partnership, limited liability company or S corporation, the transferee shall provide a list of the partners, members or shareholders and information on how the historic preservation and cultural and entertainment district tax credit should be divided among the partners, members or shareholders. The transferee shall also provide the tax identification numbers and addresses of the partners, members or shareholders. The certificate must have the same information required for the original tax credit certificate and must have the same expiration date as the original tax credit certificate. The transferee may not claim a tax credit until a replacement certificate identifying the transferee as the proper holder has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Consideration. </w:t>
      </w:r>
      <w:r>
        <w:rPr>
          <w:rFonts w:ascii="Times New Roman" w:hAnsi="Times New Roman"/>
          <w:b w:val="false"/>
          <w:i w:val="false"/>
          <w:color w:val="000000"/>
          <w:sz w:val="22"/>
        </w:rPr>
        <w:t>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Unlimited number of transferees and subsequent transfers. </w:t>
      </w:r>
      <w:r>
        <w:rPr>
          <w:rFonts w:ascii="Times New Roman" w:hAnsi="Times New Roman"/>
          <w:b w:val="false"/>
          <w:i w:val="false"/>
          <w:color w:val="000000"/>
          <w:sz w:val="22"/>
        </w:rPr>
        <w:t>There is no limitation on the number of transferees to whom the credit may be transferred. There is no limitation on the number of times that the credit may be retransferred by a transferee. The transferor may divide the credit into multiple credits of alternate denominations so long as the resulting credits are for amounts of no less than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limitations on transferees. </w:t>
      </w:r>
      <w:r>
        <w:rPr>
          <w:rFonts w:ascii="Times New Roman" w:hAnsi="Times New Roman"/>
          <w:b w:val="false"/>
          <w:i w:val="false"/>
          <w:color w:val="000000"/>
          <w:sz w:val="22"/>
        </w:rPr>
        <w:t xml:space="preserve">The transferee may use the amount of the transferred tax credit for any tax year that the original transferor could have claimed the tax credit. The carryforward limitations described in paragraph </w:t>
      </w:r>
      <w:hyperlink r:id="rId493">
        <w:r>
          <w:rPr>
            <w:rStyle w:val="Hyperlink"/>
            <w:rFonts w:ascii="Times New Roman" w:hAnsi="Times New Roman"/>
            <w:b w:val="false"/>
            <w:i w:val="false"/>
            <w:color w:val="000000"/>
            <w:sz w:val="22"/>
          </w:rPr>
          <w:t>304.55(4)</w:t>
        </w:r>
      </w:hyperlink>
      <w:r>
        <w:rPr>
          <w:rFonts w:ascii="Times New Roman" w:hAnsi="Times New Roman"/>
          <w:b w:val="false"/>
          <w:i/>
          <w:color w:val="000000"/>
          <w:sz w:val="22"/>
        </w:rPr>
        <w:t>“d”</w:t>
      </w:r>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304.55(7)</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Challenges to an action by the department of revenue related to tax credit transfers, the claiming of tax credits, tax credit revocation, or repayment or recovery of tax credits must be brought pursuant to </w:t>
      </w:r>
      <w:hyperlink r:id="rId494">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95">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and Iowa Code section </w:t>
      </w:r>
      <w:hyperlink r:id="rId496">
        <w:r>
          <w:rPr>
            <w:rStyle w:val="Hyperlink"/>
            <w:rFonts w:ascii="Times New Roman" w:hAnsi="Times New Roman"/>
            <w:b w:val="false"/>
            <w:i w:val="false"/>
            <w:color w:val="000000"/>
            <w:sz w:val="22"/>
          </w:rPr>
          <w:t>422.11D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2928C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701—304.56</w:t>
      </w:r>
      <w:r>
        <w:rPr>
          <w:rFonts w:ascii="Times New Roman" w:hAnsi="Times New Roman"/>
          <w:b/>
          <w:i w:val="false"/>
          <w:color w:val="000000"/>
          <w:sz w:val="22"/>
        </w:rPr>
        <w:t xml:space="preserve">(15,422) </w:t>
      </w:r>
      <w:r>
        <w:rPr>
          <w:rFonts w:ascii="Times New Roman" w:hAnsi="Times New Roman"/>
          <w:b/>
          <w:i w:val="false"/>
          <w:color w:val="000000"/>
          <w:sz w:val="22"/>
        </w:rPr>
        <w:t xml:space="preserve">Renewable chemical production tax credit program. </w:t>
      </w:r>
      <w:r>
        <w:rPr>
          <w:rFonts w:ascii="Times New Roman" w:hAnsi="Times New Roman"/>
          <w:b w:val="false"/>
          <w:i w:val="false"/>
          <w:color w:val="000000"/>
          <w:sz w:val="22"/>
        </w:rPr>
        <w:t xml:space="preserve">An eligible business that has received a renewable chemical production tax credit certificate from the economic development authority may claim a tax credit against individual income tax. The credit is equal to the product of five cents multiplied by the number of pounds of renewable chemicals produced in Iowa from biomass feedstock by the eligible business during a given production year, subject to the limitations described in Iowa Code sections </w:t>
      </w:r>
      <w:hyperlink r:id="rId497">
        <w:r>
          <w:rPr>
            <w:rStyle w:val="Hyperlink"/>
            <w:rFonts w:ascii="Times New Roman" w:hAnsi="Times New Roman"/>
            <w:b w:val="false"/>
            <w:i w:val="false"/>
            <w:color w:val="000000"/>
            <w:sz w:val="22"/>
          </w:rPr>
          <w:t>15.315 through 15.322</w:t>
        </w:r>
      </w:hyperlink>
      <w:r>
        <w:rPr>
          <w:rFonts w:ascii="Times New Roman" w:hAnsi="Times New Roman"/>
          <w:b w:val="false"/>
          <w:i w:val="false"/>
          <w:color w:val="000000"/>
          <w:sz w:val="22"/>
        </w:rPr>
        <w:t xml:space="preserve">, </w:t>
      </w:r>
      <w:hyperlink r:id="rId498">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 xml:space="preserve">, and this rule. The economic development authority’s rules on eligibility for the credit may be found in </w:t>
      </w:r>
      <w:hyperlink r:id="rId499">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304.56(1)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agreement for the credit. </w:t>
      </w:r>
      <w:r>
        <w:rPr>
          <w:rFonts w:ascii="Times New Roman" w:hAnsi="Times New Roman"/>
          <w:b w:val="false"/>
          <w:i w:val="false"/>
          <w:color w:val="000000"/>
          <w:sz w:val="22"/>
        </w:rPr>
        <w:t xml:space="preserve">To be eligible for the tax credit, the eligible business must apply to and enter into an agreement with the economic development authority. The economic development authority’s rules on the application and agreement process may be found in </w:t>
      </w:r>
      <w:hyperlink r:id="rId500">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304.56(2)</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amount of credit and certificate issuance. </w:t>
      </w:r>
      <w:r>
        <w:rPr>
          <w:rFonts w:ascii="Times New Roman" w:hAnsi="Times New Roman"/>
          <w:b w:val="false"/>
          <w:i w:val="false"/>
          <w:color w:val="000000"/>
          <w:sz w:val="22"/>
        </w:rPr>
        <w:t xml:space="preserve">Upon establishing that all requirements of the program and the agreement have been fulfilled and verifying the taxpayer’s eligibility for the tax credit, the economic development authority calculates the credit. Then the economic development authority issues the related tax credit certificate to the eligible business stating the amount of the renewable chemical production tax credit that the eligible business may claim. A tax credit certificate shall not be issued by the economic development authority prior to July 1, 2018. The economic development authority’s rules on credit certificate issuance may be found in </w:t>
      </w:r>
      <w:hyperlink r:id="rId501">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304.56(3)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generally. </w:t>
      </w:r>
      <w:r>
        <w:rPr>
          <w:rFonts w:ascii="Times New Roman" w:hAnsi="Times New Roman"/>
          <w:b w:val="false"/>
          <w:i w:val="false"/>
          <w:color w:val="000000"/>
          <w:sz w:val="22"/>
        </w:rPr>
        <w:t>To claim the credit, a taxpayer must include one or more tax credit certificates with the taxpayer’s tax return for the tax year during which the eligible business was issued the tax credit certificate or certificates. If the taxpayer claiming the credit has already filed a return for the tax year for which the credit certificate was issued, the taxpayer may claim the credit on an amended return. The taxpayer must file the amended return within the statute of limitations applicable to such amended return. No tax credit may be claimed under this program by a taxpayer prior to September 1,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of a pass-through entity. </w:t>
      </w:r>
      <w:r>
        <w:rPr>
          <w:rFonts w:ascii="Times New Roman" w:hAnsi="Times New Roman"/>
          <w:b w:val="false"/>
          <w:i w:val="false"/>
          <w:color w:val="000000"/>
          <w:sz w:val="22"/>
        </w:rPr>
        <w:t>To claim the credit of an eligible business that is a pass-through entity, an individual taxpayer must claim the credit on the tax return for the tax year during which the eligible business received the tax credit certificate. Such tax year may be either the tax year of the eligible business or of the individual.</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A partnership has a fiscal year of September 2017 through August 2018. The partnership receives a renewable chemical production tax credit certificate under this program in July 2018, which is during the partnership’s 2017 tax year. A partner in the partnership files individual returns on a calendar year basis, which means that the credit was issued in the partner’s 2018 tax year. That partner may file an amended 2017 tax return to claim the credit based on the partnership’s tax year, or that partner may claim the credit on the partner’s 2018 tax return based on the partner’s own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The tax credit certificate shall include the taxpayer’s name, address, tax identification number, the amount of the credit, the name of the eligible business, and any other information required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Allocation to the individual owners of the entity or beneficiaries of an estate or trust. </w:t>
      </w:r>
      <w:r>
        <w:rPr>
          <w:rFonts w:ascii="Times New Roman" w:hAnsi="Times New Roman"/>
          <w:b w:val="false"/>
          <w:i w:val="false"/>
          <w:color w:val="000000"/>
          <w:sz w:val="22"/>
        </w:rPr>
        <w:t xml:space="preserve">An individual may claim the credit of a partnership, limited liability company, S corporation, cooperative organized under Iowa Code chapter </w:t>
      </w:r>
      <w:hyperlink r:id="rId502">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tax purposes, estate, or trust electing to have income taxed directly to the individual. The amount claimed by the individual shall be based on the pro rata share of the individual’s earnings from the partnership, limited liability company, S corporation, cooperative,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Any credit in excess of the tax liability is refundable. In lieu of claiming a refund, the taxpayer may elect to have the overpayment shown on the taxpayer’s final, completed return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Tax credit certificates shall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Rescission and recapture. </w:t>
      </w:r>
      <w:r>
        <w:rPr>
          <w:rFonts w:ascii="Times New Roman" w:hAnsi="Times New Roman"/>
          <w:b w:val="false"/>
          <w:i w:val="false"/>
          <w:color w:val="000000"/>
          <w:sz w:val="22"/>
        </w:rPr>
        <w:t xml:space="preserve">The tax credit certificate, unless rescinded by the economic development authority, shall be accepted by the department of revenue, subject to any conditions or restrictions placed upon the face of the tax credit certificate by the economic development authority and subject to the limitations of the program. Should the economic development authority reduce, terminate, or rescind any tax credits issued under the program, the eligible business may be subject to the repayment or recapture of any credits already claimed. The economic development authority’s rules related to the program may be found in </w:t>
      </w:r>
      <w:hyperlink r:id="rId503">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 xml:space="preserve">. The repayment of tax credits or recapture by the department of revenue shall be accomplished in the same manner as provided in Iowa Code section </w:t>
      </w:r>
      <w:hyperlink r:id="rId504">
        <w:r>
          <w:rPr>
            <w:rStyle w:val="Hyperlink"/>
            <w:rFonts w:ascii="Times New Roman" w:hAnsi="Times New Roman"/>
            <w:b w:val="false"/>
            <w:i w:val="false"/>
            <w:color w:val="000000"/>
            <w:sz w:val="22"/>
          </w:rPr>
          <w:t>15.330(2)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05">
        <w:r>
          <w:rPr>
            <w:rStyle w:val="Hyperlink"/>
            <w:rFonts w:ascii="Times New Roman" w:hAnsi="Times New Roman"/>
            <w:b w:val="false"/>
            <w:i w:val="false"/>
            <w:color w:val="000000"/>
            <w:sz w:val="22"/>
          </w:rPr>
          <w:t>422.10B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3008C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701—304.57</w:t>
      </w:r>
      <w:r>
        <w:rPr>
          <w:rFonts w:ascii="Times New Roman" w:hAnsi="Times New Roman"/>
          <w:b/>
          <w:i w:val="false"/>
          <w:color w:val="000000"/>
          <w:sz w:val="22"/>
        </w:rPr>
        <w:t xml:space="preserve">(15E,422) </w:t>
      </w:r>
      <w:r>
        <w:rPr>
          <w:rFonts w:ascii="Times New Roman" w:hAnsi="Times New Roman"/>
          <w:b/>
          <w:i w:val="false"/>
          <w:color w:val="000000"/>
          <w:sz w:val="22"/>
        </w:rPr>
        <w:t xml:space="preserve">Hoover presidential library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304.57(1)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who makes an unconditional charitable donation to the Hoover presidential foundation for the Hoover presidential library and museum renovation project fund may qualify for a Hoover presidential library tax credit, subject to the availability of the credit and approval by the economic development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credit is equal to 25 percent of a donor’s unconditional charitable donation that meets both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donation is made on or after July 1,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donation is made during a donor’s tax year beginning on or after January 1, 2021, but before January 1, 2024.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the donation for which the tax credit is claimed is not deductible in determining taxable income for Iowa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administrative rules for the economic development authority’s administration of this program are found in </w:t>
      </w:r>
      <w:hyperlink r:id="rId506">
        <w:r>
          <w:rPr>
            <w:rStyle w:val="Hyperlink"/>
            <w:rFonts w:ascii="Times New Roman" w:hAnsi="Times New Roman"/>
            <w:b w:val="false"/>
            <w:i w:val="false"/>
            <w:color w:val="000000"/>
            <w:sz w:val="22"/>
          </w:rPr>
          <w:t>261—Chapter 43</w:t>
        </w:r>
      </w:hyperlink>
      <w:r>
        <w:rPr>
          <w:rFonts w:ascii="Times New Roman" w:hAnsi="Times New Roman"/>
          <w:b w:val="false"/>
          <w:i w:val="false"/>
          <w:color w:val="000000"/>
          <w:sz w:val="22"/>
        </w:rPr>
        <w:t xml:space="preserve"> and describe the tax credit program cap limitations including reserved amounts, donor cap limitations, the application process and waitlist, and other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304.57(2)</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Issuance of tax credit certificates. </w:t>
      </w:r>
      <w:r>
        <w:rPr>
          <w:rFonts w:ascii="Times New Roman" w:hAnsi="Times New Roman"/>
          <w:b w:val="false"/>
          <w:i w:val="false"/>
          <w:color w:val="000000"/>
          <w:sz w:val="22"/>
        </w:rPr>
        <w:t>The economic development authority shall issue a tax credit certificate to each taxpayer who makes a qualifying donation and whose tax credit application has been approved. The tax credit certificate, designed by the department, will contain the name, address, and tax identification number of the taxpayer; the amount and date the contribution was made; the amount of the credit; the tax year to which the credit may be applied; the tax credit certificate number; and any other information required by the department. The tax credit certificate must be included with the tax return for the tax year during which the tax credit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Year of claim. </w:t>
      </w:r>
      <w:r>
        <w:rPr>
          <w:rFonts w:ascii="Times New Roman" w:hAnsi="Times New Roman"/>
          <w:b w:val="false"/>
          <w:i w:val="false"/>
          <w:color w:val="000000"/>
          <w:sz w:val="22"/>
        </w:rPr>
        <w:t xml:space="preserve">The tax credit shall be claimed for the tax year during which the donation is made. However, for a donor who has an application placed on the waitlist described in </w:t>
      </w:r>
      <w:hyperlink r:id="rId507">
        <w:r>
          <w:rPr>
            <w:rStyle w:val="Hyperlink"/>
            <w:rFonts w:ascii="Times New Roman" w:hAnsi="Times New Roman"/>
            <w:b w:val="false"/>
            <w:i w:val="false"/>
            <w:color w:val="000000"/>
            <w:sz w:val="22"/>
          </w:rPr>
          <w:t>261—subrule 43.5(3)</w:t>
        </w:r>
      </w:hyperlink>
      <w:r>
        <w:rPr>
          <w:rFonts w:ascii="Times New Roman" w:hAnsi="Times New Roman"/>
          <w:b w:val="false"/>
          <w:i w:val="false"/>
          <w:color w:val="000000"/>
          <w:sz w:val="22"/>
        </w:rPr>
        <w:t xml:space="preserve"> and later has the waitlisted application approved for a reserved tax credit amount, the waitlisted donor shall claim the tax credit for the tax year during which the tax credit certificate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or to beneficiaries of an estate or trust. </w:t>
      </w:r>
      <w:r>
        <w:rPr>
          <w:rFonts w:ascii="Times New Roman" w:hAnsi="Times New Roman"/>
          <w:b w:val="false"/>
          <w:i w:val="false"/>
          <w:color w:val="000000"/>
          <w:sz w:val="22"/>
        </w:rPr>
        <w:t>If the taxpayer claiming the Hoover presidential library tax credit is a partnership, limited liability company, S corporation, estate, or trust electing to have income taxed directly to the individual, an individual may claim the credit. The amount claimed by the individual shall be based upon the pro rata share of the individual’s earnings from the partnership, limited liability company, S corporation,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Any tax credit in excess of the donor’s tax liability for the tax year is not refundable but may be credited to the tax liability for the following five years or until depleted, whichever occurs first. A tax credit shall not be carried back to a tax year prior to the tax year for which the donor claims the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The credit may not be transferred to any other person.</w:t>
      </w:r>
    </w:p>
    <w:p>
      <w:pPr>
        <w:spacing w:before="0" w:after="0"/>
        <w:ind w:left="120"/>
        <w:jc w:val="both"/>
      </w:pPr>
      <w:r>
        <w:rPr>
          <w:rFonts w:ascii="Times New Roman" w:hAnsi="Times New Roman"/>
          <w:b w:val="false"/>
          <w:i w:val="false"/>
          <w:color w:val="000000"/>
          <w:sz w:val="22"/>
        </w:rPr>
        <w:t xml:space="preserve">This rule is intended to implement Iowa Code sections 15E.364 and </w:t>
      </w:r>
      <w:hyperlink r:id="rId508">
        <w:r>
          <w:rPr>
            <w:rStyle w:val="Hyperlink"/>
            <w:rFonts w:ascii="Times New Roman" w:hAnsi="Times New Roman"/>
            <w:b w:val="false"/>
            <w:i w:val="false"/>
            <w:color w:val="000000"/>
            <w:sz w:val="22"/>
          </w:rPr>
          <w:t>422.11T</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2021 Iowa Acts, House File 588</w:t>
      </w:r>
      <w:r>
        <w:rPr>
          <w:rFonts w:ascii="Times New Roman" w:hAnsi="Times New Roman"/>
          <w:b w:val="false"/>
          <w:i w:val="false"/>
          <w:color w:val="000000"/>
          <w:sz w:val="22"/>
        </w:rPr>
        <w:t>, sections 1 and 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6267C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701—304.58</w:t>
      </w:r>
      <w:r>
        <w:rPr>
          <w:rFonts w:ascii="Times New Roman" w:hAnsi="Times New Roman"/>
          <w:b/>
          <w:i w:val="false"/>
          <w:color w:val="000000"/>
          <w:sz w:val="22"/>
        </w:rPr>
        <w:t xml:space="preserve">(237A) </w:t>
      </w:r>
      <w:r>
        <w:rPr>
          <w:rFonts w:ascii="Times New Roman" w:hAnsi="Times New Roman"/>
          <w:b/>
          <w:i w:val="false"/>
          <w:color w:val="000000"/>
          <w:sz w:val="22"/>
        </w:rPr>
        <w:t xml:space="preserve">Employer child care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304.58(1)</w:t>
      </w:r>
      <w:r>
        <w:rPr>
          <w:rFonts w:ascii="Times New Roman" w:hAnsi="Times New Roman"/>
          <w:b w:val="false"/>
          <w:i w:val="false"/>
          <w:color w:val="000000"/>
          <w:sz w:val="22"/>
        </w:rPr>
        <w:t> </w:t>
      </w:r>
      <w:r>
        <w:rPr>
          <w:rFonts w:ascii="Times New Roman" w:hAnsi="Times New Roman"/>
          <w:b w:val="false"/>
          <w:i/>
          <w:color w:val="000000"/>
          <w:sz w:val="22"/>
        </w:rPr>
        <w:t xml:space="preserve">In general—eligibility. </w:t>
      </w:r>
      <w:r>
        <w:rPr>
          <w:rFonts w:ascii="Times New Roman" w:hAnsi="Times New Roman"/>
          <w:b w:val="false"/>
          <w:i w:val="false"/>
          <w:color w:val="000000"/>
          <w:sz w:val="22"/>
        </w:rPr>
        <w:t xml:space="preserve">For tax years beginning on or after January 1, 2023, a taxpayer who has received an employer child care tax credit certificate from the economic development authority and who properly claims the federal employer-provided child care tax credit provided in Section 45F of the Internal Revenue Code may qualify for an employer child care tax credit, subject to the limitations described in Iowa Code section </w:t>
      </w:r>
      <w:hyperlink r:id="rId509">
        <w:r>
          <w:rPr>
            <w:rStyle w:val="Hyperlink"/>
            <w:rFonts w:ascii="Times New Roman" w:hAnsi="Times New Roman"/>
            <w:b w:val="false"/>
            <w:i w:val="false"/>
            <w:color w:val="000000"/>
            <w:sz w:val="22"/>
          </w:rPr>
          <w:t>237A.31</w:t>
        </w:r>
      </w:hyperlink>
      <w:r>
        <w:rPr>
          <w:rFonts w:ascii="Times New Roman" w:hAnsi="Times New Roman"/>
          <w:b w:val="false"/>
          <w:i w:val="false"/>
          <w:color w:val="000000"/>
          <w:sz w:val="22"/>
        </w:rPr>
        <w:t xml:space="preserve">, </w:t>
      </w:r>
      <w:hyperlink r:id="rId510">
        <w:r>
          <w:rPr>
            <w:rStyle w:val="Hyperlink"/>
            <w:rFonts w:ascii="Times New Roman" w:hAnsi="Times New Roman"/>
            <w:b w:val="false"/>
            <w:i w:val="false"/>
            <w:color w:val="000000"/>
            <w:sz w:val="22"/>
          </w:rPr>
          <w:t>261—Chapter 57</w:t>
        </w:r>
      </w:hyperlink>
      <w:r>
        <w:rPr>
          <w:rFonts w:ascii="Times New Roman" w:hAnsi="Times New Roman"/>
          <w:b w:val="false"/>
          <w:i w:val="false"/>
          <w:color w:val="000000"/>
          <w:sz w:val="22"/>
        </w:rPr>
        <w:t xml:space="preserve">, and this rule. The economic development authority’s rules on eligibility for the tax credit may be found in </w:t>
      </w:r>
      <w:hyperlink r:id="rId511">
        <w:r>
          <w:rPr>
            <w:rStyle w:val="Hyperlink"/>
            <w:rFonts w:ascii="Times New Roman" w:hAnsi="Times New Roman"/>
            <w:b w:val="false"/>
            <w:i w:val="false"/>
            <w:color w:val="000000"/>
            <w:sz w:val="22"/>
          </w:rPr>
          <w:t>261—Chapter 57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304.58(2)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Unless otherwise indicated in this rule or required by the context, all words and phrases used in this rule that are defined under Section 45F of the Internal Revenue Code shall have the same meaning as provided to them under that section. In addition, 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“Internal Revenue Code” </w:t>
      </w:r>
      <w:r>
        <w:rPr>
          <w:rFonts w:ascii="Times New Roman" w:hAnsi="Times New Roman"/>
          <w:b w:val="false"/>
          <w:i w:val="false"/>
          <w:color w:val="000000"/>
          <w:sz w:val="22"/>
        </w:rPr>
        <w:t>means the Internal Revenue Code of 1986 as amended and in effect on July 1,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“Iowa-source qualified child care expenditures” </w:t>
      </w:r>
      <w:r>
        <w:rPr>
          <w:rFonts w:ascii="Times New Roman" w:hAnsi="Times New Roman"/>
          <w:b w:val="false"/>
          <w:i w:val="false"/>
          <w:color w:val="000000"/>
          <w:sz w:val="22"/>
        </w:rPr>
        <w:t>means the qualified child care expenditures paid or incurred with respect to qualified child care facilities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“Iowa-source qualified child care resource and referral expenditures” </w:t>
      </w:r>
      <w:r>
        <w:rPr>
          <w:rFonts w:ascii="Times New Roman" w:hAnsi="Times New Roman"/>
          <w:b w:val="false"/>
          <w:i w:val="false"/>
          <w:color w:val="000000"/>
          <w:sz w:val="22"/>
        </w:rPr>
        <w:t xml:space="preserve">means the qualified child resource and referral expenditures paid or incurred with respect to Iowa employees.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304.58(3)</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Components of tax credit calculation. </w:t>
      </w:r>
      <w:r>
        <w:rPr>
          <w:rFonts w:ascii="Times New Roman" w:hAnsi="Times New Roman"/>
          <w:b w:val="false"/>
          <w:i w:val="false"/>
          <w:color w:val="000000"/>
          <w:sz w:val="22"/>
        </w:rPr>
        <w:t xml:space="preserve">To calculate the tax credit, the taxpayer must determine the eligible federal credit ratio, the federal child care expenditure credit for Iowa purposes, the federal child care resource and referral expenditure credit for Iowa purposes, the Iowa share of qualified child care expenditures, and the Iowa share of qualified child care resource and referral expenditures.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Eligible federal credit ratio. </w:t>
      </w:r>
      <w:r>
        <w:rPr>
          <w:rFonts w:ascii="Times New Roman" w:hAnsi="Times New Roman"/>
          <w:b w:val="false"/>
          <w:i w:val="false"/>
          <w:color w:val="000000"/>
          <w:sz w:val="22"/>
        </w:rPr>
        <w:t xml:space="preserve">The eligible federal credit ratio shall be calculated as follows: The sum of 25 percent of the qualified child care expenditures and 10 percent of the qualified child care resource and referral expenditures, less $150,000, shall be divided by the sum of 25 percent of the qualified child care expenditures and 10 percent of the qualified child care resource and referral expenditures. This quotient, expressed as a percentage rounded to the nearest hundredth percent, shall be subtracted from 100 percent. The resulting percentage is the eligible federal credit ratio.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Federal qualified child care expenditure credit for Iowa purposes. </w:t>
      </w:r>
      <w:r>
        <w:rPr>
          <w:rFonts w:ascii="Times New Roman" w:hAnsi="Times New Roman"/>
          <w:b w:val="false"/>
          <w:i w:val="false"/>
          <w:color w:val="000000"/>
          <w:sz w:val="22"/>
        </w:rPr>
        <w:t xml:space="preserve">The federal qualified child care expenditure credit for Iowa purposes shall be 25 percent of the product of the qualified child care expenditures multiplied by the eligible federal credit ratio.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Federal qualified child care resource and referral credit for Iowa purposes. </w:t>
      </w:r>
      <w:r>
        <w:rPr>
          <w:rFonts w:ascii="Times New Roman" w:hAnsi="Times New Roman"/>
          <w:b w:val="false"/>
          <w:i w:val="false"/>
          <w:color w:val="000000"/>
          <w:sz w:val="22"/>
        </w:rPr>
        <w:t xml:space="preserve">The federal child care resource and referral expenditure credit for Iowa purposes shall be 10 percent of the product of the qualified child care resource and referral expenditures multiplied by the eligible federal credit ratio.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Iowa share of qualified child care expenditures. </w:t>
      </w:r>
      <w:r>
        <w:rPr>
          <w:rFonts w:ascii="Times New Roman" w:hAnsi="Times New Roman"/>
          <w:b w:val="false"/>
          <w:i w:val="false"/>
          <w:color w:val="000000"/>
          <w:sz w:val="22"/>
        </w:rPr>
        <w:t xml:space="preserve">The Iowa share of qualified child care expenditures is a ratio equal to the Iowa-source qualified child care expenditures divided by the qualified child care expenditures, rounded to the nearest hundredth percent.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Iowa share of qualified child care resource and referral expenditures. </w:t>
      </w:r>
      <w:r>
        <w:rPr>
          <w:rFonts w:ascii="Times New Roman" w:hAnsi="Times New Roman"/>
          <w:b w:val="false"/>
          <w:i w:val="false"/>
          <w:color w:val="000000"/>
          <w:sz w:val="22"/>
        </w:rPr>
        <w:t xml:space="preserve">The Iowa share of qualified child care resource and referral expenditures is a ratio equal to the Iowa-source qualified child resource and referral expenditures divided by the qualified child care resource and referral expenditures, rounded to the nearest hundredth percent.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Amount of tax credit. </w:t>
      </w:r>
      <w:r>
        <w:rPr>
          <w:rFonts w:ascii="Times New Roman" w:hAnsi="Times New Roman"/>
          <w:b w:val="false"/>
          <w:i w:val="false"/>
          <w:color w:val="000000"/>
          <w:sz w:val="22"/>
        </w:rPr>
        <w:t>The Iowa tax credit amount shall be the lesser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awarded by the economic development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amount equal to the sum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Iowa share of qualified child care expenditures multiplied by the federal qualified child care expenditure credit for Iowa purposes, plus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share of qualified child care resource and referral expenditures multiplied by the federal qualified child care resource and referral credit for Iowa purposes.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304.58(4)</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Certificate issuance. </w:t>
      </w:r>
      <w:r>
        <w:rPr>
          <w:rFonts w:ascii="Times New Roman" w:hAnsi="Times New Roman"/>
          <w:b w:val="false"/>
          <w:i w:val="false"/>
          <w:color w:val="000000"/>
          <w:sz w:val="22"/>
        </w:rPr>
        <w:t xml:space="preserve">The taxpayer must receive a tax credit certificate from the economic development authority in order to be eligible to claim the Iowa employer child care tax credit. The tax credit certificate shall include the taxpayer’s name, the taxpayer’s address, the taxpayer’s tax identification number, the amount of the Iowa employer child care tax credit award, the tax year for which the tax credit may be claimed, and any other information required by the department. The tax credit certificate must be included with the Iowa tax return for the tax year in which the tax credit is claimed. The amount of the tax credit certificate represents the maximum amount of tax credit the taxpayer may claim.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Filing a claim with the department. </w:t>
      </w:r>
      <w:r>
        <w:rPr>
          <w:rFonts w:ascii="Times New Roman" w:hAnsi="Times New Roman"/>
          <w:b w:val="false"/>
          <w:i w:val="false"/>
          <w:color w:val="000000"/>
          <w:sz w:val="22"/>
        </w:rPr>
        <w:t xml:space="preserve">The tax credit will be calculated and claimed on Form IA 8882. The taxpayer shall submit the form with the taxpayer’s Iowa tax return for the tax year in which the tax credit is claimed. The tax credit shall be claimed for the same tax year in which the federal credit was claimed.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or to beneficiaries of an estate or trust. </w:t>
      </w:r>
      <w:r>
        <w:rPr>
          <w:rFonts w:ascii="Times New Roman" w:hAnsi="Times New Roman"/>
          <w:b w:val="false"/>
          <w:i w:val="false"/>
          <w:color w:val="000000"/>
          <w:sz w:val="22"/>
        </w:rPr>
        <w:t>If the taxpayer claiming the employer child care tax credit is a partnership, limited liability company, S corporation, estate, or trust electing to have income taxed directly to the individual, an individual may claim the credit. The amount claimed by the individual shall be based upon the pro rata share of the individual’s earnings from the partnership, limited liability company, S corporation,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Any tax credit in excess of the taxpayer’s tax liability for the tax year is not refundable but may be credited to the tax liability for the following five years or until depleted, whichever occurs first. A tax credit shall not be carried back to a tax year prior to the tax year for which the taxpayer claims the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The credit shall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304.58(5)</w:t>
      </w:r>
      <w:r>
        <w:rPr>
          <w:rFonts w:ascii="Times New Roman" w:hAnsi="Times New Roman"/>
          <w:b w:val="false"/>
          <w:i w:val="false"/>
          <w:color w:val="000000"/>
          <w:sz w:val="22"/>
        </w:rPr>
        <w:t> </w:t>
      </w:r>
      <w:r>
        <w:rPr>
          <w:rFonts w:ascii="Times New Roman" w:hAnsi="Times New Roman"/>
          <w:b w:val="false"/>
          <w:i/>
          <w:color w:val="000000"/>
          <w:sz w:val="22"/>
        </w:rPr>
        <w:t xml:space="preserve">Recalculation of federal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Federal audit. </w:t>
      </w:r>
      <w:r>
        <w:rPr>
          <w:rFonts w:ascii="Times New Roman" w:hAnsi="Times New Roman"/>
          <w:b w:val="false"/>
          <w:i w:val="false"/>
          <w:color w:val="000000"/>
          <w:sz w:val="22"/>
        </w:rPr>
        <w:t xml:space="preserve">If the Internal Revenue Service reviews the taxpayer’s return and disallows, in whole or in part, the federal employer-provided child care tax credit under Section 45F of the Internal Revenue Code, the taxpayer must file amended Iowa tax returns, including an amended Form IA 8882, to recalculate the Iowa credit and add back the disallowed Iowa credit to the extent not previously disallowed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Federal recapture event. </w:t>
      </w:r>
      <w:r>
        <w:rPr>
          <w:rFonts w:ascii="Times New Roman" w:hAnsi="Times New Roman"/>
          <w:b w:val="false"/>
          <w:i w:val="false"/>
          <w:color w:val="000000"/>
          <w:sz w:val="22"/>
        </w:rPr>
        <w:t xml:space="preserve">When the taxpayer’s federal employer-provided child care tax credit under Section 45F of the Internal Revenue Code is subject to a recapture event described in Section 45F(d) of the Internal Revenue Code, the Iowa credit must be recalculated by excluding from the Iowa credit calculation the percentage of qualified child care expenditures that is equal to the taxpayer’s applicable recapture percentage in Section 45F(d)(2)(A) of the Internal Revenue Code. The taxpayer must file amended Iowa tax returns, including an amended Form IA 8882, to recalculate the Iowa credit and add back any ineligible Iowa credit to the extent not previously disallowed by the Internal Revenue Service or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Authority of the department. </w:t>
      </w:r>
      <w:r>
        <w:rPr>
          <w:rFonts w:ascii="Times New Roman" w:hAnsi="Times New Roman"/>
          <w:b w:val="false"/>
          <w:i w:val="false"/>
          <w:color w:val="000000"/>
          <w:sz w:val="22"/>
        </w:rPr>
        <w:t xml:space="preserve">Nothing in this rule shall limit the department’s authority to review, examine, audit, or otherwise challenge an Iowa tax credit claim under Iowa Code section </w:t>
      </w:r>
      <w:hyperlink r:id="rId512">
        <w:r>
          <w:rPr>
            <w:rStyle w:val="Hyperlink"/>
            <w:rFonts w:ascii="Times New Roman" w:hAnsi="Times New Roman"/>
            <w:b w:val="false"/>
            <w:i w:val="false"/>
            <w:color w:val="000000"/>
            <w:sz w:val="22"/>
          </w:rPr>
          <w:t>237A.31</w:t>
        </w:r>
      </w:hyperlink>
      <w:r>
        <w:rPr>
          <w:rFonts w:ascii="Times New Roman" w:hAnsi="Times New Roman"/>
          <w:b w:val="false"/>
          <w:i w:val="false"/>
          <w:color w:val="000000"/>
          <w:sz w:val="22"/>
        </w:rPr>
        <w:t>, regardless of inaction, a settlement, or a determination by the Internal Revenue Service.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13">
        <w:r>
          <w:rPr>
            <w:rStyle w:val="Hyperlink"/>
            <w:rFonts w:ascii="Times New Roman" w:hAnsi="Times New Roman"/>
            <w:b w:val="false"/>
            <w:i w:val="false"/>
            <w:color w:val="000000"/>
            <w:sz w:val="22"/>
          </w:rPr>
          <w:t>237A.31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8201C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12/12/74]</w:t>
      </w:r>
    </w:p>
    <w:p>
      <w:pPr>
        <w:spacing w:before="0" w:after="0"/>
        <w:ind w:left="120"/>
        <w:jc w:val="center"/>
      </w:pPr>
      <w:r>
        <w:rPr>
          <w:rFonts w:ascii="Times New Roman" w:hAnsi="Times New Roman"/>
          <w:b w:val="false"/>
          <w:i w:val="false"/>
          <w:color w:val="000000"/>
          <w:sz w:val="21"/>
        </w:rPr>
        <w:t>[Filed 12/10/76, Notice 9/22/76—published 12/29/76, effective 2/2/77]</w:t>
      </w:r>
    </w:p>
    <w:p>
      <w:pPr>
        <w:spacing w:before="0" w:after="0"/>
        <w:ind w:left="120"/>
        <w:jc w:val="center"/>
      </w:pPr>
      <w:r>
        <w:rPr>
          <w:rFonts w:ascii="Times New Roman" w:hAnsi="Times New Roman"/>
          <w:b w:val="false"/>
          <w:i w:val="false"/>
          <w:color w:val="000000"/>
          <w:sz w:val="21"/>
        </w:rPr>
        <w:t>[Filed 10/28/77, Notice 9/21/77—published 11/16/77, effective 12/21/77]</w:t>
      </w:r>
    </w:p>
    <w:p>
      <w:pPr>
        <w:spacing w:before="0" w:after="0"/>
        <w:ind w:left="120"/>
        <w:jc w:val="center"/>
      </w:pPr>
      <w:r>
        <w:rPr>
          <w:rFonts w:ascii="Times New Roman" w:hAnsi="Times New Roman"/>
          <w:b w:val="false"/>
          <w:i w:val="false"/>
          <w:color w:val="000000"/>
          <w:sz w:val="21"/>
        </w:rPr>
        <w:t>[Filed 12/7/79, Notice 10/31/79—published 12/26/79, effective 1/30/80]</w:t>
      </w:r>
    </w:p>
    <w:p>
      <w:pPr>
        <w:spacing w:before="0" w:after="0"/>
        <w:ind w:left="120"/>
        <w:jc w:val="center"/>
      </w:pPr>
      <w:r>
        <w:rPr>
          <w:rFonts w:ascii="Times New Roman" w:hAnsi="Times New Roman"/>
          <w:b w:val="false"/>
          <w:i w:val="false"/>
          <w:color w:val="000000"/>
          <w:sz w:val="21"/>
        </w:rPr>
        <w:t>[Filed emergency 7/17/80—published 8/6/80, effective 7/17/80]</w:t>
      </w:r>
    </w:p>
    <w:p>
      <w:pPr>
        <w:spacing w:before="0" w:after="0"/>
        <w:ind w:left="120"/>
        <w:jc w:val="center"/>
      </w:pPr>
      <w:r>
        <w:rPr>
          <w:rFonts w:ascii="Times New Roman" w:hAnsi="Times New Roman"/>
          <w:b w:val="false"/>
          <w:i w:val="false"/>
          <w:color w:val="000000"/>
          <w:sz w:val="21"/>
        </w:rPr>
        <w:t>[Filed 12/3/82, Notice 10/27/82—published 12/22/82, effective 1/26/83]</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5/31/85, Notice 4/24/85—published 6/19/85, effective 7/24/85]</w:t>
      </w:r>
    </w:p>
    <w:p>
      <w:pPr>
        <w:spacing w:before="0" w:after="0"/>
        <w:ind w:left="120"/>
        <w:jc w:val="center"/>
      </w:pPr>
      <w:r>
        <w:rPr>
          <w:rFonts w:ascii="Times New Roman" w:hAnsi="Times New Roman"/>
          <w:b w:val="false"/>
          <w:i w:val="false"/>
          <w:color w:val="000000"/>
          <w:sz w:val="21"/>
        </w:rPr>
        <w:t>[Filed 8/23/85, Notice 7/17/85—published 9/11/85, effective 10/16/85]</w:t>
      </w:r>
    </w:p>
    <w:p>
      <w:pPr>
        <w:spacing w:before="0" w:after="0"/>
        <w:ind w:left="120"/>
        <w:jc w:val="center"/>
      </w:pPr>
      <w:r>
        <w:rPr>
          <w:rFonts w:ascii="Times New Roman" w:hAnsi="Times New Roman"/>
          <w:b w:val="false"/>
          <w:i w:val="false"/>
          <w:color w:val="000000"/>
          <w:sz w:val="21"/>
        </w:rPr>
        <w:t>[Filed 9/6/85, Notice 7/31/85—published 9/25/85, effective 10/30/85]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1/24/86, Notice 12/18/85—published 2/12/86, effective 3/19/86]</w:t>
      </w:r>
    </w:p>
    <w:p>
      <w:pPr>
        <w:spacing w:before="0" w:after="0"/>
        <w:ind w:left="120"/>
        <w:jc w:val="center"/>
      </w:pPr>
      <w:r>
        <w:rPr>
          <w:rFonts w:ascii="Times New Roman" w:hAnsi="Times New Roman"/>
          <w:b w:val="false"/>
          <w:i w:val="false"/>
          <w:color w:val="000000"/>
          <w:sz w:val="21"/>
        </w:rPr>
        <w:t>[Filed 6/27/86, Notice 5/7/86—published 7/16/86, effective 8/20/86]</w:t>
      </w:r>
    </w:p>
    <w:p>
      <w:pPr>
        <w:spacing w:before="0" w:after="0"/>
        <w:ind w:left="120"/>
        <w:jc w:val="center"/>
      </w:pPr>
      <w:r>
        <w:rPr>
          <w:rFonts w:ascii="Times New Roman" w:hAnsi="Times New Roman"/>
          <w:b w:val="false"/>
          <w:i w:val="false"/>
          <w:color w:val="000000"/>
          <w:sz w:val="21"/>
        </w:rPr>
        <w:t>[Filed 8/22/86, Notice 7/16/86—published 9/10/86, effective 10/15/86]</w:t>
      </w:r>
    </w:p>
    <w:p>
      <w:pPr>
        <w:spacing w:before="0" w:after="0"/>
        <w:ind w:left="120"/>
        <w:jc w:val="center"/>
      </w:pPr>
      <w:r>
        <w:rPr>
          <w:rFonts w:ascii="Times New Roman" w:hAnsi="Times New Roman"/>
          <w:b w:val="false"/>
          <w:i w:val="false"/>
          <w:color w:val="000000"/>
          <w:sz w:val="21"/>
        </w:rPr>
        <w:t>[Filed 10/3/86, Notice 8/27/86—published 10/22/86, effective 11/26/86]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emergency 12/23/87—published 1/13/88, effective 12/23/87]</w:t>
      </w:r>
    </w:p>
    <w:p>
      <w:pPr>
        <w:spacing w:before="0" w:after="0"/>
        <w:ind w:left="120"/>
        <w:jc w:val="center"/>
      </w:pPr>
      <w:r>
        <w:rPr>
          <w:rFonts w:ascii="Times New Roman" w:hAnsi="Times New Roman"/>
          <w:b w:val="false"/>
          <w:i w:val="false"/>
          <w:color w:val="000000"/>
          <w:sz w:val="21"/>
        </w:rPr>
        <w:t>[Filed 12/23/87, Notice 11/18/87—published 1/13/88, effective 2/17/88]</w:t>
      </w:r>
    </w:p>
    <w:p>
      <w:pPr>
        <w:spacing w:before="0" w:after="0"/>
        <w:ind w:left="120"/>
        <w:jc w:val="center"/>
      </w:pPr>
      <w:r>
        <w:rPr>
          <w:rFonts w:ascii="Times New Roman" w:hAnsi="Times New Roman"/>
          <w:b w:val="false"/>
          <w:i w:val="false"/>
          <w:color w:val="000000"/>
          <w:sz w:val="21"/>
        </w:rPr>
        <w:t>[Filed 2/19/88, Notice 1/13/88—published 3/9/88, effective 4/13/88]</w:t>
      </w:r>
    </w:p>
    <w:p>
      <w:pPr>
        <w:spacing w:before="0" w:after="0"/>
        <w:ind w:left="120"/>
        <w:jc w:val="center"/>
      </w:pPr>
      <w:r>
        <w:rPr>
          <w:rFonts w:ascii="Times New Roman" w:hAnsi="Times New Roman"/>
          <w:b w:val="false"/>
          <w:i w:val="false"/>
          <w:color w:val="000000"/>
          <w:sz w:val="21"/>
        </w:rPr>
        <w:t>[Filed 8/19/88, Notice 7/13/88—published 9/7/88, effective 10/12/88]</w:t>
      </w:r>
    </w:p>
    <w:p>
      <w:pPr>
        <w:spacing w:before="0" w:after="0"/>
        <w:ind w:left="120"/>
        <w:jc w:val="center"/>
      </w:pPr>
      <w:r>
        <w:rPr>
          <w:rFonts w:ascii="Times New Roman" w:hAnsi="Times New Roman"/>
          <w:b w:val="false"/>
          <w:i w:val="false"/>
          <w:color w:val="000000"/>
          <w:sz w:val="21"/>
        </w:rPr>
        <w:t>[Filed 1/19/90, Notice 12/13/89—published 2/7/90, effective 3/14/90]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8/30/90, Notice 7/25/90—published 9/19/90, effective 10/24/90]</w:t>
      </w:r>
    </w:p>
    <w:p>
      <w:pPr>
        <w:spacing w:before="0" w:after="0"/>
        <w:ind w:left="120"/>
        <w:jc w:val="center"/>
      </w:pPr>
      <w:r>
        <w:rPr>
          <w:rFonts w:ascii="Times New Roman" w:hAnsi="Times New Roman"/>
          <w:b w:val="false"/>
          <w:i w:val="false"/>
          <w:color w:val="000000"/>
          <w:sz w:val="21"/>
        </w:rPr>
        <w:t>[Filed 10/26/90, Notice 9/19/90—published 11/14/90, effective 12/19/90]</w:t>
      </w:r>
    </w:p>
    <w:p>
      <w:pPr>
        <w:spacing w:before="0" w:after="0"/>
        <w:ind w:left="120"/>
        <w:jc w:val="center"/>
      </w:pPr>
      <w:r>
        <w:rPr>
          <w:rFonts w:ascii="Times New Roman" w:hAnsi="Times New Roman"/>
          <w:b w:val="false"/>
          <w:i w:val="false"/>
          <w:color w:val="000000"/>
          <w:sz w:val="21"/>
        </w:rPr>
        <w:t>[Filed 11/9/90, Notice 10/3/90—published 11/28/90, effective 1/2/91]</w:t>
      </w:r>
    </w:p>
    <w:p>
      <w:pPr>
        <w:spacing w:before="0" w:after="0"/>
        <w:ind w:left="120"/>
        <w:jc w:val="center"/>
      </w:pPr>
      <w:r>
        <w:rPr>
          <w:rFonts w:ascii="Times New Roman" w:hAnsi="Times New Roman"/>
          <w:b w:val="false"/>
          <w:i w:val="false"/>
          <w:color w:val="000000"/>
          <w:sz w:val="21"/>
        </w:rPr>
        <w:t>[Filed 11/7/91, Notice 10/2/91—published 11/27/91, effective 1/1/92]</w:t>
      </w:r>
    </w:p>
    <w:p>
      <w:pPr>
        <w:spacing w:before="0" w:after="0"/>
        <w:ind w:left="120"/>
        <w:jc w:val="center"/>
      </w:pPr>
      <w:r>
        <w:rPr>
          <w:rFonts w:ascii="Times New Roman" w:hAnsi="Times New Roman"/>
          <w:b w:val="false"/>
          <w:i w:val="false"/>
          <w:color w:val="000000"/>
          <w:sz w:val="21"/>
        </w:rPr>
        <w:t>[Filed 10/23/92, Notice 9/16/92—published 11/11/92, effective 12/16/92]</w:t>
      </w:r>
    </w:p>
    <w:p>
      <w:pPr>
        <w:spacing w:before="0" w:after="0"/>
        <w:ind w:left="120"/>
        <w:jc w:val="center"/>
      </w:pPr>
      <w:r>
        <w:rPr>
          <w:rFonts w:ascii="Times New Roman" w:hAnsi="Times New Roman"/>
          <w:b w:val="false"/>
          <w:i w:val="false"/>
          <w:color w:val="000000"/>
          <w:sz w:val="21"/>
        </w:rPr>
        <w:t>[Filed 11/20/92, Notice 10/14/92—published 12/9/92, effective 1/13/93]</w:t>
      </w:r>
    </w:p>
    <w:p>
      <w:pPr>
        <w:spacing w:before="0" w:after="0"/>
        <w:ind w:left="120"/>
        <w:jc w:val="center"/>
      </w:pPr>
      <w:r>
        <w:rPr>
          <w:rFonts w:ascii="Times New Roman" w:hAnsi="Times New Roman"/>
          <w:b w:val="false"/>
          <w:i w:val="false"/>
          <w:color w:val="000000"/>
          <w:sz w:val="21"/>
        </w:rPr>
        <w:t>[Filed 9/10/93, Notice 8/4/93—published 9/29/93, effective 11/3/93]</w:t>
      </w:r>
    </w:p>
    <w:p>
      <w:pPr>
        <w:spacing w:before="0" w:after="0"/>
        <w:ind w:left="120"/>
        <w:jc w:val="center"/>
      </w:pPr>
      <w:r>
        <w:rPr>
          <w:rFonts w:ascii="Times New Roman" w:hAnsi="Times New Roman"/>
          <w:b w:val="false"/>
          <w:i w:val="false"/>
          <w:color w:val="000000"/>
          <w:sz w:val="21"/>
        </w:rPr>
        <w:t>[Filed 5/20/94, Notice 4/13/94—published 6/8/94, effective 7/13/94]</w:t>
      </w:r>
    </w:p>
    <w:p>
      <w:pPr>
        <w:spacing w:before="0" w:after="0"/>
        <w:ind w:left="120"/>
        <w:jc w:val="center"/>
      </w:pPr>
      <w:r>
        <w:rPr>
          <w:rFonts w:ascii="Times New Roman" w:hAnsi="Times New Roman"/>
          <w:b w:val="false"/>
          <w:i w:val="false"/>
          <w:color w:val="000000"/>
          <w:sz w:val="21"/>
        </w:rPr>
        <w:t>[Filed 9/23/94, Notice 8/17/94—published 10/12/94, effective 11/16/94]</w:t>
      </w:r>
    </w:p>
    <w:p>
      <w:pPr>
        <w:spacing w:before="0" w:after="0"/>
        <w:ind w:left="120"/>
        <w:jc w:val="center"/>
      </w:pPr>
      <w:r>
        <w:rPr>
          <w:rFonts w:ascii="Times New Roman" w:hAnsi="Times New Roman"/>
          <w:b w:val="false"/>
          <w:i w:val="false"/>
          <w:color w:val="000000"/>
          <w:sz w:val="21"/>
        </w:rPr>
        <w:t>[Filed 1/12/96, Notice 12/6/95—published 1/31/96, effective 3/6/96]</w:t>
      </w:r>
    </w:p>
    <w:p>
      <w:pPr>
        <w:spacing w:before="0" w:after="0"/>
        <w:ind w:left="120"/>
        <w:jc w:val="center"/>
      </w:pPr>
      <w:r>
        <w:rPr>
          <w:rFonts w:ascii="Times New Roman" w:hAnsi="Times New Roman"/>
          <w:b w:val="false"/>
          <w:i w:val="false"/>
          <w:color w:val="000000"/>
          <w:sz w:val="21"/>
        </w:rPr>
        <w:t>[Filed 8/23/96, Notice 7/17/96—published 9/11/96, effective 10/16/96]</w:t>
      </w:r>
    </w:p>
    <w:p>
      <w:pPr>
        <w:spacing w:before="0" w:after="0"/>
        <w:ind w:left="120"/>
        <w:jc w:val="center"/>
      </w:pPr>
      <w:r>
        <w:rPr>
          <w:rFonts w:ascii="Times New Roman" w:hAnsi="Times New Roman"/>
          <w:b w:val="false"/>
          <w:i w:val="false"/>
          <w:color w:val="000000"/>
          <w:sz w:val="21"/>
        </w:rPr>
        <w:t>[Filed 10/17/97, Notice 9/10/97—published 11/5/97, effective 12/10/97]</w:t>
      </w:r>
    </w:p>
    <w:p>
      <w:pPr>
        <w:spacing w:before="0" w:after="0"/>
        <w:ind w:left="120"/>
        <w:jc w:val="center"/>
      </w:pPr>
      <w:r>
        <w:rPr>
          <w:rFonts w:ascii="Times New Roman" w:hAnsi="Times New Roman"/>
          <w:b w:val="false"/>
          <w:i w:val="false"/>
          <w:color w:val="000000"/>
          <w:sz w:val="21"/>
        </w:rPr>
        <w:t>[Filed 7/10/98, Notice 6/3/98—published 7/29/98, effective 9/2/98]</w:t>
      </w:r>
    </w:p>
    <w:p>
      <w:pPr>
        <w:spacing w:before="0" w:after="0"/>
        <w:ind w:left="120"/>
        <w:jc w:val="center"/>
      </w:pPr>
      <w:r>
        <w:rPr>
          <w:rFonts w:ascii="Times New Roman" w:hAnsi="Times New Roman"/>
          <w:b w:val="false"/>
          <w:i w:val="false"/>
          <w:color w:val="000000"/>
          <w:sz w:val="21"/>
        </w:rPr>
        <w:t>[Filed 10/2/98, Notice 8/26/98—published 10/21/98, effective 11/25/98]</w:t>
      </w:r>
    </w:p>
    <w:p>
      <w:pPr>
        <w:spacing w:before="0" w:after="0"/>
        <w:ind w:left="120"/>
        <w:jc w:val="center"/>
      </w:pPr>
      <w:r>
        <w:rPr>
          <w:rFonts w:ascii="Times New Roman" w:hAnsi="Times New Roman"/>
          <w:b w:val="false"/>
          <w:i w:val="false"/>
          <w:color w:val="000000"/>
          <w:sz w:val="21"/>
        </w:rPr>
        <w:t>[Filed 11/13/98, Notice 10/7/98—published 12/2/98, effective 1/6/99]</w:t>
      </w:r>
    </w:p>
    <w:p>
      <w:pPr>
        <w:spacing w:before="0" w:after="0"/>
        <w:ind w:left="120"/>
        <w:jc w:val="center"/>
      </w:pPr>
      <w:r>
        <w:rPr>
          <w:rFonts w:ascii="Times New Roman" w:hAnsi="Times New Roman"/>
          <w:b w:val="false"/>
          <w:i w:val="false"/>
          <w:color w:val="000000"/>
          <w:sz w:val="21"/>
        </w:rPr>
        <w:t>[Filed 12/23/99, Notice 11/17/99—published 1/12/00, effective 2/16/00]</w:t>
      </w:r>
    </w:p>
    <w:p>
      <w:pPr>
        <w:spacing w:before="0" w:after="0"/>
        <w:ind w:left="120"/>
        <w:jc w:val="center"/>
      </w:pPr>
      <w:r>
        <w:rPr>
          <w:rFonts w:ascii="Times New Roman" w:hAnsi="Times New Roman"/>
          <w:b w:val="false"/>
          <w:i w:val="false"/>
          <w:color w:val="000000"/>
          <w:sz w:val="21"/>
        </w:rPr>
        <w:t>[Filed 1/5/01, Notice 11/29/00—published 1/24/01, effective 2/28/01]</w:t>
      </w:r>
    </w:p>
    <w:p>
      <w:pPr>
        <w:spacing w:before="0" w:after="0"/>
        <w:ind w:left="120"/>
        <w:jc w:val="center"/>
      </w:pPr>
      <w:r>
        <w:rPr>
          <w:rFonts w:ascii="Times New Roman" w:hAnsi="Times New Roman"/>
          <w:b w:val="false"/>
          <w:i w:val="false"/>
          <w:color w:val="000000"/>
          <w:sz w:val="21"/>
        </w:rPr>
        <w:t>[Filed 5/24/01, Notice 4/18/01—published 6/13/01, effective 7/18/01]</w:t>
      </w:r>
    </w:p>
    <w:p>
      <w:pPr>
        <w:spacing w:before="0" w:after="0"/>
        <w:ind w:left="120"/>
        <w:jc w:val="center"/>
      </w:pPr>
      <w:r>
        <w:rPr>
          <w:rFonts w:ascii="Times New Roman" w:hAnsi="Times New Roman"/>
          <w:b w:val="false"/>
          <w:i w:val="false"/>
          <w:color w:val="000000"/>
          <w:sz w:val="21"/>
        </w:rPr>
        <w:t>[Filed 12/7/01, Notice 10/31/01—published 12/26/01, effective 1/30/02]</w:t>
      </w:r>
    </w:p>
    <w:p>
      <w:pPr>
        <w:spacing w:before="0" w:after="0"/>
        <w:ind w:left="120"/>
        <w:jc w:val="center"/>
      </w:pPr>
      <w:r>
        <w:rPr>
          <w:rFonts w:ascii="Times New Roman" w:hAnsi="Times New Roman"/>
          <w:b w:val="false"/>
          <w:i w:val="false"/>
          <w:color w:val="000000"/>
          <w:sz w:val="21"/>
        </w:rPr>
        <w:t>[Filed 2/1/02, Notice 12/26/01—published 2/20/02, effective 3/27/02]</w:t>
      </w:r>
    </w:p>
    <w:p>
      <w:pPr>
        <w:spacing w:before="0" w:after="0"/>
        <w:ind w:left="120"/>
        <w:jc w:val="center"/>
      </w:pPr>
      <w:r>
        <w:rPr>
          <w:rFonts w:ascii="Times New Roman" w:hAnsi="Times New Roman"/>
          <w:b w:val="false"/>
          <w:i w:val="false"/>
          <w:color w:val="000000"/>
          <w:sz w:val="21"/>
        </w:rPr>
        <w:t>[Filed 3/15/02, Notice 1/23/02—published 4/3/02, effective 5/8/02]</w:t>
      </w:r>
    </w:p>
    <w:p>
      <w:pPr>
        <w:spacing w:before="0" w:after="0"/>
        <w:ind w:left="120"/>
        <w:jc w:val="center"/>
      </w:pPr>
      <w:r>
        <w:rPr>
          <w:rFonts w:ascii="Times New Roman" w:hAnsi="Times New Roman"/>
          <w:b w:val="false"/>
          <w:i w:val="false"/>
          <w:color w:val="000000"/>
          <w:sz w:val="21"/>
        </w:rPr>
        <w:t>[Filed 3/15/02, Notice 2/6/02—published 4/3/02, effective 5/8/02]</w:t>
      </w:r>
    </w:p>
    <w:p>
      <w:pPr>
        <w:spacing w:before="0" w:after="0"/>
        <w:ind w:left="120"/>
        <w:jc w:val="center"/>
      </w:pPr>
      <w:r>
        <w:rPr>
          <w:rFonts w:ascii="Times New Roman" w:hAnsi="Times New Roman"/>
          <w:b w:val="false"/>
          <w:i w:val="false"/>
          <w:color w:val="000000"/>
          <w:sz w:val="21"/>
        </w:rPr>
        <w:t>[Filed 10/11/02, Notice 9/4/02—published 10/30/02, effective 12/4/02]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11/8/02, Notice 10/2/02—published 11/27/02, effective 1/1/03]</w:t>
      </w:r>
    </w:p>
    <w:p>
      <w:pPr>
        <w:spacing w:before="0" w:after="0"/>
        <w:ind w:left="120"/>
        <w:jc w:val="center"/>
      </w:pPr>
      <w:r>
        <w:rPr>
          <w:rFonts w:ascii="Times New Roman" w:hAnsi="Times New Roman"/>
          <w:b w:val="false"/>
          <w:i w:val="false"/>
          <w:color w:val="000000"/>
          <w:sz w:val="21"/>
        </w:rPr>
        <w:t>[Filed 1/17/03, Notice 12/11/02—published 2/5/03, effective 3/12/03]</w:t>
      </w:r>
    </w:p>
    <w:p>
      <w:pPr>
        <w:spacing w:before="0" w:after="0"/>
        <w:ind w:left="120"/>
        <w:jc w:val="center"/>
      </w:pPr>
      <w:r>
        <w:rPr>
          <w:rFonts w:ascii="Times New Roman" w:hAnsi="Times New Roman"/>
          <w:b w:val="false"/>
          <w:i w:val="false"/>
          <w:color w:val="000000"/>
          <w:sz w:val="21"/>
        </w:rPr>
        <w:t>[Filed 9/26/03, Notice 8/20/03—published 10/15/03, effective 11/19/03]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10/24/03, Notice 9/17/03—published 11/12/03, effective 12/17/03]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11/6/03, Notice 10/1/03—published 11/26/03, effective 12/31/03]</w:t>
      </w:r>
    </w:p>
    <w:p>
      <w:pPr>
        <w:spacing w:before="0" w:after="0"/>
        <w:ind w:left="120"/>
        <w:jc w:val="center"/>
      </w:pPr>
      <w:r>
        <w:rPr>
          <w:rFonts w:ascii="Times New Roman" w:hAnsi="Times New Roman"/>
          <w:b w:val="false"/>
          <w:i w:val="false"/>
          <w:color w:val="000000"/>
          <w:sz w:val="21"/>
        </w:rPr>
        <w:t>[Filed 12/5/03, Notice 10/15/03—published 12/24/03, effective 1/28/04]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12/31/03, Notice 11/26/03—published 1/21/04, effective 2/25/04]</w:t>
      </w:r>
    </w:p>
    <w:p>
      <w:pPr>
        <w:spacing w:before="0" w:after="0"/>
        <w:ind w:left="120"/>
        <w:jc w:val="center"/>
      </w:pPr>
      <w:r>
        <w:rPr>
          <w:rFonts w:ascii="Times New Roman" w:hAnsi="Times New Roman"/>
          <w:b w:val="false"/>
          <w:i w:val="false"/>
          <w:color w:val="000000"/>
          <w:sz w:val="21"/>
        </w:rPr>
        <w:t>[Filed 1/30/04, Notice 12/24/03—published 2/18/04, effective 3/24/04]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8/12/04, Notice 7/7/04—published 9/1/04, effective 10/6/04]</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11/4/04, Notice 9/29/04—published 11/24/04, effective 12/29/04]</w:t>
      </w:r>
    </w:p>
    <w:p>
      <w:pPr>
        <w:spacing w:before="0" w:after="0"/>
        <w:ind w:left="120"/>
        <w:jc w:val="center"/>
      </w:pPr>
      <w:r>
        <w:rPr>
          <w:rFonts w:ascii="Times New Roman" w:hAnsi="Times New Roman"/>
          <w:b w:val="false"/>
          <w:i w:val="false"/>
          <w:color w:val="000000"/>
          <w:sz w:val="21"/>
        </w:rPr>
        <w:t>[Filed 12/3/04, Notice 10/27/04—published 12/22/04, effective 1/26/05]</w:t>
      </w:r>
    </w:p>
    <w:p>
      <w:pPr>
        <w:spacing w:before="0" w:after="0"/>
        <w:ind w:left="120"/>
        <w:jc w:val="center"/>
      </w:pPr>
      <w:r>
        <w:rPr>
          <w:rFonts w:ascii="Times New Roman" w:hAnsi="Times New Roman"/>
          <w:b w:val="false"/>
          <w:i w:val="false"/>
          <w:color w:val="000000"/>
          <w:sz w:val="21"/>
        </w:rPr>
        <w:t>[Filed 1/14/05, Notice 12/8/04—published 2/2/05, effective 3/9/05]</w:t>
      </w:r>
    </w:p>
    <w:p>
      <w:pPr>
        <w:spacing w:before="0" w:after="0"/>
        <w:ind w:left="120"/>
        <w:jc w:val="center"/>
      </w:pPr>
      <w:r>
        <w:rPr>
          <w:rFonts w:ascii="Times New Roman" w:hAnsi="Times New Roman"/>
          <w:b w:val="false"/>
          <w:i w:val="false"/>
          <w:color w:val="000000"/>
          <w:sz w:val="21"/>
        </w:rPr>
        <w:t>[Filed 9/22/05, Notice 8/3/05—published 10/12/05, effective 11/16/05]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10/20/05, Notice 9/14/05—published 11/9/05, effective 12/14/05]</w:t>
      </w:r>
    </w:p>
    <w:p>
      <w:pPr>
        <w:spacing w:before="0" w:after="0"/>
        <w:ind w:left="120"/>
        <w:jc w:val="center"/>
      </w:pPr>
      <w:r>
        <w:rPr>
          <w:rFonts w:ascii="Times New Roman" w:hAnsi="Times New Roman"/>
          <w:b w:val="false"/>
          <w:i w:val="false"/>
          <w:color w:val="000000"/>
          <w:sz w:val="21"/>
        </w:rPr>
        <w:t>[Filed 12/30/05, Notice 11/23/05—published 1/18/06, effective 2/22/06]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1/27/06, Notice 12/21/05—published 2/15/06, effective 3/22/06]</w:t>
      </w:r>
    </w:p>
    <w:p>
      <w:pPr>
        <w:spacing w:before="0" w:after="0"/>
        <w:ind w:left="120"/>
        <w:jc w:val="center"/>
      </w:pPr>
      <w:r>
        <w:rPr>
          <w:rFonts w:ascii="Times New Roman" w:hAnsi="Times New Roman"/>
          <w:b w:val="false"/>
          <w:i w:val="false"/>
          <w:color w:val="000000"/>
          <w:sz w:val="21"/>
        </w:rPr>
        <w:t>[Filed 6/2/06, Notice 3/29/06—published 6/21/06, effective 7/26/06]</w:t>
      </w:r>
    </w:p>
    <w:p>
      <w:pPr>
        <w:spacing w:before="0" w:after="0"/>
        <w:ind w:left="120"/>
        <w:jc w:val="center"/>
      </w:pPr>
      <w:r>
        <w:rPr>
          <w:rFonts w:ascii="Times New Roman" w:hAnsi="Times New Roman"/>
          <w:b w:val="false"/>
          <w:i w:val="false"/>
          <w:color w:val="000000"/>
          <w:sz w:val="21"/>
        </w:rPr>
        <w:t>[Filed 7/28/06, Notice 6/21/06—published 8/16/06, effective 9/20/06]</w:t>
      </w:r>
    </w:p>
    <w:p>
      <w:pPr>
        <w:spacing w:before="0" w:after="0"/>
        <w:ind w:left="120"/>
        <w:jc w:val="center"/>
      </w:pPr>
      <w:r>
        <w:rPr>
          <w:rFonts w:ascii="Times New Roman" w:hAnsi="Times New Roman"/>
          <w:b w:val="false"/>
          <w:i w:val="false"/>
          <w:color w:val="000000"/>
          <w:sz w:val="21"/>
        </w:rPr>
        <w:t>[Filed 9/8/06, Notice 7/19/06—published 9/27/06, effective 11/1/06]</w:t>
      </w:r>
    </w:p>
    <w:p>
      <w:pPr>
        <w:spacing w:before="0" w:after="0"/>
        <w:ind w:left="120"/>
        <w:jc w:val="center"/>
      </w:pPr>
      <w:r>
        <w:rPr>
          <w:rFonts w:ascii="Times New Roman" w:hAnsi="Times New Roman"/>
          <w:b w:val="false"/>
          <w:i w:val="false"/>
          <w:color w:val="000000"/>
          <w:sz w:val="21"/>
        </w:rPr>
        <w:t>[Filed 10/5/06, Notice 8/30/06—published 10/25/06, effective 11/29/06]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11/1/06, Notice 8/16/06—published 11/22/06, effective 12/27/06]</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1/11/07, Notice 12/6/06—published 1/31/07, effective 3/7/07]</w:t>
      </w:r>
    </w:p>
    <w:p>
      <w:pPr>
        <w:spacing w:before="0" w:after="0"/>
        <w:ind w:left="120"/>
        <w:jc w:val="center"/>
      </w:pPr>
      <w:r>
        <w:rPr>
          <w:rFonts w:ascii="Times New Roman" w:hAnsi="Times New Roman"/>
          <w:b w:val="false"/>
          <w:i w:val="false"/>
          <w:color w:val="000000"/>
          <w:sz w:val="21"/>
        </w:rPr>
        <w:t>[Filed 10/5/07, Notice 8/15/07—published 10/24/07, effective 11/28/07]</w:t>
      </w:r>
    </w:p>
    <w:p>
      <w:pPr>
        <w:spacing w:before="0" w:after="0"/>
        <w:ind w:left="120"/>
        <w:jc w:val="center"/>
      </w:pPr>
      <w:r>
        <w:rPr>
          <w:rFonts w:ascii="Times New Roman" w:hAnsi="Times New Roman"/>
          <w:b w:val="false"/>
          <w:i w:val="false"/>
          <w:color w:val="000000"/>
          <w:sz w:val="21"/>
        </w:rPr>
        <w:t>[Filed 10/5/07, Notice 8/29/07—published 10/24/07, effective 11/28/07]</w:t>
      </w:r>
    </w:p>
    <w:p>
      <w:pPr>
        <w:spacing w:before="0" w:after="0"/>
        <w:ind w:left="120"/>
        <w:jc w:val="center"/>
      </w:pPr>
      <w:r>
        <w:rPr>
          <w:rFonts w:ascii="Times New Roman" w:hAnsi="Times New Roman"/>
          <w:b w:val="false"/>
          <w:i w:val="false"/>
          <w:color w:val="000000"/>
          <w:sz w:val="21"/>
        </w:rPr>
        <w:t>[Filed 10/19/07, Notice 9/12/07—published 11/7/07, effective 12/12/07]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3/7/08, Notice 1/30/08—published 3/26/08, effective 4/30/08]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5/21/08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8702B</w:t>
      </w:r>
      <w:r>
        <w:rPr>
          <w:rFonts w:ascii="Times New Roman" w:hAnsi="Times New Roman"/>
          <w:b w:val="false"/>
          <w:i w:val="false"/>
          <w:color w:val="000000"/>
          <w:sz w:val="21"/>
        </w:rPr>
        <w:t xml:space="preserve"> (Notice ARC 8512B, IAB 2/10/10)</w:t>
      </w:r>
      <w:r>
        <w:rPr>
          <w:rFonts w:ascii="Times New Roman" w:hAnsi="Times New Roman"/>
          <w:b w:val="false"/>
          <w:i w:val="false"/>
          <w:color w:val="000000"/>
          <w:sz w:val="21"/>
        </w:rPr>
        <w:t>, IAB 4/21/10, effective 5/26/10]</w:t>
      </w:r>
    </w:p>
    <w:p>
      <w:pPr>
        <w:spacing w:before="0" w:after="0"/>
        <w:ind w:left="120"/>
        <w:jc w:val="center"/>
      </w:pPr>
      <w:r>
        <w:rPr>
          <w:rFonts w:ascii="Times New Roman" w:hAnsi="Times New Roman"/>
          <w:b w:val="false"/>
          <w:i w:val="false"/>
          <w:color w:val="000000"/>
          <w:sz w:val="21"/>
        </w:rPr>
        <w:t>[Filed ARC 9104B</w:t>
      </w:r>
      <w:r>
        <w:rPr>
          <w:rFonts w:ascii="Times New Roman" w:hAnsi="Times New Roman"/>
          <w:b w:val="false"/>
          <w:i w:val="false"/>
          <w:color w:val="000000"/>
          <w:sz w:val="21"/>
        </w:rPr>
        <w:t xml:space="preserve"> (Notice ARC 8954B, IAB 7/28/10)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9821B</w:t>
      </w:r>
      <w:r>
        <w:rPr>
          <w:rFonts w:ascii="Times New Roman" w:hAnsi="Times New Roman"/>
          <w:b w:val="false"/>
          <w:i w:val="false"/>
          <w:color w:val="000000"/>
          <w:sz w:val="21"/>
        </w:rPr>
        <w:t xml:space="preserve"> (Notice ARC 9741B, IAB 9/7/11)</w:t>
      </w:r>
      <w:r>
        <w:rPr>
          <w:rFonts w:ascii="Times New Roman" w:hAnsi="Times New Roman"/>
          <w:b w:val="false"/>
          <w:i w:val="false"/>
          <w:color w:val="000000"/>
          <w:sz w:val="21"/>
        </w:rPr>
        <w:t>, IAB 11/2/11, effective 12/7/11]</w:t>
      </w:r>
      <w:r>
        <w:br/>
      </w:r>
      <w:r>
        <w:rPr>
          <w:rFonts w:ascii="Times New Roman" w:hAnsi="Times New Roman"/>
          <w:b w:val="false"/>
          <w:i w:val="false"/>
          <w:color w:val="000000"/>
          <w:sz w:val="21"/>
        </w:rPr>
        <w:t>[Filed ARC 9820B</w:t>
      </w:r>
      <w:r>
        <w:rPr>
          <w:rFonts w:ascii="Times New Roman" w:hAnsi="Times New Roman"/>
          <w:b w:val="false"/>
          <w:i w:val="false"/>
          <w:color w:val="000000"/>
          <w:sz w:val="21"/>
        </w:rPr>
        <w:t xml:space="preserve"> (Notice ARC 9740B, IAB 9/7/11)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9876B</w:t>
      </w:r>
      <w:r>
        <w:rPr>
          <w:rFonts w:ascii="Times New Roman" w:hAnsi="Times New Roman"/>
          <w:b w:val="false"/>
          <w:i w:val="false"/>
          <w:color w:val="000000"/>
          <w:sz w:val="21"/>
        </w:rPr>
        <w:t xml:space="preserve"> (Notice ARC 9796B,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9966B</w:t>
      </w:r>
      <w:r>
        <w:rPr>
          <w:rFonts w:ascii="Times New Roman" w:hAnsi="Times New Roman"/>
          <w:b w:val="false"/>
          <w:i w:val="false"/>
          <w:color w:val="000000"/>
          <w:sz w:val="21"/>
        </w:rPr>
        <w:t xml:space="preserve"> (Notice ARC 9856B, IAB 11/16/11)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0337C</w:t>
      </w:r>
      <w:r>
        <w:rPr>
          <w:rFonts w:ascii="Times New Roman" w:hAnsi="Times New Roman"/>
          <w:b w:val="false"/>
          <w:i w:val="false"/>
          <w:color w:val="000000"/>
          <w:sz w:val="21"/>
        </w:rPr>
        <w:t xml:space="preserve"> (Notice ARC 0232C, IAB 7/25/12)</w:t>
      </w:r>
      <w:r>
        <w:rPr>
          <w:rFonts w:ascii="Times New Roman" w:hAnsi="Times New Roman"/>
          <w:b w:val="false"/>
          <w:i w:val="false"/>
          <w:color w:val="000000"/>
          <w:sz w:val="21"/>
        </w:rPr>
        <w:t>, IAB 9/19/12, effective 10/24/12]</w:t>
      </w:r>
    </w:p>
    <w:p>
      <w:pPr>
        <w:spacing w:before="0" w:after="0"/>
        <w:ind w:left="120"/>
        <w:jc w:val="center"/>
      </w:pPr>
      <w:r>
        <w:rPr>
          <w:rFonts w:ascii="Times New Roman" w:hAnsi="Times New Roman"/>
          <w:b w:val="false"/>
          <w:i w:val="false"/>
          <w:color w:val="000000"/>
          <w:sz w:val="21"/>
        </w:rPr>
        <w:t>[Filed ARC 0361C</w:t>
      </w:r>
      <w:r>
        <w:rPr>
          <w:rFonts w:ascii="Times New Roman" w:hAnsi="Times New Roman"/>
          <w:b w:val="false"/>
          <w:i w:val="false"/>
          <w:color w:val="000000"/>
          <w:sz w:val="21"/>
        </w:rPr>
        <w:t xml:space="preserve"> (Notice ARC 0253C, IAB 8/8/12)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0398C</w:t>
      </w:r>
      <w:r>
        <w:rPr>
          <w:rFonts w:ascii="Times New Roman" w:hAnsi="Times New Roman"/>
          <w:b w:val="false"/>
          <w:i w:val="false"/>
          <w:color w:val="000000"/>
          <w:sz w:val="21"/>
        </w:rPr>
        <w:t xml:space="preserve"> (Notice ARC 0292C, IAB 8/22/12)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1101C</w:t>
      </w:r>
      <w:r>
        <w:rPr>
          <w:rFonts w:ascii="Times New Roman" w:hAnsi="Times New Roman"/>
          <w:b w:val="false"/>
          <w:i w:val="false"/>
          <w:color w:val="000000"/>
          <w:sz w:val="21"/>
        </w:rPr>
        <w:t xml:space="preserve"> (Notice ARC 0976C, IAB 8/21/13)</w:t>
      </w:r>
      <w:r>
        <w:rPr>
          <w:rFonts w:ascii="Times New Roman" w:hAnsi="Times New Roman"/>
          <w:b w:val="false"/>
          <w:i w:val="false"/>
          <w:color w:val="000000"/>
          <w:sz w:val="21"/>
        </w:rPr>
        <w:t>, IAB 10/16/13, effective 11/20/13]</w:t>
      </w:r>
      <w:r>
        <w:br/>
      </w:r>
      <w:r>
        <w:rPr>
          <w:rFonts w:ascii="Times New Roman" w:hAnsi="Times New Roman"/>
          <w:b w:val="false"/>
          <w:i w:val="false"/>
          <w:color w:val="000000"/>
          <w:sz w:val="21"/>
        </w:rPr>
        <w:t>[Filed ARC 1102C</w:t>
      </w:r>
      <w:r>
        <w:rPr>
          <w:rFonts w:ascii="Times New Roman" w:hAnsi="Times New Roman"/>
          <w:b w:val="false"/>
          <w:i w:val="false"/>
          <w:color w:val="000000"/>
          <w:sz w:val="21"/>
        </w:rPr>
        <w:t xml:space="preserve"> (Notice ARC 0975C,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1138C</w:t>
      </w:r>
      <w:r>
        <w:rPr>
          <w:rFonts w:ascii="Times New Roman" w:hAnsi="Times New Roman"/>
          <w:b w:val="false"/>
          <w:i w:val="false"/>
          <w:color w:val="000000"/>
          <w:sz w:val="21"/>
        </w:rPr>
        <w:t xml:space="preserve"> (Notice ARC 0998C, IAB 9/4/13)</w:t>
      </w:r>
      <w:r>
        <w:rPr>
          <w:rFonts w:ascii="Times New Roman" w:hAnsi="Times New Roman"/>
          <w:b w:val="false"/>
          <w:i w:val="false"/>
          <w:color w:val="000000"/>
          <w:sz w:val="21"/>
        </w:rPr>
        <w:t>, IAB 10/30/13, effective 12/4/13]</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1545C</w:t>
      </w:r>
      <w:r>
        <w:rPr>
          <w:rFonts w:ascii="Times New Roman" w:hAnsi="Times New Roman"/>
          <w:b w:val="false"/>
          <w:i w:val="false"/>
          <w:color w:val="000000"/>
          <w:sz w:val="21"/>
        </w:rPr>
        <w:t xml:space="preserve"> (Notice ARC 1469C,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1665C</w:t>
      </w:r>
      <w:r>
        <w:rPr>
          <w:rFonts w:ascii="Times New Roman" w:hAnsi="Times New Roman"/>
          <w:b w:val="false"/>
          <w:i w:val="false"/>
          <w:color w:val="000000"/>
          <w:sz w:val="21"/>
        </w:rPr>
        <w:t xml:space="preserve"> (Notice ARC 1590C, IAB 8/20/14)</w:t>
      </w:r>
      <w:r>
        <w:rPr>
          <w:rFonts w:ascii="Times New Roman" w:hAnsi="Times New Roman"/>
          <w:b w:val="false"/>
          <w:i w:val="false"/>
          <w:color w:val="000000"/>
          <w:sz w:val="21"/>
        </w:rPr>
        <w:t>, IAB 10/15/14, effective 11/19/14]</w:t>
      </w:r>
      <w:r>
        <w:br/>
      </w:r>
      <w:r>
        <w:rPr>
          <w:rFonts w:ascii="Times New Roman" w:hAnsi="Times New Roman"/>
          <w:b w:val="false"/>
          <w:i w:val="false"/>
          <w:color w:val="000000"/>
          <w:sz w:val="21"/>
        </w:rPr>
        <w:t>[Filed ARC 1666C</w:t>
      </w:r>
      <w:r>
        <w:rPr>
          <w:rFonts w:ascii="Times New Roman" w:hAnsi="Times New Roman"/>
          <w:b w:val="false"/>
          <w:i w:val="false"/>
          <w:color w:val="000000"/>
          <w:sz w:val="21"/>
        </w:rPr>
        <w:t xml:space="preserve"> (Notice ARC 1589C, IAB 8/20/14)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1744C</w:t>
      </w:r>
      <w:r>
        <w:rPr>
          <w:rFonts w:ascii="Times New Roman" w:hAnsi="Times New Roman"/>
          <w:b w:val="false"/>
          <w:i w:val="false"/>
          <w:color w:val="000000"/>
          <w:sz w:val="21"/>
        </w:rPr>
        <w:t xml:space="preserve"> (Notice ARC 1654C, IAB 10/1/14)</w:t>
      </w:r>
      <w:r>
        <w:rPr>
          <w:rFonts w:ascii="Times New Roman" w:hAnsi="Times New Roman"/>
          <w:b w:val="false"/>
          <w:i w:val="false"/>
          <w:color w:val="000000"/>
          <w:sz w:val="21"/>
        </w:rPr>
        <w:t>, IAB 11/26/14, effective 12/31/14]</w:t>
      </w:r>
    </w:p>
    <w:p>
      <w:pPr>
        <w:spacing w:before="0" w:after="0"/>
        <w:ind w:left="120"/>
        <w:jc w:val="center"/>
      </w:pPr>
      <w:r>
        <w:rPr>
          <w:rFonts w:ascii="Times New Roman" w:hAnsi="Times New Roman"/>
          <w:b w:val="false"/>
          <w:i w:val="false"/>
          <w:color w:val="000000"/>
          <w:sz w:val="21"/>
        </w:rPr>
        <w:t>[Filed ARC 1949C</w:t>
      </w:r>
      <w:r>
        <w:rPr>
          <w:rFonts w:ascii="Times New Roman" w:hAnsi="Times New Roman"/>
          <w:b w:val="false"/>
          <w:i w:val="false"/>
          <w:color w:val="000000"/>
          <w:sz w:val="21"/>
        </w:rPr>
        <w:t xml:space="preserve"> (Notice ARC 1857C,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1968C</w:t>
      </w:r>
      <w:r>
        <w:rPr>
          <w:rFonts w:ascii="Times New Roman" w:hAnsi="Times New Roman"/>
          <w:b w:val="false"/>
          <w:i w:val="false"/>
          <w:color w:val="000000"/>
          <w:sz w:val="21"/>
        </w:rPr>
        <w:t xml:space="preserve"> (Notice ARC 1837C, IAB 1/21/15)</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2632C</w:t>
      </w:r>
      <w:r>
        <w:rPr>
          <w:rFonts w:ascii="Times New Roman" w:hAnsi="Times New Roman"/>
          <w:b w:val="false"/>
          <w:i w:val="false"/>
          <w:color w:val="000000"/>
          <w:sz w:val="21"/>
        </w:rPr>
        <w:t xml:space="preserve"> (Notice ARC 2547C, IAB 5/25/16)</w:t>
      </w:r>
      <w:r>
        <w:rPr>
          <w:rFonts w:ascii="Times New Roman" w:hAnsi="Times New Roman"/>
          <w:b w:val="false"/>
          <w:i w:val="false"/>
          <w:color w:val="000000"/>
          <w:sz w:val="21"/>
        </w:rPr>
        <w:t>, IAB 7/20/16, effective 8/24/16]</w:t>
      </w:r>
    </w:p>
    <w:p>
      <w:pPr>
        <w:spacing w:before="0" w:after="0"/>
        <w:ind w:left="120"/>
        <w:jc w:val="center"/>
      </w:pPr>
      <w:r>
        <w:rPr>
          <w:rFonts w:ascii="Times New Roman" w:hAnsi="Times New Roman"/>
          <w:b w:val="false"/>
          <w:i w:val="false"/>
          <w:color w:val="000000"/>
          <w:sz w:val="21"/>
        </w:rPr>
        <w:t>[Filed ARC 2772C</w:t>
      </w:r>
      <w:r>
        <w:rPr>
          <w:rFonts w:ascii="Times New Roman" w:hAnsi="Times New Roman"/>
          <w:b w:val="false"/>
          <w:i w:val="false"/>
          <w:color w:val="000000"/>
          <w:sz w:val="21"/>
        </w:rPr>
        <w:t xml:space="preserve"> (Notice ARC 2681C, IAB 8/17/16)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2829C</w:t>
      </w:r>
      <w:r>
        <w:rPr>
          <w:rFonts w:ascii="Times New Roman" w:hAnsi="Times New Roman"/>
          <w:b w:val="false"/>
          <w:i w:val="false"/>
          <w:color w:val="000000"/>
          <w:sz w:val="21"/>
        </w:rPr>
        <w:t xml:space="preserve"> (Notice ARC 2737C, IAB 9/28/16)</w:t>
      </w:r>
      <w:r>
        <w:rPr>
          <w:rFonts w:ascii="Times New Roman" w:hAnsi="Times New Roman"/>
          <w:b w:val="false"/>
          <w:i w:val="false"/>
          <w:color w:val="000000"/>
          <w:sz w:val="21"/>
        </w:rPr>
        <w:t>, IAB 11/23/16, effective 1/1/17]</w:t>
      </w:r>
    </w:p>
    <w:p>
      <w:pPr>
        <w:spacing w:before="0" w:after="0"/>
        <w:ind w:left="120"/>
        <w:jc w:val="center"/>
      </w:pPr>
      <w:r>
        <w:rPr>
          <w:rFonts w:ascii="Times New Roman" w:hAnsi="Times New Roman"/>
          <w:b w:val="false"/>
          <w:i w:val="false"/>
          <w:color w:val="000000"/>
          <w:sz w:val="21"/>
        </w:rPr>
        <w:t>[Filed ARC 2833C</w:t>
      </w:r>
      <w:r>
        <w:rPr>
          <w:rFonts w:ascii="Times New Roman" w:hAnsi="Times New Roman"/>
          <w:b w:val="false"/>
          <w:i w:val="false"/>
          <w:color w:val="000000"/>
          <w:sz w:val="21"/>
        </w:rPr>
        <w:t xml:space="preserve"> (Notice ARC 2776C, IAB 10/12/16)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ARC 2925C</w:t>
      </w:r>
      <w:r>
        <w:rPr>
          <w:rFonts w:ascii="Times New Roman" w:hAnsi="Times New Roman"/>
          <w:b w:val="false"/>
          <w:i w:val="false"/>
          <w:color w:val="000000"/>
          <w:sz w:val="21"/>
        </w:rPr>
        <w:t xml:space="preserve"> (Notice ARC 2736C, IAB 9/28/16)</w:t>
      </w:r>
      <w:r>
        <w:rPr>
          <w:rFonts w:ascii="Times New Roman" w:hAnsi="Times New Roman"/>
          <w:b w:val="false"/>
          <w:i w:val="false"/>
          <w:color w:val="000000"/>
          <w:sz w:val="21"/>
        </w:rPr>
        <w:t>, IAB 2/1/17, effective 3/8/17]</w:t>
      </w:r>
      <w:r>
        <w:br/>
      </w:r>
      <w:r>
        <w:rPr>
          <w:rFonts w:ascii="Times New Roman" w:hAnsi="Times New Roman"/>
          <w:b w:val="false"/>
          <w:i w:val="false"/>
          <w:color w:val="000000"/>
          <w:sz w:val="21"/>
        </w:rPr>
        <w:t>[Filed ARC 2928C</w:t>
      </w:r>
      <w:r>
        <w:rPr>
          <w:rFonts w:ascii="Times New Roman" w:hAnsi="Times New Roman"/>
          <w:b w:val="false"/>
          <w:i w:val="false"/>
          <w:color w:val="000000"/>
          <w:sz w:val="21"/>
        </w:rPr>
        <w:t xml:space="preserve"> (Notice ARC 2806C, IAB 11/9/16)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3008C</w:t>
      </w:r>
      <w:r>
        <w:rPr>
          <w:rFonts w:ascii="Times New Roman" w:hAnsi="Times New Roman"/>
          <w:b w:val="false"/>
          <w:i w:val="false"/>
          <w:color w:val="000000"/>
          <w:sz w:val="21"/>
        </w:rPr>
        <w:t xml:space="preserve"> (Notice ARC 2865C, IAB 12/21/16)</w:t>
      </w:r>
      <w:r>
        <w:rPr>
          <w:rFonts w:ascii="Times New Roman" w:hAnsi="Times New Roman"/>
          <w:b w:val="false"/>
          <w:i w:val="false"/>
          <w:color w:val="000000"/>
          <w:sz w:val="21"/>
        </w:rPr>
        <w:t>, IAB 3/29/17, effective 5/3/17]</w:t>
      </w:r>
    </w:p>
    <w:p>
      <w:pPr>
        <w:spacing w:before="0" w:after="0"/>
        <w:ind w:left="120"/>
        <w:jc w:val="center"/>
      </w:pPr>
      <w:r>
        <w:rPr>
          <w:rFonts w:ascii="Times New Roman" w:hAnsi="Times New Roman"/>
          <w:b w:val="false"/>
          <w:i w:val="false"/>
          <w:color w:val="000000"/>
          <w:sz w:val="21"/>
        </w:rPr>
        <w:t>[Filed ARC 3043C</w:t>
      </w:r>
      <w:r>
        <w:rPr>
          <w:rFonts w:ascii="Times New Roman" w:hAnsi="Times New Roman"/>
          <w:b w:val="false"/>
          <w:i w:val="false"/>
          <w:color w:val="000000"/>
          <w:sz w:val="21"/>
        </w:rPr>
        <w:t xml:space="preserve"> (Notice ARC 2896C, IAB 1/18/17)</w:t>
      </w:r>
      <w:r>
        <w:rPr>
          <w:rFonts w:ascii="Times New Roman" w:hAnsi="Times New Roman"/>
          <w:b w:val="false"/>
          <w:i w:val="false"/>
          <w:color w:val="000000"/>
          <w:sz w:val="21"/>
        </w:rPr>
        <w:t>, IAB 4/26/17, effective 5/31/17]</w:t>
      </w:r>
    </w:p>
    <w:p>
      <w:pPr>
        <w:spacing w:before="0" w:after="0"/>
        <w:ind w:left="120"/>
        <w:jc w:val="center"/>
      </w:pPr>
      <w:r>
        <w:rPr>
          <w:rFonts w:ascii="Times New Roman" w:hAnsi="Times New Roman"/>
          <w:b w:val="false"/>
          <w:i w:val="false"/>
          <w:color w:val="000000"/>
          <w:sz w:val="21"/>
        </w:rPr>
        <w:t>[Filed ARC 3749C</w:t>
      </w:r>
      <w:r>
        <w:rPr>
          <w:rFonts w:ascii="Times New Roman" w:hAnsi="Times New Roman"/>
          <w:b w:val="false"/>
          <w:i w:val="false"/>
          <w:color w:val="000000"/>
          <w:sz w:val="21"/>
        </w:rPr>
        <w:t xml:space="preserve"> (Notice ARC 3579C,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3837C</w:t>
      </w:r>
      <w:r>
        <w:rPr>
          <w:rFonts w:ascii="Times New Roman" w:hAnsi="Times New Roman"/>
          <w:b w:val="false"/>
          <w:i w:val="false"/>
          <w:color w:val="000000"/>
          <w:sz w:val="21"/>
        </w:rPr>
        <w:t xml:space="preserve"> (Notice ARC 3724C, IAB 4/11/18)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4143C</w:t>
      </w:r>
      <w:r>
        <w:rPr>
          <w:rFonts w:ascii="Times New Roman" w:hAnsi="Times New Roman"/>
          <w:b w:val="false"/>
          <w:i w:val="false"/>
          <w:color w:val="000000"/>
          <w:sz w:val="21"/>
        </w:rPr>
        <w:t xml:space="preserve"> (Notice ARC 4025C, IAB 9/26/18)</w:t>
      </w:r>
      <w:r>
        <w:rPr>
          <w:rFonts w:ascii="Times New Roman" w:hAnsi="Times New Roman"/>
          <w:b w:val="false"/>
          <w:i w:val="false"/>
          <w:color w:val="000000"/>
          <w:sz w:val="21"/>
        </w:rPr>
        <w:t>, IAB 11/21/18, effective 12/26/18]</w:t>
      </w:r>
    </w:p>
    <w:p>
      <w:pPr>
        <w:spacing w:before="0" w:after="0"/>
        <w:ind w:left="120"/>
        <w:jc w:val="center"/>
      </w:pPr>
      <w:r>
        <w:rPr>
          <w:rFonts w:ascii="Times New Roman" w:hAnsi="Times New Roman"/>
          <w:b w:val="false"/>
          <w:i w:val="false"/>
          <w:color w:val="000000"/>
          <w:sz w:val="21"/>
        </w:rPr>
        <w:t>[Filed ARC 5308C</w:t>
      </w:r>
      <w:r>
        <w:rPr>
          <w:rFonts w:ascii="Times New Roman" w:hAnsi="Times New Roman"/>
          <w:b w:val="false"/>
          <w:i w:val="false"/>
          <w:color w:val="000000"/>
          <w:sz w:val="21"/>
        </w:rPr>
        <w:t xml:space="preserve"> (Notice ARC 5181C, IAB 9/23/20)</w:t>
      </w:r>
      <w:r>
        <w:rPr>
          <w:rFonts w:ascii="Times New Roman" w:hAnsi="Times New Roman"/>
          <w:b w:val="false"/>
          <w:i w:val="false"/>
          <w:color w:val="000000"/>
          <w:sz w:val="21"/>
        </w:rPr>
        <w:t>, IAB 12/2/20, effective 1/6/21]</w:t>
      </w:r>
    </w:p>
    <w:p>
      <w:pPr>
        <w:spacing w:before="0" w:after="0"/>
        <w:ind w:left="120"/>
        <w:jc w:val="center"/>
      </w:pPr>
      <w:r>
        <w:rPr>
          <w:rFonts w:ascii="Times New Roman" w:hAnsi="Times New Roman"/>
          <w:b w:val="false"/>
          <w:i w:val="false"/>
          <w:color w:val="000000"/>
          <w:sz w:val="21"/>
        </w:rPr>
        <w:t>[Filed ARC 5589C</w:t>
      </w:r>
      <w:r>
        <w:rPr>
          <w:rFonts w:ascii="Times New Roman" w:hAnsi="Times New Roman"/>
          <w:b w:val="false"/>
          <w:i w:val="false"/>
          <w:color w:val="000000"/>
          <w:sz w:val="21"/>
        </w:rPr>
        <w:t xml:space="preserve"> (Notice ARC 5469C, IAB 2/24/21)</w:t>
      </w:r>
      <w:r>
        <w:rPr>
          <w:rFonts w:ascii="Times New Roman" w:hAnsi="Times New Roman"/>
          <w:b w:val="false"/>
          <w:i w:val="false"/>
          <w:color w:val="000000"/>
          <w:sz w:val="21"/>
        </w:rPr>
        <w:t>, IAB 4/21/21, effective 5/26/21]</w:t>
      </w:r>
      <w:r>
        <w:br/>
      </w:r>
      <w:r>
        <w:rPr>
          <w:rFonts w:ascii="Times New Roman" w:hAnsi="Times New Roman"/>
          <w:b w:val="false"/>
          <w:i w:val="false"/>
          <w:color w:val="000000"/>
          <w:sz w:val="21"/>
        </w:rPr>
        <w:t>[Filed ARC 5590C</w:t>
      </w:r>
      <w:r>
        <w:rPr>
          <w:rFonts w:ascii="Times New Roman" w:hAnsi="Times New Roman"/>
          <w:b w:val="false"/>
          <w:i w:val="false"/>
          <w:color w:val="000000"/>
          <w:sz w:val="21"/>
        </w:rPr>
        <w:t xml:space="preserve"> (Notice ARC 5470C, IAB 2/24/21)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5978C</w:t>
      </w:r>
      <w:r>
        <w:rPr>
          <w:rFonts w:ascii="Times New Roman" w:hAnsi="Times New Roman"/>
          <w:b w:val="false"/>
          <w:i w:val="false"/>
          <w:color w:val="000000"/>
          <w:sz w:val="21"/>
        </w:rPr>
        <w:t xml:space="preserve"> (Notice ARC 5822C, IAB 8/11/21)</w:t>
      </w:r>
      <w:r>
        <w:rPr>
          <w:rFonts w:ascii="Times New Roman" w:hAnsi="Times New Roman"/>
          <w:b w:val="false"/>
          <w:i w:val="false"/>
          <w:color w:val="000000"/>
          <w:sz w:val="21"/>
        </w:rPr>
        <w:t>, IAB 10/20/21, effective 11/24/21]</w:t>
      </w:r>
    </w:p>
    <w:p>
      <w:pPr>
        <w:spacing w:before="0" w:after="0"/>
        <w:ind w:left="120"/>
        <w:jc w:val="center"/>
      </w:pPr>
      <w:r>
        <w:rPr>
          <w:rFonts w:ascii="Times New Roman" w:hAnsi="Times New Roman"/>
          <w:b w:val="false"/>
          <w:i w:val="false"/>
          <w:color w:val="000000"/>
          <w:sz w:val="21"/>
        </w:rPr>
        <w:t>[Filed ARC 6029C</w:t>
      </w:r>
      <w:r>
        <w:rPr>
          <w:rFonts w:ascii="Times New Roman" w:hAnsi="Times New Roman"/>
          <w:b w:val="false"/>
          <w:i w:val="false"/>
          <w:color w:val="000000"/>
          <w:sz w:val="21"/>
        </w:rPr>
        <w:t xml:space="preserve"> (Notice ARC 5886C, IAB 9/8/21)</w:t>
      </w:r>
      <w:r>
        <w:rPr>
          <w:rFonts w:ascii="Times New Roman" w:hAnsi="Times New Roman"/>
          <w:b w:val="false"/>
          <w:i w:val="false"/>
          <w:color w:val="000000"/>
          <w:sz w:val="21"/>
        </w:rPr>
        <w:t>, IAB 11/3/21, effective 12/8/21]</w:t>
      </w:r>
      <w:r>
        <w:br/>
      </w:r>
      <w:r>
        <w:rPr>
          <w:rFonts w:ascii="Times New Roman" w:hAnsi="Times New Roman"/>
          <w:b w:val="false"/>
          <w:i w:val="false"/>
          <w:color w:val="000000"/>
          <w:sz w:val="21"/>
        </w:rPr>
        <w:t>[Filed ARC 6030C</w:t>
      </w:r>
      <w:r>
        <w:rPr>
          <w:rFonts w:ascii="Times New Roman" w:hAnsi="Times New Roman"/>
          <w:b w:val="false"/>
          <w:i w:val="false"/>
          <w:color w:val="000000"/>
          <w:sz w:val="21"/>
        </w:rPr>
        <w:t xml:space="preserve"> (Notice ARC 5883C, IAB 9/8/21)</w:t>
      </w:r>
      <w:r>
        <w:rPr>
          <w:rFonts w:ascii="Times New Roman" w:hAnsi="Times New Roman"/>
          <w:b w:val="false"/>
          <w:i w:val="false"/>
          <w:color w:val="000000"/>
          <w:sz w:val="21"/>
        </w:rPr>
        <w:t>, IAB 11/3/21, effective 12/8/21]</w:t>
      </w:r>
      <w:r>
        <w:br/>
      </w:r>
      <w:r>
        <w:rPr>
          <w:rFonts w:ascii="Times New Roman" w:hAnsi="Times New Roman"/>
          <w:b w:val="false"/>
          <w:i w:val="false"/>
          <w:color w:val="000000"/>
          <w:sz w:val="21"/>
        </w:rPr>
        <w:t>[Filed ARC 6031C</w:t>
      </w:r>
      <w:r>
        <w:rPr>
          <w:rFonts w:ascii="Times New Roman" w:hAnsi="Times New Roman"/>
          <w:b w:val="false"/>
          <w:i w:val="false"/>
          <w:color w:val="000000"/>
          <w:sz w:val="21"/>
        </w:rPr>
        <w:t xml:space="preserve"> (Notice ARC 5884C, IAB 9/8/21)</w:t>
      </w:r>
      <w:r>
        <w:rPr>
          <w:rFonts w:ascii="Times New Roman" w:hAnsi="Times New Roman"/>
          <w:b w:val="false"/>
          <w:i w:val="false"/>
          <w:color w:val="000000"/>
          <w:sz w:val="21"/>
        </w:rPr>
        <w:t>, IAB 11/3/21, effective 12/8/21]</w:t>
      </w:r>
    </w:p>
    <w:p>
      <w:pPr>
        <w:spacing w:before="0" w:after="0"/>
        <w:ind w:left="120"/>
        <w:jc w:val="center"/>
      </w:pPr>
      <w:r>
        <w:rPr>
          <w:rFonts w:ascii="Times New Roman" w:hAnsi="Times New Roman"/>
          <w:b w:val="false"/>
          <w:i w:val="false"/>
          <w:color w:val="000000"/>
          <w:sz w:val="21"/>
        </w:rPr>
        <w:t>[Filed ARC 6149C</w:t>
      </w:r>
      <w:r>
        <w:rPr>
          <w:rFonts w:ascii="Times New Roman" w:hAnsi="Times New Roman"/>
          <w:b w:val="false"/>
          <w:i w:val="false"/>
          <w:color w:val="000000"/>
          <w:sz w:val="21"/>
        </w:rPr>
        <w:t xml:space="preserve"> (Notice ARC 6032C, IAB 11/17/21)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6227C</w:t>
      </w:r>
      <w:r>
        <w:rPr>
          <w:rFonts w:ascii="Times New Roman" w:hAnsi="Times New Roman"/>
          <w:b w:val="false"/>
          <w:i w:val="false"/>
          <w:color w:val="000000"/>
          <w:sz w:val="21"/>
        </w:rPr>
        <w:t xml:space="preserve"> (Notice ARC 5987C, IAB 10/20/21)</w:t>
      </w:r>
      <w:r>
        <w:rPr>
          <w:rFonts w:ascii="Times New Roman" w:hAnsi="Times New Roman"/>
          <w:b w:val="false"/>
          <w:i w:val="false"/>
          <w:color w:val="000000"/>
          <w:sz w:val="21"/>
        </w:rPr>
        <w:t>, IAB 3/9/22, effective 4/13/22]</w:t>
      </w:r>
      <w:r>
        <w:rPr>
          <w:rFonts w:ascii="Times New Roman" w:hAnsi="Times New Roman"/>
          <w:b w:val="false"/>
          <w:i w:val="false"/>
          <w:color w:val="000000"/>
          <w:sz w:val="21"/>
        </w:rPr>
        <w:t>[Filed ARC 6240C</w:t>
      </w:r>
      <w:r>
        <w:rPr>
          <w:rFonts w:ascii="Times New Roman" w:hAnsi="Times New Roman"/>
          <w:b w:val="false"/>
          <w:i w:val="false"/>
          <w:color w:val="000000"/>
          <w:sz w:val="21"/>
        </w:rPr>
        <w:t xml:space="preserve"> (Notice ARC 5990C, IAB 10/20/21)</w:t>
      </w:r>
      <w:r>
        <w:rPr>
          <w:rFonts w:ascii="Times New Roman" w:hAnsi="Times New Roman"/>
          <w:b w:val="false"/>
          <w:i w:val="false"/>
          <w:color w:val="000000"/>
          <w:sz w:val="21"/>
        </w:rPr>
        <w:t>, IAB 3/9/22, effective 4/13/22]</w:t>
      </w:r>
    </w:p>
    <w:p>
      <w:pPr>
        <w:spacing w:before="0" w:after="0"/>
        <w:ind w:left="120"/>
        <w:jc w:val="center"/>
      </w:pPr>
      <w:r>
        <w:rPr>
          <w:rFonts w:ascii="Times New Roman" w:hAnsi="Times New Roman"/>
          <w:b w:val="false"/>
          <w:i w:val="false"/>
          <w:color w:val="000000"/>
          <w:sz w:val="21"/>
        </w:rPr>
        <w:t>[Filed ARC 6267C</w:t>
      </w:r>
      <w:r>
        <w:rPr>
          <w:rFonts w:ascii="Times New Roman" w:hAnsi="Times New Roman"/>
          <w:b w:val="false"/>
          <w:i w:val="false"/>
          <w:color w:val="000000"/>
          <w:sz w:val="21"/>
        </w:rPr>
        <w:t xml:space="preserve"> (Notice ARC 5986C, IAB 10/20/21)</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Emergency ARC 6398C, IAB 7/13/22, effective 7/1/22]</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6900C</w:t>
      </w:r>
      <w:r>
        <w:rPr>
          <w:rFonts w:ascii="Times New Roman" w:hAnsi="Times New Roman"/>
          <w:b w:val="false"/>
          <w:i w:val="false"/>
          <w:color w:val="000000"/>
          <w:sz w:val="21"/>
        </w:rPr>
        <w:t xml:space="preserve"> (Notice ARC 6746C, IAB 12/14/22)</w:t>
      </w:r>
      <w:r>
        <w:rPr>
          <w:rFonts w:ascii="Times New Roman" w:hAnsi="Times New Roman"/>
          <w:b w:val="false"/>
          <w:i w:val="false"/>
          <w:color w:val="000000"/>
          <w:sz w:val="21"/>
        </w:rPr>
        <w:t>, IAB 2/22/23, effective 3/29/23]</w:t>
      </w:r>
      <w:r>
        <w:br/>
      </w:r>
      <w:r>
        <w:rPr>
          <w:rFonts w:ascii="Times New Roman" w:hAnsi="Times New Roman"/>
          <w:b w:val="false"/>
          <w:i w:val="false"/>
          <w:color w:val="000000"/>
          <w:sz w:val="21"/>
        </w:rPr>
        <w:t>[Filed ARC 6901C</w:t>
      </w:r>
      <w:r>
        <w:rPr>
          <w:rFonts w:ascii="Times New Roman" w:hAnsi="Times New Roman"/>
          <w:b w:val="false"/>
          <w:i w:val="false"/>
          <w:color w:val="000000"/>
          <w:sz w:val="21"/>
        </w:rPr>
        <w:t xml:space="preserve"> (Notice ARC 6699C, IAB 11/30/22)</w:t>
      </w:r>
      <w:r>
        <w:rPr>
          <w:rFonts w:ascii="Times New Roman" w:hAnsi="Times New Roman"/>
          <w:b w:val="false"/>
          <w:i w:val="false"/>
          <w:color w:val="000000"/>
          <w:sz w:val="21"/>
        </w:rPr>
        <w:t>, IAB 2/22/23, effective 3/29/23]</w:t>
      </w:r>
      <w:r>
        <w:br/>
      </w:r>
      <w:r>
        <w:rPr>
          <w:rFonts w:ascii="Times New Roman" w:hAnsi="Times New Roman"/>
          <w:b w:val="false"/>
          <w:i w:val="false"/>
          <w:color w:val="000000"/>
          <w:sz w:val="21"/>
        </w:rPr>
        <w:t>[Filed ARC 6903C</w:t>
      </w:r>
      <w:r>
        <w:rPr>
          <w:rFonts w:ascii="Times New Roman" w:hAnsi="Times New Roman"/>
          <w:b w:val="false"/>
          <w:i w:val="false"/>
          <w:color w:val="000000"/>
          <w:sz w:val="21"/>
        </w:rPr>
        <w:t xml:space="preserve"> (Notice ARC 6698C, IAB 11/30/22)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8201C</w:t>
      </w:r>
      <w:r>
        <w:rPr>
          <w:rFonts w:ascii="Times New Roman" w:hAnsi="Times New Roman"/>
          <w:b w:val="false"/>
          <w:i w:val="false"/>
          <w:color w:val="000000"/>
          <w:sz w:val="21"/>
        </w:rPr>
        <w:t xml:space="preserve"> (Notice ARC 8071C, IAB 6/26/24)</w:t>
      </w:r>
      <w:r>
        <w:rPr>
          <w:rFonts w:ascii="Times New Roman" w:hAnsi="Times New Roman"/>
          <w:b w:val="false"/>
          <w:i w:val="false"/>
          <w:color w:val="000000"/>
          <w:sz w:val="21"/>
        </w:rPr>
        <w:t>, IAB 8/21/24, effective 9/25/24]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2.5.pdf" Type="http://schemas.openxmlformats.org/officeDocument/2006/relationships/hyperlink" Id="rId5"/>
    <Relationship TargetMode="External" Target="https://www.legis.iowa.gov/docs/ico/chapter/422.pdf" Type="http://schemas.openxmlformats.org/officeDocument/2006/relationships/hyperlink" Id="rId6"/>
    <Relationship TargetMode="External" Target="https://www.legis.iowa.gov/docs/ico/chapter/257.21.pdf" Type="http://schemas.openxmlformats.org/officeDocument/2006/relationships/hyperlink" Id="rId7"/>
    <Relationship TargetMode="External" Target="https://www.legis.iowa.gov/docs/ico/chapter/257.29.pdf" Type="http://schemas.openxmlformats.org/officeDocument/2006/relationships/hyperlink" Id="rId8"/>
    <Relationship TargetMode="External" Target="https://www.legis.iowa.gov/docs/ico/chapter/422.15.pdf" Type="http://schemas.openxmlformats.org/officeDocument/2006/relationships/hyperlink" Id="rId9"/>
    <Relationship TargetMode="External" Target="https://www.legis.iowa.gov/docs/ico/chapter/422.5.pdf" Type="http://schemas.openxmlformats.org/officeDocument/2006/relationships/hyperlink" Id="rId10"/>
    <Relationship TargetMode="External" Target="https://www.legis.iowa.gov/docs/ico/chapter/422.pdf" Type="http://schemas.openxmlformats.org/officeDocument/2006/relationships/hyperlink" Id="rId11"/>
    <Relationship TargetMode="External" Target="https://www.legis.iowa.gov/docs/ico/chapter/422.4.pdf" Type="http://schemas.openxmlformats.org/officeDocument/2006/relationships/hyperlink" Id="rId12"/>
    <Relationship TargetMode="External" Target="https://www.legis.iowa.gov/docs/ico/chapter/422.20-31.pdf" Type="http://schemas.openxmlformats.org/officeDocument/2006/relationships/hyperlink" Id="rId13"/>
    <Relationship TargetMode="External" Target="https://www.legis.iowa.gov/docs/ico/chapter/422.68.pdf" Type="http://schemas.openxmlformats.org/officeDocument/2006/relationships/hyperlink" Id="rId14"/>
    <Relationship TargetMode="External" Target="https://www.legis.iowa.gov/docs/ico/chapter/422.70.pdf" Type="http://schemas.openxmlformats.org/officeDocument/2006/relationships/hyperlink" Id="rId15"/>
    <Relationship TargetMode="External" Target="https://www.legis.iowa.gov/docs/ico/chapter/422.72-75.pdf" Type="http://schemas.openxmlformats.org/officeDocument/2006/relationships/hyperlink" Id="rId16"/>
    <Relationship TargetMode="External" Target="https://www.legis.iowa.gov/docs/ico/chapter/422D.pdf" Type="http://schemas.openxmlformats.org/officeDocument/2006/relationships/hyperlink" Id="rId17"/>
    <Relationship TargetMode="External" Target="https://www.legis.iowa.gov/docs/iac/rule/701.301.4.pdf" Type="http://schemas.openxmlformats.org/officeDocument/2006/relationships/hyperlink" Id="rId18"/>
    <Relationship TargetMode="External" Target="https://www.legis.iowa.gov/docs/iac/rule/701.301.4.pdf" Type="http://schemas.openxmlformats.org/officeDocument/2006/relationships/hyperlink" Id="rId19"/>
    <Relationship TargetMode="External" Target="https://www.legis.iowa.gov/docs/ico/chapter/422.12.pdf" Type="http://schemas.openxmlformats.org/officeDocument/2006/relationships/hyperlink" Id="rId20"/>
    <Relationship TargetMode="External" Target="https://www.legis.iowa.gov/docs/ico/chapter/422.12.pdf" Type="http://schemas.openxmlformats.org/officeDocument/2006/relationships/hyperlink" Id="rId21"/>
    <Relationship TargetMode="External" Target="https://www.legis.iowa.gov/docs/ico/chapter/422.12.pdf" Type="http://schemas.openxmlformats.org/officeDocument/2006/relationships/hyperlink" Id="rId22"/>
    <Relationship TargetMode="External" Target="https://www.legis.iowa.gov/docs/ico/chapter/256.11.pdf" Type="http://schemas.openxmlformats.org/officeDocument/2006/relationships/hyperlink" Id="rId23"/>
    <Relationship TargetMode="External" Target="https://www.legis.iowa.gov/docs/ico/chapter/216.pdf" Type="http://schemas.openxmlformats.org/officeDocument/2006/relationships/hyperlink" Id="rId24"/>
    <Relationship TargetMode="External" Target="https://www.legis.iowa.gov/docs/iac/rule/701.304.3.pdf" Type="http://schemas.openxmlformats.org/officeDocument/2006/relationships/hyperlink" Id="rId25"/>
    <Relationship TargetMode="External" Target="https://www.legis.iowa.gov/docs/ico/chapter/422.12.pdf" Type="http://schemas.openxmlformats.org/officeDocument/2006/relationships/hyperlink" Id="rId26"/>
    <Relationship TargetMode="External" Target="https://www.legis.iowa.gov/docs/iac/chapter/701.302.pdf" Type="http://schemas.openxmlformats.org/officeDocument/2006/relationships/hyperlink" Id="rId27"/>
    <Relationship TargetMode="External" Target="https://www.legis.iowa.gov/docs/ico/chapter/422.12.pdf" Type="http://schemas.openxmlformats.org/officeDocument/2006/relationships/hyperlink" Id="rId28"/>
    <Relationship TargetMode="External" Target="https://www.legis.iowa.gov/docs/ico/chapter/422.12.pdf" Type="http://schemas.openxmlformats.org/officeDocument/2006/relationships/hyperlink" Id="rId29"/>
    <Relationship TargetMode="External" Target="https://www.legis.iowa.gov/docs/ico/chapter/422.12.pdf" Type="http://schemas.openxmlformats.org/officeDocument/2006/relationships/hyperlink" Id="rId30"/>
    <Relationship TargetMode="External" Target="https://www.legis.iowa.gov/docs/ico/chapter/422.12.pdf" Type="http://schemas.openxmlformats.org/officeDocument/2006/relationships/hyperlink" Id="rId31"/>
    <Relationship TargetMode="External" Target="https://www.legis.iowa.gov/docs/iac/chapter/701.302.pdf" Type="http://schemas.openxmlformats.org/officeDocument/2006/relationships/hyperlink" Id="rId32"/>
    <Relationship TargetMode="External" Target="https://www.legis.iowa.gov/docs/ico/chapter/422.12.pdf" Type="http://schemas.openxmlformats.org/officeDocument/2006/relationships/hyperlink" Id="rId33"/>
    <Relationship TargetMode="External" Target="https://www.legis.iowa.gov/docs/ico/chapter/422.12.pdf" Type="http://schemas.openxmlformats.org/officeDocument/2006/relationships/hyperlink" Id="rId34"/>
    <Relationship TargetMode="External" Target="https://www.legis.iowa.gov/docs/ico/chapter/422.12.pdf" Type="http://schemas.openxmlformats.org/officeDocument/2006/relationships/hyperlink" Id="rId35"/>
    <Relationship TargetMode="External" Target="https://www.legis.iowa.gov/docs/ico/chapter/422.5.pdf" Type="http://schemas.openxmlformats.org/officeDocument/2006/relationships/hyperlink" Id="rId36"/>
    <Relationship TargetMode="External" Target="https://www.legis.iowa.gov/docs/iac/rule/701.304.6.pdf" Type="http://schemas.openxmlformats.org/officeDocument/2006/relationships/hyperlink" Id="rId37"/>
    <Relationship TargetMode="External" Target="https://www.legis.iowa.gov/docs/iac/rule/701.304.6.pdf" Type="http://schemas.openxmlformats.org/officeDocument/2006/relationships/hyperlink" Id="rId38"/>
    <Relationship TargetMode="External" Target="https://www.legis.iowa.gov/docs/iac/rule/701.304.6.pdf" Type="http://schemas.openxmlformats.org/officeDocument/2006/relationships/hyperlink" Id="rId39"/>
    <Relationship TargetMode="External" Target="https://www.legis.iowa.gov/docs/iac/rule/701.304.6.pdf" Type="http://schemas.openxmlformats.org/officeDocument/2006/relationships/hyperlink" Id="rId40"/>
    <Relationship TargetMode="External" Target="https://www.legis.iowa.gov/docs/iac/rule/701.304.6.pdf" Type="http://schemas.openxmlformats.org/officeDocument/2006/relationships/hyperlink" Id="rId41"/>
    <Relationship TargetMode="External" Target="https://www.legis.iowa.gov/docs/iac/rule/701.304.7.pdf" Type="http://schemas.openxmlformats.org/officeDocument/2006/relationships/hyperlink" Id="rId42"/>
    <Relationship TargetMode="External" Target="https://www.legis.iowa.gov/docs/iac/rule/701.304.6.pdf" Type="http://schemas.openxmlformats.org/officeDocument/2006/relationships/hyperlink" Id="rId43"/>
    <Relationship TargetMode="External" Target="https://www.legis.iowa.gov/docs/iac/rule/701.304.6.pdf" Type="http://schemas.openxmlformats.org/officeDocument/2006/relationships/hyperlink" Id="rId44"/>
    <Relationship TargetMode="External" Target="https://www.legis.iowa.gov/docs/iac/rule/701.304.6.pdf" Type="http://schemas.openxmlformats.org/officeDocument/2006/relationships/hyperlink" Id="rId45"/>
    <Relationship TargetMode="External" Target="https://www.legis.iowa.gov/docs/iac/rule/701.304.6.pdf" Type="http://schemas.openxmlformats.org/officeDocument/2006/relationships/hyperlink" Id="rId46"/>
    <Relationship TargetMode="External" Target="https://www.legis.iowa.gov/docs/iac/rule/701.304.6.pdf" Type="http://schemas.openxmlformats.org/officeDocument/2006/relationships/hyperlink" Id="rId47"/>
    <Relationship TargetMode="External" Target="https://www.legis.iowa.gov/docs/iac/rule/701.304.6.pdf" Type="http://schemas.openxmlformats.org/officeDocument/2006/relationships/hyperlink" Id="rId48"/>
    <Relationship TargetMode="External" Target="https://www.legis.iowa.gov/docs/iac/rule/701.304.6.pdf" Type="http://schemas.openxmlformats.org/officeDocument/2006/relationships/hyperlink" Id="rId49"/>
    <Relationship TargetMode="External" Target="https://www.legis.iowa.gov/docs/iac/rule/701.304.6.pdf" Type="http://schemas.openxmlformats.org/officeDocument/2006/relationships/hyperlink" Id="rId50"/>
    <Relationship TargetMode="External" Target="https://www.legis.iowa.gov/docs/ico/chapter/422.12.pdf" Type="http://schemas.openxmlformats.org/officeDocument/2006/relationships/hyperlink" Id="rId51"/>
    <Relationship TargetMode="External" Target="https://www.legis.iowa.gov/docs/iac/rule/701.304.6.pdf" Type="http://schemas.openxmlformats.org/officeDocument/2006/relationships/hyperlink" Id="rId52"/>
    <Relationship TargetMode="External" Target="https://www.legis.iowa.gov/docs/iac/rule/701.304.6.pdf" Type="http://schemas.openxmlformats.org/officeDocument/2006/relationships/hyperlink" Id="rId53"/>
    <Relationship TargetMode="External" Target="https://www.legis.iowa.gov/docs/ico/chapter/422.12.pdf" Type="http://schemas.openxmlformats.org/officeDocument/2006/relationships/hyperlink" Id="rId54"/>
    <Relationship TargetMode="External" Target="https://www.legis.iowa.gov/docs/iac/rule/701.304.5.pdf" Type="http://schemas.openxmlformats.org/officeDocument/2006/relationships/hyperlink" Id="rId55"/>
    <Relationship TargetMode="External" Target="https://www.legis.iowa.gov/docs/iac/rule/701.304.6.pdf" Type="http://schemas.openxmlformats.org/officeDocument/2006/relationships/hyperlink" Id="rId56"/>
    <Relationship TargetMode="External" Target="https://www.legis.iowa.gov/docs/iac/rule/701.304.6.pdf" Type="http://schemas.openxmlformats.org/officeDocument/2006/relationships/hyperlink" Id="rId57"/>
    <Relationship TargetMode="External" Target="https://www.legis.iowa.gov/docs/iac/rule/701.304.6.pdf" Type="http://schemas.openxmlformats.org/officeDocument/2006/relationships/hyperlink" Id="rId58"/>
    <Relationship TargetMode="External" Target="https://www.legis.iowa.gov/docs/iac/rule/701.304.6.pdf" Type="http://schemas.openxmlformats.org/officeDocument/2006/relationships/hyperlink" Id="rId59"/>
    <Relationship TargetMode="External" Target="https://www.legis.iowa.gov/docs/iac/rule/701.304.6.pdf" Type="http://schemas.openxmlformats.org/officeDocument/2006/relationships/hyperlink" Id="rId60"/>
    <Relationship TargetMode="External" Target="https://www.legis.iowa.gov/docs/iac/rule/701.304.6.pdf" Type="http://schemas.openxmlformats.org/officeDocument/2006/relationships/hyperlink" Id="rId61"/>
    <Relationship TargetMode="External" Target="https://www.legis.iowa.gov/docs/iac/rule/701.304.6.pdf" Type="http://schemas.openxmlformats.org/officeDocument/2006/relationships/hyperlink" Id="rId62"/>
    <Relationship TargetMode="External" Target="https://www.legis.iowa.gov/docs/iac/rule/701.304.6.pdf" Type="http://schemas.openxmlformats.org/officeDocument/2006/relationships/hyperlink" Id="rId63"/>
    <Relationship TargetMode="External" Target="https://www.legis.iowa.gov/docs/iac/rule/701.304.6.pdf" Type="http://schemas.openxmlformats.org/officeDocument/2006/relationships/hyperlink" Id="rId64"/>
    <Relationship TargetMode="External" Target="https://www.legis.iowa.gov/docs/iac/rule/701.304.6.pdf" Type="http://schemas.openxmlformats.org/officeDocument/2006/relationships/hyperlink" Id="rId65"/>
    <Relationship TargetMode="External" Target="https://www.legis.iowa.gov/docs/iac/rule/701.304.6.pdf" Type="http://schemas.openxmlformats.org/officeDocument/2006/relationships/hyperlink" Id="rId66"/>
    <Relationship TargetMode="External" Target="https://www.legis.iowa.gov/docs/ico/chapter/422.73.pdf" Type="http://schemas.openxmlformats.org/officeDocument/2006/relationships/hyperlink" Id="rId67"/>
    <Relationship TargetMode="External" Target="https://www.legis.iowa.gov/docs/iac/rule/701.304.6.pdf" Type="http://schemas.openxmlformats.org/officeDocument/2006/relationships/hyperlink" Id="rId68"/>
    <Relationship TargetMode="External" Target="https://www.legis.iowa.gov/docs/iac/rule/701.304.6.pdf" Type="http://schemas.openxmlformats.org/officeDocument/2006/relationships/hyperlink" Id="rId69"/>
    <Relationship TargetMode="External" Target="https://www.legis.iowa.gov/docs/ico/chapter/422.8.pdf" Type="http://schemas.openxmlformats.org/officeDocument/2006/relationships/hyperlink" Id="rId70"/>
    <Relationship TargetMode="External" Target="https://www.legis.iowa.gov/docs/iac/rule/701.304.7.pdf" Type="http://schemas.openxmlformats.org/officeDocument/2006/relationships/hyperlink" Id="rId71"/>
    <Relationship TargetMode="External" Target="https://www.legis.iowa.gov/docs/iac/rule/701.302.27.pdf" Type="http://schemas.openxmlformats.org/officeDocument/2006/relationships/hyperlink" Id="rId72"/>
    <Relationship TargetMode="External" Target="https://www.legis.iowa.gov/docs/ico/chapter/422.8.pdf" Type="http://schemas.openxmlformats.org/officeDocument/2006/relationships/hyperlink" Id="rId73"/>
    <Relationship TargetMode="External" Target="https://www.legis.iowa.gov/docs/ico/chapter/422.16.pdf" Type="http://schemas.openxmlformats.org/officeDocument/2006/relationships/hyperlink" Id="rId74"/>
    <Relationship TargetMode="External" Target="https://www.legis.iowa.gov/docs/ico/chapter/452A.pdf" Type="http://schemas.openxmlformats.org/officeDocument/2006/relationships/hyperlink" Id="rId75"/>
    <Relationship TargetMode="External" Target="https://www.legis.iowa.gov/docs/ico/chapter/452A.18.pdf" Type="http://schemas.openxmlformats.org/officeDocument/2006/relationships/hyperlink" Id="rId76"/>
    <Relationship TargetMode="External" Target="https://www.legis.iowa.gov/docs/ico/chapter/452A.pdf" Type="http://schemas.openxmlformats.org/officeDocument/2006/relationships/hyperlink" Id="rId77"/>
    <Relationship TargetMode="External" Target="https://www.legis.iowa.gov/docs/ico/chapter/422.110.pdf" Type="http://schemas.openxmlformats.org/officeDocument/2006/relationships/hyperlink" Id="rId78"/>
    <Relationship TargetMode="External" Target="https://www.legis.iowa.gov/docs/iac/rule/701.220.2.pdf" Type="http://schemas.openxmlformats.org/officeDocument/2006/relationships/hyperlink" Id="rId79"/>
    <Relationship TargetMode="External" Target="https://www.legis.iowa.gov/docs/ico/chapter/422.110.pdf" Type="http://schemas.openxmlformats.org/officeDocument/2006/relationships/hyperlink" Id="rId80"/>
    <Relationship TargetMode="External" Target="https://www.legis.iowa.gov/docs/ico/chapter/422.111.pdf" Type="http://schemas.openxmlformats.org/officeDocument/2006/relationships/hyperlink" Id="rId81"/>
    <Relationship TargetMode="External" Target="https://www.legis.iowa.gov/docs/ico/chapter/422.11B.pdf" Type="http://schemas.openxmlformats.org/officeDocument/2006/relationships/hyperlink" Id="rId82"/>
    <Relationship TargetMode="External" Target="https://www.legis.iowa.gov/docs/ico/chapter/422.10.pdf" Type="http://schemas.openxmlformats.org/officeDocument/2006/relationships/hyperlink" Id="rId83"/>
    <Relationship TargetMode="External" Target="https://www.legis.iowa.gov/docs/ico/chapter/542.pdf" Type="http://schemas.openxmlformats.org/officeDocument/2006/relationships/hyperlink" Id="rId84"/>
    <Relationship TargetMode="External" Target="https://www.legis.iowa.gov/docs/ico/chapter/542.3.pdf" Type="http://schemas.openxmlformats.org/officeDocument/2006/relationships/hyperlink" Id="rId85"/>
    <Relationship TargetMode="External" Target="https://www.legis.iowa.gov/docs/ico/chapter/544A.pdf" Type="http://schemas.openxmlformats.org/officeDocument/2006/relationships/hyperlink" Id="rId86"/>
    <Relationship TargetMode="External" Target="https://www.legis.iowa.gov/docs/ico/chapter/537.7101-7103.pdf" Type="http://schemas.openxmlformats.org/officeDocument/2006/relationships/hyperlink" Id="rId87"/>
    <Relationship TargetMode="External" Target="https://www.legis.iowa.gov/docs/ico/chapter/524.pdf" Type="http://schemas.openxmlformats.org/officeDocument/2006/relationships/hyperlink" Id="rId88"/>
    <Relationship TargetMode="External" Target="https://www.legis.iowa.gov/docs/ico/chapter/533.pdf" Type="http://schemas.openxmlformats.org/officeDocument/2006/relationships/hyperlink" Id="rId89"/>
    <Relationship TargetMode="External" Target="https://www.legis.iowa.gov/docs/ico/chapter/533D.pdf" Type="http://schemas.openxmlformats.org/officeDocument/2006/relationships/hyperlink" Id="rId90"/>
    <Relationship TargetMode="External" Target="https://www.legis.iowa.gov/docs/ico/chapter/543B.pdf" Type="http://schemas.openxmlformats.org/officeDocument/2006/relationships/hyperlink" Id="rId91"/>
    <Relationship TargetMode="External" Target="https://www.legis.iowa.gov/docs/ico/chapter/543B.6.pdf" Type="http://schemas.openxmlformats.org/officeDocument/2006/relationships/hyperlink" Id="rId92"/>
    <Relationship TargetMode="External" Target="https://www.legis.iowa.gov/docs/ico/chapter/422.10.pdf" Type="http://schemas.openxmlformats.org/officeDocument/2006/relationships/hyperlink" Id="rId93"/>
    <Relationship TargetMode="External" Target="https://www.legis.iowa.gov/docs/ico/chapter/422.10.pdf" Type="http://schemas.openxmlformats.org/officeDocument/2006/relationships/hyperlink" Id="rId94"/>
    <Relationship TargetMode="External" Target="https://www.legis.iowa.gov/docs/ico/chapter/422.pdf" Type="http://schemas.openxmlformats.org/officeDocument/2006/relationships/hyperlink" Id="rId95"/>
    <Relationship TargetMode="External" Target="https://www.legis.iowa.gov/docs/ico/chapter/15.335.pdf" Type="http://schemas.openxmlformats.org/officeDocument/2006/relationships/hyperlink" Id="rId96"/>
    <Relationship TargetMode="External" Target="https://www.legis.iowa.gov/docs/ico/chapter/15.335.pdf" Type="http://schemas.openxmlformats.org/officeDocument/2006/relationships/hyperlink" Id="rId97"/>
    <Relationship TargetMode="External" Target="https://www.legis.iowa.gov/docs/ico/chapter/422.10.pdf" Type="http://schemas.openxmlformats.org/officeDocument/2006/relationships/hyperlink" Id="rId98"/>
    <Relationship TargetMode="External" Target="https://www.legis.iowa.gov/docs/ico/chapter/260E.pdf" Type="http://schemas.openxmlformats.org/officeDocument/2006/relationships/hyperlink" Id="rId99"/>
    <Relationship TargetMode="External" Target="https://www.legis.iowa.gov/docs/ico/chapter/260E.pdf" Type="http://schemas.openxmlformats.org/officeDocument/2006/relationships/hyperlink" Id="rId100"/>
    <Relationship TargetMode="External" Target="https://www.legis.iowa.gov/docs/ico/chapter/260E.pdf" Type="http://schemas.openxmlformats.org/officeDocument/2006/relationships/hyperlink" Id="rId101"/>
    <Relationship TargetMode="External" Target="https://www.legis.iowa.gov/docs/ico/chapter/260E.pdf" Type="http://schemas.openxmlformats.org/officeDocument/2006/relationships/hyperlink" Id="rId102"/>
    <Relationship TargetMode="External" Target="https://www.legis.iowa.gov/docs/ico/chapter/96.1A.pdf" Type="http://schemas.openxmlformats.org/officeDocument/2006/relationships/hyperlink" Id="rId103"/>
    <Relationship TargetMode="External" Target="https://www.legis.iowa.gov/docs/ico/chapter/260E.pdf" Type="http://schemas.openxmlformats.org/officeDocument/2006/relationships/hyperlink" Id="rId104"/>
    <Relationship TargetMode="External" Target="https://www.legis.iowa.gov/docs/ico/chapter/260E.pdf" Type="http://schemas.openxmlformats.org/officeDocument/2006/relationships/hyperlink" Id="rId105"/>
    <Relationship TargetMode="External" Target="https://www.legis.iowa.gov/docs/ico/chapter/260E.pdf" Type="http://schemas.openxmlformats.org/officeDocument/2006/relationships/hyperlink" Id="rId106"/>
    <Relationship TargetMode="External" Target="https://www.legis.iowa.gov/docs/ico/chapter/260E.pdf" Type="http://schemas.openxmlformats.org/officeDocument/2006/relationships/hyperlink" Id="rId107"/>
    <Relationship TargetMode="External" Target="https://www.legis.iowa.gov/docs/ico/chapter/260E.pdf" Type="http://schemas.openxmlformats.org/officeDocument/2006/relationships/hyperlink" Id="rId108"/>
    <Relationship TargetMode="External" Target="https://www.legis.iowa.gov/docs/ico/chapter/422.12.pdf" Type="http://schemas.openxmlformats.org/officeDocument/2006/relationships/hyperlink" Id="rId109"/>
    <Relationship TargetMode="External" Target="https://www.legis.iowa.gov/docs/ico/chapter/422.12B.pdf" Type="http://schemas.openxmlformats.org/officeDocument/2006/relationships/hyperlink" Id="rId110"/>
    <Relationship TargetMode="External" Target="https://www.legis.iowa.gov/docs/ico/chapter/422.12.pdf" Type="http://schemas.openxmlformats.org/officeDocument/2006/relationships/hyperlink" Id="rId111"/>
    <Relationship TargetMode="External" Target="https://www.legis.iowa.gov/docs/ico/chapter/422.11A.pdf" Type="http://schemas.openxmlformats.org/officeDocument/2006/relationships/hyperlink" Id="rId112"/>
    <Relationship TargetMode="External" Target="https://www.legis.iowa.gov/docs/ico/chapter/422.12B.pdf" Type="http://schemas.openxmlformats.org/officeDocument/2006/relationships/hyperlink" Id="rId113"/>
    <Relationship TargetMode="External" Target="https://www.legis.iowa.gov/docs/iac/rule/701.304.29.pdf" Type="http://schemas.openxmlformats.org/officeDocument/2006/relationships/hyperlink" Id="rId114"/>
    <Relationship TargetMode="External" Target="https://www.legis.iowa.gov/docs/iac/rule/701.304.29.pdf" Type="http://schemas.openxmlformats.org/officeDocument/2006/relationships/hyperlink" Id="rId115"/>
    <Relationship TargetMode="External" Target="https://www.legis.iowa.gov/docs/iac/rule/701.304.29.pdf" Type="http://schemas.openxmlformats.org/officeDocument/2006/relationships/hyperlink" Id="rId116"/>
    <Relationship TargetMode="External" Target="https://www.legis.iowa.gov/docs/iac/rule/701.501.10.pdf" Type="http://schemas.openxmlformats.org/officeDocument/2006/relationships/hyperlink" Id="rId117"/>
    <Relationship TargetMode="External" Target="https://www.legis.iowa.gov/docs/iac/rule/261.187.5.pdf" Type="http://schemas.openxmlformats.org/officeDocument/2006/relationships/hyperlink" Id="rId118"/>
    <Relationship TargetMode="External" Target="https://www.legis.iowa.gov/docs/ico/chapter/15.333.pdf" Type="http://schemas.openxmlformats.org/officeDocument/2006/relationships/hyperlink" Id="rId119"/>
    <Relationship TargetMode="External" Target="https://www.legis.iowa.gov/docs/iac/rule/701.304.31.pdf" Type="http://schemas.openxmlformats.org/officeDocument/2006/relationships/hyperlink" Id="rId120"/>
    <Relationship TargetMode="External" Target="https://www.legis.iowa.gov/docs/iac/rule/701.42.15.pdf" Type="http://schemas.openxmlformats.org/officeDocument/2006/relationships/hyperlink" Id="rId121"/>
    <Relationship TargetMode="External" Target="https://www.legis.iowa.gov/docs/ico/chapter/422.12C.pdf" Type="http://schemas.openxmlformats.org/officeDocument/2006/relationships/hyperlink" Id="rId122"/>
    <Relationship TargetMode="External" Target="https://www.legis.iowa.gov/docs/ico/chapter/422.5.pdf" Type="http://schemas.openxmlformats.org/officeDocument/2006/relationships/hyperlink" Id="rId123"/>
    <Relationship TargetMode="External" Target="https://www.legis.iowa.gov/docs/ico/chapter/422.12.pdf" Type="http://schemas.openxmlformats.org/officeDocument/2006/relationships/hyperlink" Id="rId124"/>
    <Relationship TargetMode="External" Target="https://www.legis.iowa.gov/docs/ico/chapter/422.12B.pdf" Type="http://schemas.openxmlformats.org/officeDocument/2006/relationships/hyperlink" Id="rId125"/>
    <Relationship TargetMode="External" Target="https://www.legis.iowa.gov/docs/ico/chapter/422.5.pdf" Type="http://schemas.openxmlformats.org/officeDocument/2006/relationships/hyperlink" Id="rId126"/>
    <Relationship TargetMode="External" Target="https://www.legis.iowa.gov/docs/ico/chapter/422.12.pdf" Type="http://schemas.openxmlformats.org/officeDocument/2006/relationships/hyperlink" Id="rId127"/>
    <Relationship TargetMode="External" Target="https://www.legis.iowa.gov/docs/ico/chapter/422.12B.pdf" Type="http://schemas.openxmlformats.org/officeDocument/2006/relationships/hyperlink" Id="rId128"/>
    <Relationship TargetMode="External" Target="https://www.legis.iowa.gov/docs/ico/chapter/422.12.pdf" Type="http://schemas.openxmlformats.org/officeDocument/2006/relationships/hyperlink" Id="rId129"/>
    <Relationship TargetMode="External" Target="https://www.legis.iowa.gov/docs/ico/chapter/422.11.pdf" Type="http://schemas.openxmlformats.org/officeDocument/2006/relationships/hyperlink" Id="rId130"/>
    <Relationship TargetMode="External" Target="https://www.legis.iowa.gov/docs/iac/rule/701.304.53.pdf" Type="http://schemas.openxmlformats.org/officeDocument/2006/relationships/hyperlink" Id="rId131"/>
    <Relationship TargetMode="External" Target="https://www.legis.iowa.gov/docs/ico/chapter/15E.193B.pdf" Type="http://schemas.openxmlformats.org/officeDocument/2006/relationships/hyperlink" Id="rId132"/>
    <Relationship TargetMode="External" Target="https://www.legis.iowa.gov/docs/ico/chapter/422.12.pdf" Type="http://schemas.openxmlformats.org/officeDocument/2006/relationships/hyperlink" Id="rId133"/>
    <Relationship TargetMode="External" Target="https://www.legis.iowa.gov/docs/ico/chapter/422.12B.pdf" Type="http://schemas.openxmlformats.org/officeDocument/2006/relationships/hyperlink" Id="rId134"/>
    <Relationship TargetMode="External" Target="https://www.legis.iowa.gov/docs/ico/chapter/422.12.pdf" Type="http://schemas.openxmlformats.org/officeDocument/2006/relationships/hyperlink" Id="rId135"/>
    <Relationship TargetMode="External" Target="https://www.legis.iowa.gov/docs/ico/chapter/15E.193B.pdf" Type="http://schemas.openxmlformats.org/officeDocument/2006/relationships/hyperlink" Id="rId136"/>
    <Relationship TargetMode="External" Target="https://www.legis.iowa.gov/docs/ico/chapter/15E.193B.pdf" Type="http://schemas.openxmlformats.org/officeDocument/2006/relationships/hyperlink" Id="rId137"/>
    <Relationship TargetMode="External" Target="https://www.legis.iowa.gov/docs/iac/rule/261.187.5.pdf" Type="http://schemas.openxmlformats.org/officeDocument/2006/relationships/hyperlink" Id="rId138"/>
    <Relationship TargetMode="External" Target="https://www.legis.iowa.gov/docs/iac/rule/701.304.17.pdf" Type="http://schemas.openxmlformats.org/officeDocument/2006/relationships/hyperlink" Id="rId139"/>
    <Relationship TargetMode="External" Target="https://www.legis.iowa.gov/docs/iac/chapter/261.59.pdf" Type="http://schemas.openxmlformats.org/officeDocument/2006/relationships/hyperlink" Id="rId140"/>
    <Relationship TargetMode="External" Target="https://www.legis.iowa.gov/docs/ico/chapter/15.291.pdf" Type="http://schemas.openxmlformats.org/officeDocument/2006/relationships/hyperlink" Id="rId141"/>
    <Relationship TargetMode="External" Target="https://www.legis.iowa.gov/docs/ico/chapter/403.17.pdf" Type="http://schemas.openxmlformats.org/officeDocument/2006/relationships/hyperlink" Id="rId142"/>
    <Relationship TargetMode="External" Target="https://www.legis.iowa.gov/docs/ico/chapter/15E.193B.pdf" Type="http://schemas.openxmlformats.org/officeDocument/2006/relationships/hyperlink" Id="rId143"/>
    <Relationship TargetMode="External" Target="https://www.legis.iowa.gov/docs/ico/chapter/15.102.pdf" Type="http://schemas.openxmlformats.org/officeDocument/2006/relationships/hyperlink" Id="rId144"/>
    <Relationship TargetMode="External" Target="https://www.legis.iowa.gov/docs/ico/chapter/422.11E.pdf" Type="http://schemas.openxmlformats.org/officeDocument/2006/relationships/hyperlink" Id="rId145"/>
    <Relationship TargetMode="External" Target="https://www.legis.iowa.gov/docs/ico/chapter/404A.pdf" Type="http://schemas.openxmlformats.org/officeDocument/2006/relationships/hyperlink" Id="rId146"/>
    <Relationship TargetMode="External" Target="https://www.legis.iowa.gov/docs/iac/rule/701.304.54.pdf" Type="http://schemas.openxmlformats.org/officeDocument/2006/relationships/hyperlink" Id="rId147"/>
    <Relationship TargetMode="External" Target="https://www.legis.iowa.gov/docs/iac/chapter/223.48.pdf" Type="http://schemas.openxmlformats.org/officeDocument/2006/relationships/hyperlink" Id="rId148"/>
    <Relationship TargetMode="External" Target="https://www.legis.iowa.gov/docs/iac/chapter/223.48.pdf" Type="http://schemas.openxmlformats.org/officeDocument/2006/relationships/hyperlink" Id="rId149"/>
    <Relationship TargetMode="External" Target="https://www.legis.iowa.gov/docs/iac/chapter/223.48.pdf" Type="http://schemas.openxmlformats.org/officeDocument/2006/relationships/hyperlink" Id="rId150"/>
    <Relationship TargetMode="External" Target="https://www.legis.iowa.gov/docs/ico/chapter/404A.pdf" Type="http://schemas.openxmlformats.org/officeDocument/2006/relationships/hyperlink" Id="rId151"/>
    <Relationship TargetMode="External" Target="https://www.legis.iowa.gov/docs/ico/chapter/404A.pdf" Type="http://schemas.openxmlformats.org/officeDocument/2006/relationships/hyperlink" Id="rId152"/>
    <Relationship TargetMode="External" Target="https://www.legis.iowa.gov/docs/iac/chapter/223.48.pdf" Type="http://schemas.openxmlformats.org/officeDocument/2006/relationships/hyperlink" Id="rId153"/>
    <Relationship TargetMode="External" Target="https://www.legis.iowa.gov/docs/iac/rule/701.304.19.pdf" Type="http://schemas.openxmlformats.org/officeDocument/2006/relationships/hyperlink" Id="rId154"/>
    <Relationship TargetMode="External" Target="https://www.legis.iowa.gov/docs/iac/chapter/223.48.pdf" Type="http://schemas.openxmlformats.org/officeDocument/2006/relationships/hyperlink" Id="rId155"/>
    <Relationship TargetMode="External" Target="https://www.legis.iowa.gov/docs/iac/rule/701.304.54.pdf" Type="http://schemas.openxmlformats.org/officeDocument/2006/relationships/hyperlink" Id="rId156"/>
    <Relationship TargetMode="External" Target="https://www.legis.iowa.gov/docs/iac/rule/701.304.19.pdf" Type="http://schemas.openxmlformats.org/officeDocument/2006/relationships/hyperlink" Id="rId157"/>
    <Relationship TargetMode="External" Target="https://www.legis.iowa.gov/docs/ico/chapter/404A.pdf" Type="http://schemas.openxmlformats.org/officeDocument/2006/relationships/hyperlink" Id="rId158"/>
    <Relationship TargetMode="External" Target="https://www.legis.iowa.gov/docs/ico/chapter/422.11D.pdf" Type="http://schemas.openxmlformats.org/officeDocument/2006/relationships/hyperlink" Id="rId159"/>
    <Relationship TargetMode="External" Target="https://www.legis.iowa.gov/docs/iac/rule/701.305.3.pdf" Type="http://schemas.openxmlformats.org/officeDocument/2006/relationships/hyperlink" Id="rId160"/>
    <Relationship TargetMode="External" Target="https://www.legis.iowa.gov/docs/iac/rule/701.304.31.pdf" Type="http://schemas.openxmlformats.org/officeDocument/2006/relationships/hyperlink" Id="rId161"/>
    <Relationship TargetMode="External" Target="https://www.legis.iowa.gov/docs/ico/chapter/214A.1.pdf" Type="http://schemas.openxmlformats.org/officeDocument/2006/relationships/hyperlink" Id="rId162"/>
    <Relationship TargetMode="External" Target="https://www.legis.iowa.gov/docs/ico/chapter/214A.2.pdf" Type="http://schemas.openxmlformats.org/officeDocument/2006/relationships/hyperlink" Id="rId163"/>
    <Relationship TargetMode="External" Target="https://www.legis.iowa.gov/docs/iac/rule/701.304.37.pdf" Type="http://schemas.openxmlformats.org/officeDocument/2006/relationships/hyperlink" Id="rId164"/>
    <Relationship TargetMode="External" Target="https://www.legis.iowa.gov/docs/iac/rule/701.501.19.pdf" Type="http://schemas.openxmlformats.org/officeDocument/2006/relationships/hyperlink" Id="rId165"/>
    <Relationship TargetMode="External" Target="https://www.legis.iowa.gov/docs/ico/chapter/422.11C.pdf" Type="http://schemas.openxmlformats.org/officeDocument/2006/relationships/hyperlink" Id="rId166"/>
    <Relationship TargetMode="External" Target="https://www.legis.iowa.gov/docs/ico/chapter/15E.193C.pdf" Type="http://schemas.openxmlformats.org/officeDocument/2006/relationships/hyperlink" Id="rId167"/>
    <Relationship TargetMode="External" Target="https://www.legis.iowa.gov/docs/ico/chapter/15E.193C.pdf" Type="http://schemas.openxmlformats.org/officeDocument/2006/relationships/hyperlink" Id="rId168"/>
    <Relationship TargetMode="External" Target="https://www.legis.iowa.gov/docs/iac/rule/123.2.1.pdf" Type="http://schemas.openxmlformats.org/officeDocument/2006/relationships/hyperlink" Id="rId169"/>
    <Relationship TargetMode="External" Target="https://www.legis.iowa.gov/docs/iac/chapter/261.115.pdf" Type="http://schemas.openxmlformats.org/officeDocument/2006/relationships/hyperlink" Id="rId170"/>
    <Relationship TargetMode="External" Target="https://www.legis.iowa.gov/docs/iac/chapter/261.115.pdf" Type="http://schemas.openxmlformats.org/officeDocument/2006/relationships/hyperlink" Id="rId171"/>
    <Relationship TargetMode="External" Target="https://www.legis.iowa.gov/docs/iac/rule/701.304.22.pdf" Type="http://schemas.openxmlformats.org/officeDocument/2006/relationships/hyperlink" Id="rId172"/>
    <Relationship TargetMode="External" Target="https://www.legis.iowa.gov/docs/ico/chapter/422.pdf" Type="http://schemas.openxmlformats.org/officeDocument/2006/relationships/hyperlink" Id="rId173"/>
    <Relationship TargetMode="External" Target="https://www.legis.iowa.gov/docs/iac/rule/123.3.1.pdf" Type="http://schemas.openxmlformats.org/officeDocument/2006/relationships/hyperlink" Id="rId174"/>
    <Relationship TargetMode="External" Target="https://www.legis.iowa.gov/docs/iac/rule/123.4.1.pdf" Type="http://schemas.openxmlformats.org/officeDocument/2006/relationships/hyperlink" Id="rId175"/>
    <Relationship TargetMode="External" Target="https://www.legis.iowa.gov/docs/iac/chapter/261.116.pdf" Type="http://schemas.openxmlformats.org/officeDocument/2006/relationships/hyperlink" Id="rId176"/>
    <Relationship TargetMode="External" Target="https://www.legis.iowa.gov/docs/ico/chapter/15E.51.pdf" Type="http://schemas.openxmlformats.org/officeDocument/2006/relationships/hyperlink" Id="rId177"/>
    <Relationship TargetMode="External" Target="https://www.legis.iowa.gov/docs/ico/chapter/15E.52.pdf" Type="http://schemas.openxmlformats.org/officeDocument/2006/relationships/hyperlink" Id="rId178"/>
    <Relationship TargetMode="External" Target="https://www.legis.iowa.gov/docs/ico/chapter/15E.66.pdf" Type="http://schemas.openxmlformats.org/officeDocument/2006/relationships/hyperlink" Id="rId179"/>
    <Relationship TargetMode="External" Target="https://www.legis.iowa.gov/docs/ico/chapter/422.11F.pdf" Type="http://schemas.openxmlformats.org/officeDocument/2006/relationships/hyperlink" Id="rId180"/>
    <Relationship TargetMode="External" Target="https://www.legis.iowa.gov/docs/ico/chapter/422.11G.pdf" Type="http://schemas.openxmlformats.org/officeDocument/2006/relationships/hyperlink" Id="rId181"/>
    <Relationship TargetMode="External" Target="https://www.legis.iowa.gov/docs/ico/chapter/15E.43.pdf" Type="http://schemas.openxmlformats.org/officeDocument/2006/relationships/hyperlink" Id="rId182"/>
    <Relationship TargetMode="External" Target="https://www.legis.iowa.gov/docs/iac/rule/701.304.29.pdf" Type="http://schemas.openxmlformats.org/officeDocument/2006/relationships/hyperlink" Id="rId183"/>
    <Relationship TargetMode="External" Target="https://www.legis.iowa.gov/docs/iac/rule/701.501.7.pdf" Type="http://schemas.openxmlformats.org/officeDocument/2006/relationships/hyperlink" Id="rId184"/>
    <Relationship TargetMode="External" Target="https://www.legis.iowa.gov/docs/iac/rule/701.304.11.pdf" Type="http://schemas.openxmlformats.org/officeDocument/2006/relationships/hyperlink" Id="rId185"/>
    <Relationship TargetMode="External" Target="https://www.legis.iowa.gov/docs/ico/chapter/427A.1.pdf" Type="http://schemas.openxmlformats.org/officeDocument/2006/relationships/hyperlink" Id="rId186"/>
    <Relationship TargetMode="External" Target="https://www.legis.iowa.gov/docs/ico/chapter/501.pdf" Type="http://schemas.openxmlformats.org/officeDocument/2006/relationships/hyperlink" Id="rId187"/>
    <Relationship TargetMode="External" Target="https://www.legis.iowa.gov/docs/ico/chapter/501.pdf" Type="http://schemas.openxmlformats.org/officeDocument/2006/relationships/hyperlink" Id="rId188"/>
    <Relationship TargetMode="External" Target="https://www.legis.iowa.gov/docs/iac/rule/701.304.14.pdf" Type="http://schemas.openxmlformats.org/officeDocument/2006/relationships/hyperlink" Id="rId189"/>
    <Relationship TargetMode="External" Target="https://www.legis.iowa.gov/docs/iac/rule/701.304.14.pdf" Type="http://schemas.openxmlformats.org/officeDocument/2006/relationships/hyperlink" Id="rId190"/>
    <Relationship TargetMode="External" Target="https://www.legis.iowa.gov/docs/iac/rule/261.187.5.pdf" Type="http://schemas.openxmlformats.org/officeDocument/2006/relationships/hyperlink" Id="rId191"/>
    <Relationship TargetMode="External" Target="https://www.legis.iowa.gov/docs/ico/chapter/15.333.pdf" Type="http://schemas.openxmlformats.org/officeDocument/2006/relationships/hyperlink" Id="rId192"/>
    <Relationship TargetMode="External" Target="https://www.legis.iowa.gov/docs/ico/chapter/15.335.pdf" Type="http://schemas.openxmlformats.org/officeDocument/2006/relationships/hyperlink" Id="rId193"/>
    <Relationship TargetMode="External" Target="https://www.legis.iowa.gov/docs/ico/chapter/15.381-387.pdf" Type="http://schemas.openxmlformats.org/officeDocument/2006/relationships/hyperlink" Id="rId194"/>
    <Relationship TargetMode="External" Target="https://www.legis.iowa.gov/docs/iac/chapter/261.47.pdf" Type="http://schemas.openxmlformats.org/officeDocument/2006/relationships/hyperlink" Id="rId195"/>
    <Relationship TargetMode="External" Target="https://www.legis.iowa.gov/docs/ico/chapter/99F.11.pdf" Type="http://schemas.openxmlformats.org/officeDocument/2006/relationships/hyperlink" Id="rId196"/>
    <Relationship TargetMode="External" Target="https://www.legis.iowa.gov/docs/ico/chapter/99F.11.pdf" Type="http://schemas.openxmlformats.org/officeDocument/2006/relationships/hyperlink" Id="rId197"/>
    <Relationship TargetMode="External" Target="https://www.legis.iowa.gov/docs/ico/chapter/99F.11.pdf" Type="http://schemas.openxmlformats.org/officeDocument/2006/relationships/hyperlink" Id="rId198"/>
    <Relationship TargetMode="External" Target="https://www.legis.iowa.gov/docs/ico/chapter/15E.305.pdf" Type="http://schemas.openxmlformats.org/officeDocument/2006/relationships/hyperlink" Id="rId199"/>
    <Relationship TargetMode="External" Target="https://www.legis.iowa.gov/docs/ico/chapter/422.11H.pdf" Type="http://schemas.openxmlformats.org/officeDocument/2006/relationships/hyperlink" Id="rId200"/>
    <Relationship TargetMode="External" Target="https://www.legis.iowa.gov/docs/ico/chapter/428.20.pdf" Type="http://schemas.openxmlformats.org/officeDocument/2006/relationships/hyperlink" Id="rId201"/>
    <Relationship TargetMode="External" Target="https://www.legis.iowa.gov/docs/ico/chapter/422.11I.pdf" Type="http://schemas.openxmlformats.org/officeDocument/2006/relationships/hyperlink" Id="rId202"/>
    <Relationship TargetMode="External" Target="https://www.legis.iowa.gov/docs/ico/chapter/15G.108.pdf" Type="http://schemas.openxmlformats.org/officeDocument/2006/relationships/hyperlink" Id="rId203"/>
    <Relationship TargetMode="External" Target="https://www.legis.iowa.gov/docs/iac/rule/701.304.26.pdf" Type="http://schemas.openxmlformats.org/officeDocument/2006/relationships/hyperlink" Id="rId204"/>
    <Relationship TargetMode="External" Target="https://www.legis.iowa.gov/docs/ico/chapter/15.pdf" Type="http://schemas.openxmlformats.org/officeDocument/2006/relationships/hyperlink" Id="rId205"/>
    <Relationship TargetMode="External" Target="https://www.legis.iowa.gov/docs/iac/rule/701.304.26.pdf" Type="http://schemas.openxmlformats.org/officeDocument/2006/relationships/hyperlink" Id="rId206"/>
    <Relationship TargetMode="External" Target="https://www.legis.iowa.gov/docs/ico/chapter/15I.pdf" Type="http://schemas.openxmlformats.org/officeDocument/2006/relationships/hyperlink" Id="rId207"/>
    <Relationship TargetMode="External" Target="https://www.legis.iowa.gov/docs/ico/chapter/422.11L.pdf" Type="http://schemas.openxmlformats.org/officeDocument/2006/relationships/hyperlink" Id="rId208"/>
    <Relationship TargetMode="External" Target="https://www.legis.iowa.gov/docs/iac/rule/199.15.18.pdf" Type="http://schemas.openxmlformats.org/officeDocument/2006/relationships/hyperlink" Id="rId209"/>
    <Relationship TargetMode="External" Target="https://www.legis.iowa.gov/docs/ico/chapter/249J.3.pdf" Type="http://schemas.openxmlformats.org/officeDocument/2006/relationships/hyperlink" Id="rId210"/>
    <Relationship TargetMode="External" Target="https://www.legis.iowa.gov/docs/iac/rule/199.15.20.pdf" Type="http://schemas.openxmlformats.org/officeDocument/2006/relationships/hyperlink" Id="rId211"/>
    <Relationship TargetMode="External" Target="https://www.legis.iowa.gov/docs/iac/rule/701.304.27.pdf" Type="http://schemas.openxmlformats.org/officeDocument/2006/relationships/hyperlink" Id="rId212"/>
    <Relationship TargetMode="External" Target="https://www.legis.iowa.gov/docs/iac/rule/701.7.8.pdf" Type="http://schemas.openxmlformats.org/officeDocument/2006/relationships/hyperlink" Id="rId213"/>
    <Relationship TargetMode="External" Target="https://www.legis.iowa.gov/docs/iac/rule/701.304.27.pdf" Type="http://schemas.openxmlformats.org/officeDocument/2006/relationships/hyperlink" Id="rId214"/>
    <Relationship TargetMode="External" Target="https://www.legis.iowa.gov/docs/ico/chapter/422.11J.pdf" Type="http://schemas.openxmlformats.org/officeDocument/2006/relationships/hyperlink" Id="rId215"/>
    <Relationship TargetMode="External" Target="https://www.legis.iowa.gov/docs/ico/chapter/476B.pdf" Type="http://schemas.openxmlformats.org/officeDocument/2006/relationships/hyperlink" Id="rId216"/>
    <Relationship TargetMode="External" Target="https://www.legis.iowa.gov/docs/iac/rule/199.15.19.pdf" Type="http://schemas.openxmlformats.org/officeDocument/2006/relationships/hyperlink" Id="rId217"/>
    <Relationship TargetMode="External" Target="https://www.legis.iowa.gov/docs/ico/chapter/476C.1.pdf" Type="http://schemas.openxmlformats.org/officeDocument/2006/relationships/hyperlink" Id="rId218"/>
    <Relationship TargetMode="External" Target="https://www.legis.iowa.gov/docs/ico/chapter/476C.3.pdf" Type="http://schemas.openxmlformats.org/officeDocument/2006/relationships/hyperlink" Id="rId219"/>
    <Relationship TargetMode="External" Target="https://www.legis.iowa.gov/docs/iac/rule/199.15.21.pdf" Type="http://schemas.openxmlformats.org/officeDocument/2006/relationships/hyperlink" Id="rId220"/>
    <Relationship TargetMode="External" Target="https://www.legis.iowa.gov/docs/iac/rule/701.304.28.pdf" Type="http://schemas.openxmlformats.org/officeDocument/2006/relationships/hyperlink" Id="rId221"/>
    <Relationship TargetMode="External" Target="https://www.legis.iowa.gov/docs/iac/rule/701.304.28.pdf" Type="http://schemas.openxmlformats.org/officeDocument/2006/relationships/hyperlink" Id="rId222"/>
    <Relationship TargetMode="External" Target="https://www.legis.iowa.gov/docs/iac/rule/701.304.28.pdf" Type="http://schemas.openxmlformats.org/officeDocument/2006/relationships/hyperlink" Id="rId223"/>
    <Relationship TargetMode="External" Target="https://www.legis.iowa.gov/docs/ico/chapter/476C.pdf" Type="http://schemas.openxmlformats.org/officeDocument/2006/relationships/hyperlink" Id="rId224"/>
    <Relationship TargetMode="External" Target="https://www.legis.iowa.gov/docs/iac/rule/701.304.28.pdf" Type="http://schemas.openxmlformats.org/officeDocument/2006/relationships/hyperlink" Id="rId225"/>
    <Relationship TargetMode="External" Target="https://www.legis.iowa.gov/docs/ico/chapter/476B.pdf" Type="http://schemas.openxmlformats.org/officeDocument/2006/relationships/hyperlink" Id="rId226"/>
    <Relationship TargetMode="External" Target="https://www.legis.iowa.gov/docs/ico/chapter/476B.pdf" Type="http://schemas.openxmlformats.org/officeDocument/2006/relationships/hyperlink" Id="rId227"/>
    <Relationship TargetMode="External" Target="https://www.legis.iowa.gov/docs/iac/rule/199.15.22.pdf" Type="http://schemas.openxmlformats.org/officeDocument/2006/relationships/hyperlink" Id="rId228"/>
    <Relationship TargetMode="External" Target="https://www.legis.iowa.gov/docs/iac/rule/199.7.8.pdf" Type="http://schemas.openxmlformats.org/officeDocument/2006/relationships/hyperlink" Id="rId229"/>
    <Relationship TargetMode="External" Target="https://www.legis.iowa.gov/docs/ico/chapter/422.11J.pdf" Type="http://schemas.openxmlformats.org/officeDocument/2006/relationships/hyperlink" Id="rId230"/>
    <Relationship TargetMode="External" Target="https://www.legis.iowa.gov/docs/ico/chapter/476C.pdf" Type="http://schemas.openxmlformats.org/officeDocument/2006/relationships/hyperlink" Id="rId231"/>
    <Relationship TargetMode="External" Target="https://www.legis.iowa.gov/docs/ico/chapter/15.329.pdf" Type="http://schemas.openxmlformats.org/officeDocument/2006/relationships/hyperlink" Id="rId232"/>
    <Relationship TargetMode="External" Target="https://www.legis.iowa.gov/docs/iac/chapter/261.68.pdf" Type="http://schemas.openxmlformats.org/officeDocument/2006/relationships/hyperlink" Id="rId233"/>
    <Relationship TargetMode="External" Target="https://www.legis.iowa.gov/docs/iac/rule/701.304.42.pdf" Type="http://schemas.openxmlformats.org/officeDocument/2006/relationships/hyperlink" Id="rId234"/>
    <Relationship TargetMode="External" Target="https://www.legis.iowa.gov/docs/iac/rule/701.501.7.pdf" Type="http://schemas.openxmlformats.org/officeDocument/2006/relationships/hyperlink" Id="rId235"/>
    <Relationship TargetMode="External" Target="https://www.legis.iowa.gov/docs/iac/rule/701.304.11.pdf" Type="http://schemas.openxmlformats.org/officeDocument/2006/relationships/hyperlink" Id="rId236"/>
    <Relationship TargetMode="External" Target="https://www.legis.iowa.gov/docs/iac/rule/261.68.4.pdf" Type="http://schemas.openxmlformats.org/officeDocument/2006/relationships/hyperlink" Id="rId237"/>
    <Relationship TargetMode="External" Target="https://www.legis.iowa.gov/docs/iac/rule/261.68.4.pdf" Type="http://schemas.openxmlformats.org/officeDocument/2006/relationships/hyperlink" Id="rId238"/>
    <Relationship TargetMode="External" Target="https://www.legis.iowa.gov/docs/ico/chapter/427A.1.pdf" Type="http://schemas.openxmlformats.org/officeDocument/2006/relationships/hyperlink" Id="rId239"/>
    <Relationship TargetMode="External" Target="https://www.legis.iowa.gov/docs/ico/chapter/501.pdf" Type="http://schemas.openxmlformats.org/officeDocument/2006/relationships/hyperlink" Id="rId240"/>
    <Relationship TargetMode="External" Target="https://www.legis.iowa.gov/docs/ico/chapter/501.pdf" Type="http://schemas.openxmlformats.org/officeDocument/2006/relationships/hyperlink" Id="rId241"/>
    <Relationship TargetMode="External" Target="https://www.legis.iowa.gov/docs/iac/rule/701.304.14.pdf" Type="http://schemas.openxmlformats.org/officeDocument/2006/relationships/hyperlink" Id="rId242"/>
    <Relationship TargetMode="External" Target="https://www.legis.iowa.gov/docs/iac/rule/701.304.14.pdf" Type="http://schemas.openxmlformats.org/officeDocument/2006/relationships/hyperlink" Id="rId243"/>
    <Relationship TargetMode="External" Target="https://www.legis.iowa.gov/docs/iac/rule/261.187.5.pdf" Type="http://schemas.openxmlformats.org/officeDocument/2006/relationships/hyperlink" Id="rId244"/>
    <Relationship TargetMode="External" Target="https://www.legis.iowa.gov/docs/iac/rule/261.68.4.pdf" Type="http://schemas.openxmlformats.org/officeDocument/2006/relationships/hyperlink" Id="rId245"/>
    <Relationship TargetMode="External" Target="https://www.legis.iowa.gov/docs/iac/rule/261.68.4.pdf" Type="http://schemas.openxmlformats.org/officeDocument/2006/relationships/hyperlink" Id="rId246"/>
    <Relationship TargetMode="External" Target="https://www.legis.iowa.gov/docs/iac/rule/701.304.26.pdf" Type="http://schemas.openxmlformats.org/officeDocument/2006/relationships/hyperlink" Id="rId247"/>
    <Relationship TargetMode="External" Target="https://www.legis.iowa.gov/docs/ico/chapter/15.326-337.pdf" Type="http://schemas.openxmlformats.org/officeDocument/2006/relationships/hyperlink" Id="rId248"/>
    <Relationship TargetMode="External" Target="https://www.legis.iowa.gov/docs/iac/chapter/261.32.pdf" Type="http://schemas.openxmlformats.org/officeDocument/2006/relationships/hyperlink" Id="rId249"/>
    <Relationship TargetMode="External" Target="https://www.legis.iowa.gov/docs/ico/chapter/15E.232.pdf" Type="http://schemas.openxmlformats.org/officeDocument/2006/relationships/hyperlink" Id="rId250"/>
    <Relationship TargetMode="External" Target="https://www.legis.iowa.gov/docs/ico/chapter/422.11K.pdf" Type="http://schemas.openxmlformats.org/officeDocument/2006/relationships/hyperlink" Id="rId251"/>
    <Relationship TargetMode="External" Target="https://www.legis.iowa.gov/docs/iac/rule/701.304.15.pdf" Type="http://schemas.openxmlformats.org/officeDocument/2006/relationships/hyperlink" Id="rId252"/>
    <Relationship TargetMode="External" Target="https://www.legis.iowa.gov/docs/ico/chapter/237A.1.pdf" Type="http://schemas.openxmlformats.org/officeDocument/2006/relationships/hyperlink" Id="rId253"/>
    <Relationship TargetMode="External" Target="https://www.legis.iowa.gov/docs/ico/chapter/422.12C.pdf" Type="http://schemas.openxmlformats.org/officeDocument/2006/relationships/hyperlink" Id="rId254"/>
    <Relationship TargetMode="External" Target="https://www.legis.iowa.gov/docs/ico/chapter/256.11.pdf" Type="http://schemas.openxmlformats.org/officeDocument/2006/relationships/hyperlink" Id="rId255"/>
    <Relationship TargetMode="External" Target="https://www.legis.iowa.gov/docs/ico/chapter/216.pdf" Type="http://schemas.openxmlformats.org/officeDocument/2006/relationships/hyperlink" Id="rId256"/>
    <Relationship TargetMode="External" Target="https://www.legis.iowa.gov/docs/ico/chapter/422.11S.pdf" Type="http://schemas.openxmlformats.org/officeDocument/2006/relationships/hyperlink" Id="rId257"/>
    <Relationship TargetMode="External" Target="https://www.legis.iowa.gov/docs/ico/chapter/214A.2.pdf" Type="http://schemas.openxmlformats.org/officeDocument/2006/relationships/hyperlink" Id="rId258"/>
    <Relationship TargetMode="External" Target="https://www.legis.iowa.gov/docs/iac/rule/701.304.20.pdf" Type="http://schemas.openxmlformats.org/officeDocument/2006/relationships/hyperlink" Id="rId259"/>
    <Relationship TargetMode="External" Target="https://www.legis.iowa.gov/docs/iac/rule/701.304.39.pdf" Type="http://schemas.openxmlformats.org/officeDocument/2006/relationships/hyperlink" Id="rId260"/>
    <Relationship TargetMode="External" Target="https://www.legis.iowa.gov/docs/iac/rule/701.501.30.pdf" Type="http://schemas.openxmlformats.org/officeDocument/2006/relationships/hyperlink" Id="rId261"/>
    <Relationship TargetMode="External" Target="https://www.legis.iowa.gov/docs/ico/chapter/422.11O.pdf" Type="http://schemas.openxmlformats.org/officeDocument/2006/relationships/hyperlink" Id="rId262"/>
    <Relationship TargetMode="External" Target="https://www.legis.iowa.gov/docs/ico/chapter/214A.2.pdf" Type="http://schemas.openxmlformats.org/officeDocument/2006/relationships/hyperlink" Id="rId263"/>
    <Relationship TargetMode="External" Target="https://www.legis.iowa.gov/docs/iac/rule/701.304.34.pdf" Type="http://schemas.openxmlformats.org/officeDocument/2006/relationships/hyperlink" Id="rId264"/>
    <Relationship TargetMode="External" Target="https://www.legis.iowa.gov/docs/iac/rule/701.304.34.pdf" Type="http://schemas.openxmlformats.org/officeDocument/2006/relationships/hyperlink" Id="rId265"/>
    <Relationship TargetMode="External" Target="https://www.legis.iowa.gov/docs/iac/rule/701.304.34.pdf" Type="http://schemas.openxmlformats.org/officeDocument/2006/relationships/hyperlink" Id="rId266"/>
    <Relationship TargetMode="External" Target="https://www.legis.iowa.gov/docs/iac/rule/701.501.31.pdf" Type="http://schemas.openxmlformats.org/officeDocument/2006/relationships/hyperlink" Id="rId267"/>
    <Relationship TargetMode="External" Target="https://www.legis.iowa.gov/docs/ico/chapter/422.11P.pdf" Type="http://schemas.openxmlformats.org/officeDocument/2006/relationships/hyperlink" Id="rId268"/>
    <Relationship TargetMode="External" Target="https://www.legis.iowa.gov/docs/iac/rule/701.7.8.pdf" Type="http://schemas.openxmlformats.org/officeDocument/2006/relationships/hyperlink" Id="rId269"/>
    <Relationship TargetMode="External" Target="https://www.legis.iowa.gov/docs/ico/chapter/422.11R.pdf" Type="http://schemas.openxmlformats.org/officeDocument/2006/relationships/hyperlink" Id="rId270"/>
    <Relationship TargetMode="External" Target="https://www.legis.iowa.gov/docs/iac/chapter/265.44.pdf" Type="http://schemas.openxmlformats.org/officeDocument/2006/relationships/hyperlink" Id="rId271"/>
    <Relationship TargetMode="External" Target="https://www.legis.iowa.gov/docs/ico/chapter/16.75.pdf" Type="http://schemas.openxmlformats.org/officeDocument/2006/relationships/hyperlink" Id="rId272"/>
    <Relationship TargetMode="External" Target="https://www.legis.iowa.gov/docs/iac/chapter/265.44.pdf" Type="http://schemas.openxmlformats.org/officeDocument/2006/relationships/hyperlink" Id="rId273"/>
    <Relationship TargetMode="External" Target="https://www.legis.iowa.gov/docs/ico/chapter/16.75.pdf" Type="http://schemas.openxmlformats.org/officeDocument/2006/relationships/hyperlink" Id="rId274"/>
    <Relationship TargetMode="External" Target="https://www.legis.iowa.gov/docs/ico/chapter/422.11M.pdf" Type="http://schemas.openxmlformats.org/officeDocument/2006/relationships/hyperlink" Id="rId275"/>
    <Relationship TargetMode="External" Target="https://www.legis.iowa.gov/docs/iac/chapter/261.36.pdf" Type="http://schemas.openxmlformats.org/officeDocument/2006/relationships/hyperlink" Id="rId276"/>
    <Relationship TargetMode="External" Target="https://www.legis.iowa.gov/docs/iac/rule/261.36.7.pdf" Type="http://schemas.openxmlformats.org/officeDocument/2006/relationships/hyperlink" Id="rId277"/>
    <Relationship TargetMode="External" Target="https://www.legis.iowa.gov/docs/iac/chapter/261.36.pdf" Type="http://schemas.openxmlformats.org/officeDocument/2006/relationships/hyperlink" Id="rId278"/>
    <Relationship TargetMode="External" Target="https://www.legis.iowa.gov/docs/iac/rule/701.304.37.pdf" Type="http://schemas.openxmlformats.org/officeDocument/2006/relationships/hyperlink" Id="rId279"/>
    <Relationship TargetMode="External" Target="https://www.legis.iowa.gov/docs/iac/rule/701.304.37.pdf" Type="http://schemas.openxmlformats.org/officeDocument/2006/relationships/hyperlink" Id="rId280"/>
    <Relationship TargetMode="External" Target="https://www.legis.iowa.gov/docs/iac/rule/701.304.33.pdf" Type="http://schemas.openxmlformats.org/officeDocument/2006/relationships/hyperlink" Id="rId281"/>
    <Relationship TargetMode="External" Target="https://www.legis.iowa.gov/docs/iac/rule/701.304.46.pdf" Type="http://schemas.openxmlformats.org/officeDocument/2006/relationships/hyperlink" Id="rId282"/>
    <Relationship TargetMode="External" Target="https://www.legis.iowa.gov/docs/iac/rule/701.304.39.pdf" Type="http://schemas.openxmlformats.org/officeDocument/2006/relationships/hyperlink" Id="rId283"/>
    <Relationship TargetMode="External" Target="https://www.legis.iowa.gov/docs/iac/rule/701.304.39.pdf" Type="http://schemas.openxmlformats.org/officeDocument/2006/relationships/hyperlink" Id="rId284"/>
    <Relationship TargetMode="External" Target="https://www.legis.iowa.gov/docs/ico/chapter/422.11N.pdf" Type="http://schemas.openxmlformats.org/officeDocument/2006/relationships/hyperlink" Id="rId285"/>
    <Relationship TargetMode="External" Target="https://www.legis.iowa.gov/docs/ico/chapter/422.11W.pdf" Type="http://schemas.openxmlformats.org/officeDocument/2006/relationships/hyperlink" Id="rId286"/>
    <Relationship TargetMode="External" Target="https://www.legis.iowa.gov/docs/iac/rule/261.65.11.pdf" Type="http://schemas.openxmlformats.org/officeDocument/2006/relationships/hyperlink" Id="rId287"/>
    <Relationship TargetMode="External" Target="https://www.legis.iowa.gov/docs/iac/rule/261.65.12.pdf" Type="http://schemas.openxmlformats.org/officeDocument/2006/relationships/hyperlink" Id="rId288"/>
    <Relationship TargetMode="External" Target="https://www.legis.iowa.gov/docs/iac/chapter/261.65.pdf" Type="http://schemas.openxmlformats.org/officeDocument/2006/relationships/hyperlink" Id="rId289"/>
    <Relationship TargetMode="External" Target="https://www.legis.iowa.gov/docs/ico/chapter/15.119.pdf" Type="http://schemas.openxmlformats.org/officeDocument/2006/relationships/hyperlink" Id="rId290"/>
    <Relationship TargetMode="External" Target="https://www.legis.iowa.gov/docs/iac/rule/701.304.41.pdf" Type="http://schemas.openxmlformats.org/officeDocument/2006/relationships/hyperlink" Id="rId291"/>
    <Relationship TargetMode="External" Target="https://www.legis.iowa.gov/docs/iac/rule/261.65.2.pdf" Type="http://schemas.openxmlformats.org/officeDocument/2006/relationships/hyperlink" Id="rId292"/>
    <Relationship TargetMode="External" Target="https://www.legis.iowa.gov/docs/iac/rule/261.65.2.pdf" Type="http://schemas.openxmlformats.org/officeDocument/2006/relationships/hyperlink" Id="rId293"/>
    <Relationship TargetMode="External" Target="https://www.legis.iowa.gov/docs/iac/rule/701.304.41.pdf" Type="http://schemas.openxmlformats.org/officeDocument/2006/relationships/hyperlink" Id="rId294"/>
    <Relationship TargetMode="External" Target="https://www.legis.iowa.gov/docs/iac/rule/701.304.41.pdf" Type="http://schemas.openxmlformats.org/officeDocument/2006/relationships/hyperlink" Id="rId295"/>
    <Relationship TargetMode="External" Target="https://www.legis.iowa.gov/docs/iac/rule/261.65.11.pdf" Type="http://schemas.openxmlformats.org/officeDocument/2006/relationships/hyperlink" Id="rId296"/>
    <Relationship TargetMode="External" Target="https://www.legis.iowa.gov/docs/iac/rule/261.65.11.pdf" Type="http://schemas.openxmlformats.org/officeDocument/2006/relationships/hyperlink" Id="rId297"/>
    <Relationship TargetMode="External" Target="https://www.legis.iowa.gov/docs/ico/chapter/15.293A.pdf" Type="http://schemas.openxmlformats.org/officeDocument/2006/relationships/hyperlink" Id="rId298"/>
    <Relationship TargetMode="External" Target="https://www.legis.iowa.gov/docs/ico/chapter/422.11V.pdf" Type="http://schemas.openxmlformats.org/officeDocument/2006/relationships/hyperlink" Id="rId299"/>
    <Relationship TargetMode="External" Target="https://www.legis.iowa.gov/docs/ico/chapter/15.119.pdf" Type="http://schemas.openxmlformats.org/officeDocument/2006/relationships/hyperlink" Id="rId300"/>
    <Relationship TargetMode="External" Target="https://www.legis.iowa.gov/docs/ico/chapter/15.329.pdf" Type="http://schemas.openxmlformats.org/officeDocument/2006/relationships/hyperlink" Id="rId301"/>
    <Relationship TargetMode="External" Target="https://www.legis.iowa.gov/docs/iac/chapter/261.68.pdf" Type="http://schemas.openxmlformats.org/officeDocument/2006/relationships/hyperlink" Id="rId302"/>
    <Relationship TargetMode="External" Target="https://www.legis.iowa.gov/docs/iac/rule/701.501.7.pdf" Type="http://schemas.openxmlformats.org/officeDocument/2006/relationships/hyperlink" Id="rId303"/>
    <Relationship TargetMode="External" Target="https://www.legis.iowa.gov/docs/iac/rule/701.501.7.pdf" Type="http://schemas.openxmlformats.org/officeDocument/2006/relationships/hyperlink" Id="rId304"/>
    <Relationship TargetMode="External" Target="https://www.legis.iowa.gov/docs/iac/rule/701.501.7.pdf" Type="http://schemas.openxmlformats.org/officeDocument/2006/relationships/hyperlink" Id="rId305"/>
    <Relationship TargetMode="External" Target="https://www.legis.iowa.gov/docs/iac/rule/701.304.11.pdf" Type="http://schemas.openxmlformats.org/officeDocument/2006/relationships/hyperlink" Id="rId306"/>
    <Relationship TargetMode="External" Target="https://www.legis.iowa.gov/docs/iac/rule/261.68.4.pdf" Type="http://schemas.openxmlformats.org/officeDocument/2006/relationships/hyperlink" Id="rId307"/>
    <Relationship TargetMode="External" Target="https://www.legis.iowa.gov/docs/iac/rule/701.304.29.pdf" Type="http://schemas.openxmlformats.org/officeDocument/2006/relationships/hyperlink" Id="rId308"/>
    <Relationship TargetMode="External" Target="https://www.legis.iowa.gov/docs/iac/rule/261.187.5.pdf" Type="http://schemas.openxmlformats.org/officeDocument/2006/relationships/hyperlink" Id="rId309"/>
    <Relationship TargetMode="External" Target="https://www.legis.iowa.gov/docs/ico/chapter/15.pdf" Type="http://schemas.openxmlformats.org/officeDocument/2006/relationships/hyperlink" Id="rId310"/>
    <Relationship TargetMode="External" Target="https://www.legis.iowa.gov/docs/ico/chapter/16.211.pdf" Type="http://schemas.openxmlformats.org/officeDocument/2006/relationships/hyperlink" Id="rId311"/>
    <Relationship TargetMode="External" Target="https://www.legis.iowa.gov/docs/ico/chapter/16.212.pdf" Type="http://schemas.openxmlformats.org/officeDocument/2006/relationships/hyperlink" Id="rId312"/>
    <Relationship TargetMode="External" Target="https://www.legis.iowa.gov/docs/ico/chapter/422.11X.pdf" Type="http://schemas.openxmlformats.org/officeDocument/2006/relationships/hyperlink" Id="rId313"/>
    <Relationship TargetMode="External" Target="https://www.legis.iowa.gov/docs/ico/chapter/422.5.pdf" Type="http://schemas.openxmlformats.org/officeDocument/2006/relationships/hyperlink" Id="rId314"/>
    <Relationship TargetMode="External" Target="https://www.legis.iowa.gov/docs/ico/chapter/422.8.pdf" Type="http://schemas.openxmlformats.org/officeDocument/2006/relationships/hyperlink" Id="rId315"/>
    <Relationship TargetMode="External" Target="https://www.legis.iowa.gov/docs/ico/chapter/422.10-12C.pdf" Type="http://schemas.openxmlformats.org/officeDocument/2006/relationships/hyperlink" Id="rId316"/>
    <Relationship TargetMode="External" Target="https://www.legis.iowa.gov/docs/ico/chapter/422.12N.pdf" Type="http://schemas.openxmlformats.org/officeDocument/2006/relationships/hyperlink" Id="rId317"/>
    <Relationship TargetMode="External" Target="https://www.legis.iowa.gov/docs/ico/chapter/422.110.pdf" Type="http://schemas.openxmlformats.org/officeDocument/2006/relationships/hyperlink" Id="rId318"/>
    <Relationship TargetMode="External" Target="https://www.legis.iowa.gov/docs/ico/chapter/404A.2.pdf" Type="http://schemas.openxmlformats.org/officeDocument/2006/relationships/hyperlink" Id="rId319"/>
    <Relationship TargetMode="External" Target="https://www.legis.iowa.gov/docs/ico/chapter/404A.2.pdf" Type="http://schemas.openxmlformats.org/officeDocument/2006/relationships/hyperlink" Id="rId320"/>
    <Relationship TargetMode="External" Target="https://www.legis.iowa.gov/docs/iac/rule/701.300.18.pdf" Type="http://schemas.openxmlformats.org/officeDocument/2006/relationships/hyperlink" Id="rId321"/>
    <Relationship TargetMode="External" Target="https://www.legis.iowa.gov/docs/iac/rule/701.42.44.pdf" Type="http://schemas.openxmlformats.org/officeDocument/2006/relationships/hyperlink" Id="rId322"/>
    <Relationship TargetMode="External" Target="https://www.legis.iowa.gov/docs/ico/chapter/422.5.pdf" Type="http://schemas.openxmlformats.org/officeDocument/2006/relationships/hyperlink" Id="rId323"/>
    <Relationship TargetMode="External" Target="https://www.legis.iowa.gov/docs/ico/chapter/422.8.pdf" Type="http://schemas.openxmlformats.org/officeDocument/2006/relationships/hyperlink" Id="rId324"/>
    <Relationship TargetMode="External" Target="https://www.legis.iowa.gov/docs/ico/chapter/422.10.pdf" Type="http://schemas.openxmlformats.org/officeDocument/2006/relationships/hyperlink" Id="rId325"/>
    <Relationship TargetMode="External" Target="https://www.legis.iowa.gov/docs/ico/chapter/422.11.pdf" Type="http://schemas.openxmlformats.org/officeDocument/2006/relationships/hyperlink" Id="rId326"/>
    <Relationship TargetMode="External" Target="https://www.legis.iowa.gov/docs/ico/chapter/422.11A.pdf" Type="http://schemas.openxmlformats.org/officeDocument/2006/relationships/hyperlink" Id="rId327"/>
    <Relationship TargetMode="External" Target="https://www.legis.iowa.gov/docs/ico/chapter/422.11B.pdf" Type="http://schemas.openxmlformats.org/officeDocument/2006/relationships/hyperlink" Id="rId328"/>
    <Relationship TargetMode="External" Target="https://www.legis.iowa.gov/docs/ico/chapter/422.11D.pdf" Type="http://schemas.openxmlformats.org/officeDocument/2006/relationships/hyperlink" Id="rId329"/>
    <Relationship TargetMode="External" Target="https://www.legis.iowa.gov/docs/ico/chapter/422.11E.pdf" Type="http://schemas.openxmlformats.org/officeDocument/2006/relationships/hyperlink" Id="rId330"/>
    <Relationship TargetMode="External" Target="https://www.legis.iowa.gov/docs/ico/chapter/422.11F.pdf" Type="http://schemas.openxmlformats.org/officeDocument/2006/relationships/hyperlink" Id="rId331"/>
    <Relationship TargetMode="External" Target="https://www.legis.iowa.gov/docs/ico/chapter/422.11H.pdf" Type="http://schemas.openxmlformats.org/officeDocument/2006/relationships/hyperlink" Id="rId332"/>
    <Relationship TargetMode="External" Target="https://www.legis.iowa.gov/docs/ico/chapter/422.11I.pdf" Type="http://schemas.openxmlformats.org/officeDocument/2006/relationships/hyperlink" Id="rId333"/>
    <Relationship TargetMode="External" Target="https://www.legis.iowa.gov/docs/ico/chapter/422.11J.pdf" Type="http://schemas.openxmlformats.org/officeDocument/2006/relationships/hyperlink" Id="rId334"/>
    <Relationship TargetMode="External" Target="https://www.legis.iowa.gov/docs/ico/chapter/422.11L.pdf" Type="http://schemas.openxmlformats.org/officeDocument/2006/relationships/hyperlink" Id="rId335"/>
    <Relationship TargetMode="External" Target="https://www.legis.iowa.gov/docs/ico/chapter/422.11M.pdf" Type="http://schemas.openxmlformats.org/officeDocument/2006/relationships/hyperlink" Id="rId336"/>
    <Relationship TargetMode="External" Target="https://www.legis.iowa.gov/docs/ico/chapter/422.11N.pdf" Type="http://schemas.openxmlformats.org/officeDocument/2006/relationships/hyperlink" Id="rId337"/>
    <Relationship TargetMode="External" Target="https://www.legis.iowa.gov/docs/ico/chapter/422.11O.pdf" Type="http://schemas.openxmlformats.org/officeDocument/2006/relationships/hyperlink" Id="rId338"/>
    <Relationship TargetMode="External" Target="https://www.legis.iowa.gov/docs/ico/chapter/422.11P.pdf" Type="http://schemas.openxmlformats.org/officeDocument/2006/relationships/hyperlink" Id="rId339"/>
    <Relationship TargetMode="External" Target="https://www.legis.iowa.gov/docs/ico/chapter/422.11Q.pdf" Type="http://schemas.openxmlformats.org/officeDocument/2006/relationships/hyperlink" Id="rId340"/>
    <Relationship TargetMode="External" Target="https://www.legis.iowa.gov/docs/ico/chapter/422.11R.pdf" Type="http://schemas.openxmlformats.org/officeDocument/2006/relationships/hyperlink" Id="rId341"/>
    <Relationship TargetMode="External" Target="https://www.legis.iowa.gov/docs/ico/chapter/422.11S.pdf" Type="http://schemas.openxmlformats.org/officeDocument/2006/relationships/hyperlink" Id="rId342"/>
    <Relationship TargetMode="External" Target="https://www.legis.iowa.gov/docs/ico/chapter/422.11V.pdf" Type="http://schemas.openxmlformats.org/officeDocument/2006/relationships/hyperlink" Id="rId343"/>
    <Relationship TargetMode="External" Target="https://www.legis.iowa.gov/docs/ico/chapter/422.11W.pdf" Type="http://schemas.openxmlformats.org/officeDocument/2006/relationships/hyperlink" Id="rId344"/>
    <Relationship TargetMode="External" Target="https://www.legis.iowa.gov/docs/ico/chapter/422.11Y.pdf" Type="http://schemas.openxmlformats.org/officeDocument/2006/relationships/hyperlink" Id="rId345"/>
    <Relationship TargetMode="External" Target="https://www.legis.iowa.gov/docs/ico/chapter/422.11Z.pdf" Type="http://schemas.openxmlformats.org/officeDocument/2006/relationships/hyperlink" Id="rId346"/>
    <Relationship TargetMode="External" Target="https://www.legis.iowa.gov/docs/ico/chapter/422.12.pdf" Type="http://schemas.openxmlformats.org/officeDocument/2006/relationships/hyperlink" Id="rId347"/>
    <Relationship TargetMode="External" Target="https://www.legis.iowa.gov/docs/ico/chapter/422.12B.pdf" Type="http://schemas.openxmlformats.org/officeDocument/2006/relationships/hyperlink" Id="rId348"/>
    <Relationship TargetMode="External" Target="https://www.legis.iowa.gov/docs/ico/chapter/422.12C.pdf" Type="http://schemas.openxmlformats.org/officeDocument/2006/relationships/hyperlink" Id="rId349"/>
    <Relationship TargetMode="External" Target="https://www.legis.iowa.gov/docs/ico/chapter/422.110.pdf" Type="http://schemas.openxmlformats.org/officeDocument/2006/relationships/hyperlink" Id="rId350"/>
    <Relationship TargetMode="External" Target="https://www.legis.iowa.gov/docs/iac/chapter/261.76.pdf" Type="http://schemas.openxmlformats.org/officeDocument/2006/relationships/hyperlink" Id="rId351"/>
    <Relationship TargetMode="External" Target="https://www.legis.iowa.gov/docs/ico/chapter/15.119.pdf" Type="http://schemas.openxmlformats.org/officeDocument/2006/relationships/hyperlink" Id="rId352"/>
    <Relationship TargetMode="External" Target="https://www.legis.iowa.gov/docs/ico/chapter/214A.2.pdf" Type="http://schemas.openxmlformats.org/officeDocument/2006/relationships/hyperlink" Id="rId353"/>
    <Relationship TargetMode="External" Target="https://www.legis.iowa.gov/docs/iac/rule/701.304.39.pdf" Type="http://schemas.openxmlformats.org/officeDocument/2006/relationships/hyperlink" Id="rId354"/>
    <Relationship TargetMode="External" Target="https://www.legis.iowa.gov/docs/ico/chapter/422.11Y.pdf" Type="http://schemas.openxmlformats.org/officeDocument/2006/relationships/hyperlink" Id="rId355"/>
    <Relationship TargetMode="External" Target="https://www.legis.iowa.gov/docs/ico/chapter/422.12N.pdf" Type="http://schemas.openxmlformats.org/officeDocument/2006/relationships/hyperlink" Id="rId356"/>
    <Relationship TargetMode="External" Target="http://www.legis.iowa.gov/law/administrativeRules/agencies" Type="http://schemas.openxmlformats.org/officeDocument/2006/relationships/hyperlink" Id="rId357"/>
    <Relationship TargetMode="External" Target="https://www.legis.iowa.gov/docs/iac/rule/701.304.47.pdf" Type="http://schemas.openxmlformats.org/officeDocument/2006/relationships/hyperlink" Id="rId358"/>
    <Relationship TargetMode="External" Target="https://www.legis.iowa.gov/docs/ico/chapter/422.12N.pdf" Type="http://schemas.openxmlformats.org/officeDocument/2006/relationships/hyperlink" Id="rId359"/>
    <Relationship TargetMode="External" Target="https://www.legis.iowa.gov/docs/ico/chapter/422.11L.pdf" Type="http://schemas.openxmlformats.org/officeDocument/2006/relationships/hyperlink" Id="rId360"/>
    <Relationship TargetMode="External" Target="https://www.legis.iowa.gov/docs/ico/chapter/422.11L.pdf" Type="http://schemas.openxmlformats.org/officeDocument/2006/relationships/hyperlink" Id="rId361"/>
    <Relationship TargetMode="External" Target="https://www.legis.iowa.gov/docs/iac/rule/701.304.48.pdf" Type="http://schemas.openxmlformats.org/officeDocument/2006/relationships/hyperlink" Id="rId362"/>
    <Relationship TargetMode="External" Target="https://www.legis.iowa.gov/docs/iac/rule/701.304.48.pdf" Type="http://schemas.openxmlformats.org/officeDocument/2006/relationships/hyperlink" Id="rId363"/>
    <Relationship TargetMode="External" Target="https://www.legis.iowa.gov/docs/iac/rule/701.304.48.pdf" Type="http://schemas.openxmlformats.org/officeDocument/2006/relationships/hyperlink" Id="rId364"/>
    <Relationship TargetMode="External" Target="https://www.legis.iowa.gov/docs/iac/rule/701.304.48.pdf" Type="http://schemas.openxmlformats.org/officeDocument/2006/relationships/hyperlink" Id="rId365"/>
    <Relationship TargetMode="External" Target="https://www.legis.iowa.gov/docs/iac/rule/701.304.48.pdf" Type="http://schemas.openxmlformats.org/officeDocument/2006/relationships/hyperlink" Id="rId366"/>
    <Relationship TargetMode="External" Target="https://www.legis.iowa.gov/docs/iac/rule/701.501.44.pdf" Type="http://schemas.openxmlformats.org/officeDocument/2006/relationships/hyperlink" Id="rId367"/>
    <Relationship TargetMode="External" Target="https://www.legis.iowa.gov/docs/iac/rule/701.601.22.pdf" Type="http://schemas.openxmlformats.org/officeDocument/2006/relationships/hyperlink" Id="rId368"/>
    <Relationship TargetMode="External" Target="https://www.legis.iowa.gov/docs/ico/chapter/422.11L.pdf" Type="http://schemas.openxmlformats.org/officeDocument/2006/relationships/hyperlink" Id="rId369"/>
    <Relationship TargetMode="External" Target="https://www.legis.iowa.gov/docs/ico/chapter/422.11L.pdf" Type="http://schemas.openxmlformats.org/officeDocument/2006/relationships/hyperlink" Id="rId370"/>
    <Relationship TargetMode="External" Target="https://www.legis.iowa.gov/docs/iac/rule/701.304.48.pdf" Type="http://schemas.openxmlformats.org/officeDocument/2006/relationships/hyperlink" Id="rId371"/>
    <Relationship TargetMode="External" Target="https://www.legis.iowa.gov/docs/iac/rule/701.304.48.pdf" Type="http://schemas.openxmlformats.org/officeDocument/2006/relationships/hyperlink" Id="rId372"/>
    <Relationship TargetMode="External" Target="https://www.legis.iowa.gov/docs/ico/chapter/422.11L.pdf" Type="http://schemas.openxmlformats.org/officeDocument/2006/relationships/hyperlink" Id="rId373"/>
    <Relationship TargetMode="External" Target="https://www.legis.iowa.gov/docs/ico/chapter/422.11L.pdf" Type="http://schemas.openxmlformats.org/officeDocument/2006/relationships/hyperlink" Id="rId374"/>
    <Relationship TargetMode="External" Target="https://www.legis.iowa.gov/docs/iac/rule/701.304.48.pdf" Type="http://schemas.openxmlformats.org/officeDocument/2006/relationships/hyperlink" Id="rId375"/>
    <Relationship TargetMode="External" Target="https://www.legis.iowa.gov/docs/iac/rule/701.304.48.pdf" Type="http://schemas.openxmlformats.org/officeDocument/2006/relationships/hyperlink" Id="rId376"/>
    <Relationship TargetMode="External" Target="https://www.legis.iowa.gov/docs/iac/rule/701.304.48.pdf" Type="http://schemas.openxmlformats.org/officeDocument/2006/relationships/hyperlink" Id="rId377"/>
    <Relationship TargetMode="External" Target="https://www.legis.iowa.gov/docs/iac/rule/701.304.48.pdf" Type="http://schemas.openxmlformats.org/officeDocument/2006/relationships/hyperlink" Id="rId378"/>
    <Relationship TargetMode="External" Target="https://www.legis.iowa.gov/docs/ico/chapter/499A.pdf" Type="http://schemas.openxmlformats.org/officeDocument/2006/relationships/hyperlink" Id="rId379"/>
    <Relationship TargetMode="External" Target="https://www.legis.iowa.gov/docs/ico/chapter/499B.pdf" Type="http://schemas.openxmlformats.org/officeDocument/2006/relationships/hyperlink" Id="rId380"/>
    <Relationship TargetMode="External" Target="https://www.legis.iowa.gov/docs/ico/chapter/499A.pdf" Type="http://schemas.openxmlformats.org/officeDocument/2006/relationships/hyperlink" Id="rId381"/>
    <Relationship TargetMode="External" Target="https://www.legis.iowa.gov/docs/ico/chapter/499A.pdf" Type="http://schemas.openxmlformats.org/officeDocument/2006/relationships/hyperlink" Id="rId382"/>
    <Relationship TargetMode="External" Target="https://www.legis.iowa.gov/docs/ico/chapter/499B.pdf" Type="http://schemas.openxmlformats.org/officeDocument/2006/relationships/hyperlink" Id="rId383"/>
    <Relationship TargetMode="External" Target="https://www.legis.iowa.gov/docs/iac/rule/701.304.48.pdf" Type="http://schemas.openxmlformats.org/officeDocument/2006/relationships/hyperlink" Id="rId384"/>
    <Relationship TargetMode="External" Target="https://www.legis.iowa.gov/docs/iac/rule/701.304.48.pdf" Type="http://schemas.openxmlformats.org/officeDocument/2006/relationships/hyperlink" Id="rId385"/>
    <Relationship TargetMode="External" Target="http://www.legis.iowa.gov/law/administrativeRules/agencies" Type="http://schemas.openxmlformats.org/officeDocument/2006/relationships/hyperlink" Id="rId386"/>
    <Relationship TargetMode="External" Target="https://www.legis.iowa.gov/docs/iac/rule/701.304.28.pdf" Type="http://schemas.openxmlformats.org/officeDocument/2006/relationships/hyperlink" Id="rId387"/>
    <Relationship TargetMode="External" Target="https://www.legis.iowa.gov/docs/ico/chapter/422.11L.pdf" Type="http://schemas.openxmlformats.org/officeDocument/2006/relationships/hyperlink" Id="rId388"/>
    <Relationship TargetMode="External" Target="https://www.legis.iowa.gov/docs/ico/chapter/147A.1.pdf" Type="http://schemas.openxmlformats.org/officeDocument/2006/relationships/hyperlink" Id="rId389"/>
    <Relationship TargetMode="External" Target="https://www.legis.iowa.gov/docs/ico/chapter/147A.pdf" Type="http://schemas.openxmlformats.org/officeDocument/2006/relationships/hyperlink" Id="rId390"/>
    <Relationship TargetMode="External" Target="https://www.legis.iowa.gov/docs/ico/chapter/28E.pdf" Type="http://schemas.openxmlformats.org/officeDocument/2006/relationships/hyperlink" Id="rId391"/>
    <Relationship TargetMode="External" Target="https://www.legis.iowa.gov/docs/ico/chapter/80D.1A.pdf" Type="http://schemas.openxmlformats.org/officeDocument/2006/relationships/hyperlink" Id="rId392"/>
    <Relationship TargetMode="External" Target="https://www.legis.iowa.gov/docs/ico/chapter/80D.pdf" Type="http://schemas.openxmlformats.org/officeDocument/2006/relationships/hyperlink" Id="rId393"/>
    <Relationship TargetMode="External" Target="https://www.legis.iowa.gov/docs/ico/chapter/85.61.pdf" Type="http://schemas.openxmlformats.org/officeDocument/2006/relationships/hyperlink" Id="rId394"/>
    <Relationship TargetMode="External" Target="https://www.legis.iowa.gov/docs/ico/chapter/100B.pdf" Type="http://schemas.openxmlformats.org/officeDocument/2006/relationships/hyperlink" Id="rId395"/>
    <Relationship TargetMode="External" Target="https://www.legis.iowa.gov/docs/ico/chapter/100B.pdf" Type="http://schemas.openxmlformats.org/officeDocument/2006/relationships/hyperlink" Id="rId396"/>
    <Relationship TargetMode="External" Target="https://www.legis.iowa.gov/docs/ico/chapter/28E.pdf" Type="http://schemas.openxmlformats.org/officeDocument/2006/relationships/hyperlink" Id="rId397"/>
    <Relationship TargetMode="External" Target="https://www.legis.iowa.gov/docs/ico/chapter/422.12.pdf" Type="http://schemas.openxmlformats.org/officeDocument/2006/relationships/hyperlink" Id="rId398"/>
    <Relationship TargetMode="External" Target="https://www.legis.iowa.gov/docs/iac/rule/701.404.1.pdf" Type="http://schemas.openxmlformats.org/officeDocument/2006/relationships/hyperlink" Id="rId399"/>
    <Relationship TargetMode="External" Target="https://www.legis.iowa.gov/docs/ico/chapter/422.pdf" Type="http://schemas.openxmlformats.org/officeDocument/2006/relationships/hyperlink" Id="rId400"/>
    <Relationship TargetMode="External" Target="https://www.legis.iowa.gov/docs/iac/rule/701.304.1.pdf" Type="http://schemas.openxmlformats.org/officeDocument/2006/relationships/hyperlink" Id="rId401"/>
    <Relationship TargetMode="External" Target="https://www.legis.iowa.gov/docs/iac/rule/701.304.2.pdf" Type="http://schemas.openxmlformats.org/officeDocument/2006/relationships/hyperlink" Id="rId402"/>
    <Relationship TargetMode="External" Target="https://www.legis.iowa.gov/docs/ico/chapter/422.pdf" Type="http://schemas.openxmlformats.org/officeDocument/2006/relationships/hyperlink" Id="rId403"/>
    <Relationship TargetMode="External" Target="https://www.legis.iowa.gov/docs/ico/chapter/422.11E.pdf" Type="http://schemas.openxmlformats.org/officeDocument/2006/relationships/hyperlink" Id="rId404"/>
    <Relationship TargetMode="External" Target="https://www.legis.iowa.gov/docs/iac/rule/701.304.51.pdf" Type="http://schemas.openxmlformats.org/officeDocument/2006/relationships/hyperlink" Id="rId405"/>
    <Relationship TargetMode="External" Target="https://www.legis.iowa.gov/docs/iac/rule/701.304.51.pdf" Type="http://schemas.openxmlformats.org/officeDocument/2006/relationships/hyperlink" Id="rId406"/>
    <Relationship TargetMode="External" Target="https://www.legis.iowa.gov/docs/iac/rule/441.66.1.pdf" Type="http://schemas.openxmlformats.org/officeDocument/2006/relationships/hyperlink" Id="rId407"/>
    <Relationship TargetMode="External" Target="https://www.legis.iowa.gov/docs/iac/rule/701.304.51.pdf" Type="http://schemas.openxmlformats.org/officeDocument/2006/relationships/hyperlink" Id="rId408"/>
    <Relationship TargetMode="External" Target="https://www.legis.iowa.gov/docs/iac/rule/701.304.51.pdf" Type="http://schemas.openxmlformats.org/officeDocument/2006/relationships/hyperlink" Id="rId409"/>
    <Relationship TargetMode="External" Target="https://www.legis.iowa.gov/docs/iac/rule/701.304.51.pdf" Type="http://schemas.openxmlformats.org/officeDocument/2006/relationships/hyperlink" Id="rId410"/>
    <Relationship TargetMode="External" Target="https://www.legis.iowa.gov/docs/iac/rule/701.304.51.pdf" Type="http://schemas.openxmlformats.org/officeDocument/2006/relationships/hyperlink" Id="rId411"/>
    <Relationship TargetMode="External" Target="https://www.legis.iowa.gov/docs/iac/rule/701.304.51.pdf" Type="http://schemas.openxmlformats.org/officeDocument/2006/relationships/hyperlink" Id="rId412"/>
    <Relationship TargetMode="External" Target="https://www.legis.iowa.gov/docs/ico/chapter/190B.pdf" Type="http://schemas.openxmlformats.org/officeDocument/2006/relationships/hyperlink" Id="rId413"/>
    <Relationship TargetMode="External" Target="https://www.legis.iowa.gov/docs/ico/chapter/422.11R.pdf" Type="http://schemas.openxmlformats.org/officeDocument/2006/relationships/hyperlink" Id="rId414"/>
    <Relationship TargetMode="External" Target="https://www.legis.iowa.gov/docs/ico/chapter/600A.2.pdf" Type="http://schemas.openxmlformats.org/officeDocument/2006/relationships/hyperlink" Id="rId415"/>
    <Relationship TargetMode="External" Target="https://www.legis.iowa.gov/docs/ico/chapter/232.158.pdf" Type="http://schemas.openxmlformats.org/officeDocument/2006/relationships/hyperlink" Id="rId416"/>
    <Relationship TargetMode="External" Target="https://www.legis.iowa.gov/docs/iac/rule/701.303.5.pdf" Type="http://schemas.openxmlformats.org/officeDocument/2006/relationships/hyperlink" Id="rId417"/>
    <Relationship TargetMode="External" Target="https://www.legis.iowa.gov/docs/iac/rule/701.304.52.pdf" Type="http://schemas.openxmlformats.org/officeDocument/2006/relationships/hyperlink" Id="rId418"/>
    <Relationship TargetMode="External" Target="https://www.legis.iowa.gov/docs/iac/rule/701.304.52.pdf" Type="http://schemas.openxmlformats.org/officeDocument/2006/relationships/hyperlink" Id="rId419"/>
    <Relationship TargetMode="External" Target="https://www.legis.iowa.gov/docs/iac/rule/701.304.52.pdf" Type="http://schemas.openxmlformats.org/officeDocument/2006/relationships/hyperlink" Id="rId420"/>
    <Relationship TargetMode="External" Target="https://www.legis.iowa.gov/docs/iac/rule/701.302.20.pdf" Type="http://schemas.openxmlformats.org/officeDocument/2006/relationships/hyperlink" Id="rId421"/>
    <Relationship TargetMode="External" Target="https://www.legis.iowa.gov/docs/iac/rule/701.304.52.pdf" Type="http://schemas.openxmlformats.org/officeDocument/2006/relationships/hyperlink" Id="rId422"/>
    <Relationship TargetMode="External" Target="https://www.legis.iowa.gov/docs/ico/chapter/422.12A.pdf" Type="http://schemas.openxmlformats.org/officeDocument/2006/relationships/hyperlink" Id="rId423"/>
    <Relationship TargetMode="External" Target="https://www.legis.iowa.gov/docs/iac/chapter/261.48.pdf" Type="http://schemas.openxmlformats.org/officeDocument/2006/relationships/hyperlink" Id="rId424"/>
    <Relationship TargetMode="External" Target="https://www.legis.iowa.gov/docs/ico/chapter/15.351-356.pdf" Type="http://schemas.openxmlformats.org/officeDocument/2006/relationships/hyperlink" Id="rId425"/>
    <Relationship TargetMode="External" Target="https://www.legis.iowa.gov/docs/iac/rule/261.48.3.pdf" Type="http://schemas.openxmlformats.org/officeDocument/2006/relationships/hyperlink" Id="rId426"/>
    <Relationship TargetMode="External" Target="https://www.legis.iowa.gov/docs/iac/rule/261.48.3.pdf" Type="http://schemas.openxmlformats.org/officeDocument/2006/relationships/hyperlink" Id="rId427"/>
    <Relationship TargetMode="External" Target="https://www.legis.iowa.gov/docs/ico/chapter/15.352.pdf" Type="http://schemas.openxmlformats.org/officeDocument/2006/relationships/hyperlink" Id="rId428"/>
    <Relationship TargetMode="External" Target="https://www.legis.iowa.gov/docs/iac/rule/701.278.1.pdf" Type="http://schemas.openxmlformats.org/officeDocument/2006/relationships/hyperlink" Id="rId429"/>
    <Relationship TargetMode="External" Target="https://www.legis.iowa.gov/docs/iac/rule/701.304.53.pdf" Type="http://schemas.openxmlformats.org/officeDocument/2006/relationships/hyperlink" Id="rId430"/>
    <Relationship TargetMode="External" Target="https://www.legis.iowa.gov/docs/iac/rule/701.304.53.pdf" Type="http://schemas.openxmlformats.org/officeDocument/2006/relationships/hyperlink" Id="rId431"/>
    <Relationship TargetMode="External" Target="https://www.legis.iowa.gov/docs/iac/rule/701.304.53.pdf" Type="http://schemas.openxmlformats.org/officeDocument/2006/relationships/hyperlink" Id="rId432"/>
    <Relationship TargetMode="External" Target="https://www.legis.iowa.gov/docs/ico/chapter/15.353.pdf" Type="http://schemas.openxmlformats.org/officeDocument/2006/relationships/hyperlink" Id="rId433"/>
    <Relationship TargetMode="External" Target="https://www.legis.iowa.gov/docs/ico/chapter/15.353.pdf" Type="http://schemas.openxmlformats.org/officeDocument/2006/relationships/hyperlink" Id="rId434"/>
    <Relationship TargetMode="External" Target="https://www.legis.iowa.gov/docs/iac/rule/261.187.5.pdf" Type="http://schemas.openxmlformats.org/officeDocument/2006/relationships/hyperlink" Id="rId435"/>
    <Relationship TargetMode="External" Target="https://www.legis.iowa.gov/docs/ico/chapter/15.354.pdf" Type="http://schemas.openxmlformats.org/officeDocument/2006/relationships/hyperlink" Id="rId436"/>
    <Relationship TargetMode="External" Target="https://www.legis.iowa.gov/docs/ico/chapter/15.355.pdf" Type="http://schemas.openxmlformats.org/officeDocument/2006/relationships/hyperlink" Id="rId437"/>
    <Relationship TargetMode="External" Target="https://www.legis.iowa.gov/docs/ico/chapter/404A.pdf" Type="http://schemas.openxmlformats.org/officeDocument/2006/relationships/hyperlink" Id="rId438"/>
    <Relationship TargetMode="External" Target="https://www.legis.iowa.gov/docs/ico/chapter/404A.pdf" Type="http://schemas.openxmlformats.org/officeDocument/2006/relationships/hyperlink" Id="rId439"/>
    <Relationship TargetMode="External" Target="https://www.legis.iowa.gov/docs/iac/rule/701.304.19.pdf" Type="http://schemas.openxmlformats.org/officeDocument/2006/relationships/hyperlink" Id="rId440"/>
    <Relationship TargetMode="External" Target="https://www.legis.iowa.gov/docs/iac/chapter/223.48.pdf" Type="http://schemas.openxmlformats.org/officeDocument/2006/relationships/hyperlink" Id="rId441"/>
    <Relationship TargetMode="External" Target="https://www.legis.iowa.gov/docs/iac/rule/701.304.55.pdf" Type="http://schemas.openxmlformats.org/officeDocument/2006/relationships/hyperlink" Id="rId442"/>
    <Relationship TargetMode="External" Target="https://www.legis.iowa.gov/docs/iac/chapter/261.49.pdf" Type="http://schemas.openxmlformats.org/officeDocument/2006/relationships/hyperlink" Id="rId443"/>
    <Relationship TargetMode="External" Target="https://www.legis.iowa.gov/docs/iac/chapter/223.48.pdf" Type="http://schemas.openxmlformats.org/officeDocument/2006/relationships/hyperlink" Id="rId444"/>
    <Relationship TargetMode="External" Target="https://www.legis.iowa.gov/docs/ico/chapter/404A.pdf" Type="http://schemas.openxmlformats.org/officeDocument/2006/relationships/hyperlink" Id="rId445"/>
    <Relationship TargetMode="External" Target="https://www.legis.iowa.gov/docs/ico/chapter/404A.pdf" Type="http://schemas.openxmlformats.org/officeDocument/2006/relationships/hyperlink" Id="rId446"/>
    <Relationship TargetMode="External" Target="https://www.legis.iowa.gov/docs/iac/chapter/223.48.pdf" Type="http://schemas.openxmlformats.org/officeDocument/2006/relationships/hyperlink" Id="rId447"/>
    <Relationship TargetMode="External" Target="https://www.legis.iowa.gov/docs/iac/rule/701.304.19.pdf" Type="http://schemas.openxmlformats.org/officeDocument/2006/relationships/hyperlink" Id="rId448"/>
    <Relationship TargetMode="External" Target="https://www.legis.iowa.gov/docs/iac/chapter/223.48.pdf" Type="http://schemas.openxmlformats.org/officeDocument/2006/relationships/hyperlink" Id="rId449"/>
    <Relationship TargetMode="External" Target="https://www.legis.iowa.gov/docs/ico/chapter/404A.pdf" Type="http://schemas.openxmlformats.org/officeDocument/2006/relationships/hyperlink" Id="rId450"/>
    <Relationship TargetMode="External" Target="https://www.legis.iowa.gov/docs/iac/chapter/261.49.pdf" Type="http://schemas.openxmlformats.org/officeDocument/2006/relationships/hyperlink" Id="rId451"/>
    <Relationship TargetMode="External" Target="https://www.legis.iowa.gov/docs/iac/rule/701.304.55.pdf" Type="http://schemas.openxmlformats.org/officeDocument/2006/relationships/hyperlink" Id="rId452"/>
    <Relationship TargetMode="External" Target="https://www.legis.iowa.gov/docs/iac/rule/223.48.22.pdf" Type="http://schemas.openxmlformats.org/officeDocument/2006/relationships/hyperlink" Id="rId453"/>
    <Relationship TargetMode="External" Target="https://www.legis.iowa.gov/docs/ico/chapter/404A.1.pdf" Type="http://schemas.openxmlformats.org/officeDocument/2006/relationships/hyperlink" Id="rId454"/>
    <Relationship TargetMode="External" Target="https://www.legis.iowa.gov/docs/ico/chapter/404A.1.pdf" Type="http://schemas.openxmlformats.org/officeDocument/2006/relationships/hyperlink" Id="rId455"/>
    <Relationship TargetMode="External" Target="https://www.legis.iowa.gov/docs/ico/chapter/404A.1.pdf" Type="http://schemas.openxmlformats.org/officeDocument/2006/relationships/hyperlink" Id="rId456"/>
    <Relationship TargetMode="External" Target="https://www.legis.iowa.gov/docs/iac/rule/223.48.22.pdf" Type="http://schemas.openxmlformats.org/officeDocument/2006/relationships/hyperlink" Id="rId457"/>
    <Relationship TargetMode="External" Target="https://www.legis.iowa.gov/docs/iac/rule/701.304.54.pdf" Type="http://schemas.openxmlformats.org/officeDocument/2006/relationships/hyperlink" Id="rId458"/>
    <Relationship TargetMode="External" Target="https://www.legis.iowa.gov/docs/iac/rule/701.304.54.pdf" Type="http://schemas.openxmlformats.org/officeDocument/2006/relationships/hyperlink" Id="rId459"/>
    <Relationship TargetMode="External" Target="https://www.legis.iowa.gov/docs/iac/rule/701.304.54.pdf" Type="http://schemas.openxmlformats.org/officeDocument/2006/relationships/hyperlink" Id="rId460"/>
    <Relationship TargetMode="External" Target="https://www.legis.iowa.gov/docs/ico/chapter/422.25.pdf" Type="http://schemas.openxmlformats.org/officeDocument/2006/relationships/hyperlink" Id="rId461"/>
    <Relationship TargetMode="External" Target="https://www.legis.iowa.gov/docs/iac/chapter/223.48.pdf" Type="http://schemas.openxmlformats.org/officeDocument/2006/relationships/hyperlink" Id="rId462"/>
    <Relationship TargetMode="External" Target="https://www.legis.iowa.gov/docs/iac/rule/701.304.54.pdf" Type="http://schemas.openxmlformats.org/officeDocument/2006/relationships/hyperlink" Id="rId463"/>
    <Relationship TargetMode="External" Target="https://www.legis.iowa.gov/docs/iac/rule/701.304.54.pdf" Type="http://schemas.openxmlformats.org/officeDocument/2006/relationships/hyperlink" Id="rId464"/>
    <Relationship TargetMode="External" Target="https://www.legis.iowa.gov/docs/iac/rule/701.304.54.pdf" Type="http://schemas.openxmlformats.org/officeDocument/2006/relationships/hyperlink" Id="rId465"/>
    <Relationship TargetMode="External" Target="https://www.legis.iowa.gov/docs/ico/chapter/422.pdf" Type="http://schemas.openxmlformats.org/officeDocument/2006/relationships/hyperlink" Id="rId466"/>
    <Relationship TargetMode="External" Target="https://www.legis.iowa.gov/docs/ico/chapter/432.pdf" Type="http://schemas.openxmlformats.org/officeDocument/2006/relationships/hyperlink" Id="rId467"/>
    <Relationship TargetMode="External" Target="https://www.legis.iowa.gov/docs/iac/rule/701.304.54.pdf" Type="http://schemas.openxmlformats.org/officeDocument/2006/relationships/hyperlink" Id="rId468"/>
    <Relationship TargetMode="External" Target="https://www.legis.iowa.gov/docs/iac/chapter/701.7.pdf" Type="http://schemas.openxmlformats.org/officeDocument/2006/relationships/hyperlink" Id="rId469"/>
    <Relationship TargetMode="External" Target="https://www.legis.iowa.gov/docs/ico/chapter/404A.pdf" Type="http://schemas.openxmlformats.org/officeDocument/2006/relationships/hyperlink" Id="rId470"/>
    <Relationship TargetMode="External" Target="https://www.legis.iowa.gov/docs/ico/chapter/422.11D.pdf" Type="http://schemas.openxmlformats.org/officeDocument/2006/relationships/hyperlink" Id="rId471"/>
    <Relationship TargetMode="External" Target="https://www.legis.iowa.gov/docs/ico/chapter/404A.pdf" Type="http://schemas.openxmlformats.org/officeDocument/2006/relationships/hyperlink" Id="rId472"/>
    <Relationship TargetMode="External" Target="https://www.legis.iowa.gov/docs/ico/chapter/404A.pdf" Type="http://schemas.openxmlformats.org/officeDocument/2006/relationships/hyperlink" Id="rId473"/>
    <Relationship TargetMode="External" Target="https://www.legis.iowa.gov/docs/iac/chapter/261.49.pdf" Type="http://schemas.openxmlformats.org/officeDocument/2006/relationships/hyperlink" Id="rId474"/>
    <Relationship TargetMode="External" Target="https://www.legis.iowa.gov/docs/iac/chapter/223.48.pdf" Type="http://schemas.openxmlformats.org/officeDocument/2006/relationships/hyperlink" Id="rId475"/>
    <Relationship TargetMode="External" Target="https://www.legis.iowa.gov/docs/iac/rule/701.304.54.pdf" Type="http://schemas.openxmlformats.org/officeDocument/2006/relationships/hyperlink" Id="rId476"/>
    <Relationship TargetMode="External" Target="https://www.legis.iowa.gov/docs/iac/rule/701.304.19.pdf" Type="http://schemas.openxmlformats.org/officeDocument/2006/relationships/hyperlink" Id="rId477"/>
    <Relationship TargetMode="External" Target="https://www.legis.iowa.gov/docs/iac/chapter/261.49.pdf" Type="http://schemas.openxmlformats.org/officeDocument/2006/relationships/hyperlink" Id="rId478"/>
    <Relationship TargetMode="External" Target="https://www.legis.iowa.gov/docs/iac/chapter/261.49.pdf" Type="http://schemas.openxmlformats.org/officeDocument/2006/relationships/hyperlink" Id="rId479"/>
    <Relationship TargetMode="External" Target="https://www.legis.iowa.gov/docs/ico/chapter/404A.1.pdf" Type="http://schemas.openxmlformats.org/officeDocument/2006/relationships/hyperlink" Id="rId480"/>
    <Relationship TargetMode="External" Target="https://www.legis.iowa.gov/docs/iac/rule/261.49.5.pdf" Type="http://schemas.openxmlformats.org/officeDocument/2006/relationships/hyperlink" Id="rId481"/>
    <Relationship TargetMode="External" Target="https://www.legis.iowa.gov/docs/iac/chapter/261.49.pdf" Type="http://schemas.openxmlformats.org/officeDocument/2006/relationships/hyperlink" Id="rId482"/>
    <Relationship TargetMode="External" Target="https://www.legis.iowa.gov/docs/iac/rule/701.304.55.pdf" Type="http://schemas.openxmlformats.org/officeDocument/2006/relationships/hyperlink" Id="rId483"/>
    <Relationship TargetMode="External" Target="https://www.legis.iowa.gov/docs/iac/rule/701.304.55.pdf" Type="http://schemas.openxmlformats.org/officeDocument/2006/relationships/hyperlink" Id="rId484"/>
    <Relationship TargetMode="External" Target="https://www.legis.iowa.gov/docs/iac/rule/701.304.55.pdf" Type="http://schemas.openxmlformats.org/officeDocument/2006/relationships/hyperlink" Id="rId485"/>
    <Relationship TargetMode="External" Target="https://www.legis.iowa.gov/docs/ico/chapter/422.25.pdf" Type="http://schemas.openxmlformats.org/officeDocument/2006/relationships/hyperlink" Id="rId486"/>
    <Relationship TargetMode="External" Target="https://www.legis.iowa.gov/docs/iac/rule/261.49.15.pdf" Type="http://schemas.openxmlformats.org/officeDocument/2006/relationships/hyperlink" Id="rId487"/>
    <Relationship TargetMode="External" Target="https://www.legis.iowa.gov/docs/iac/rule/701.304.55.pdf" Type="http://schemas.openxmlformats.org/officeDocument/2006/relationships/hyperlink" Id="rId488"/>
    <Relationship TargetMode="External" Target="https://www.legis.iowa.gov/docs/iac/rule/701.304.55.pdf" Type="http://schemas.openxmlformats.org/officeDocument/2006/relationships/hyperlink" Id="rId489"/>
    <Relationship TargetMode="External" Target="https://www.legis.iowa.gov/docs/iac/rule/701.304.55.pdf" Type="http://schemas.openxmlformats.org/officeDocument/2006/relationships/hyperlink" Id="rId490"/>
    <Relationship TargetMode="External" Target="https://www.legis.iowa.gov/docs/ico/chapter/422.pdf" Type="http://schemas.openxmlformats.org/officeDocument/2006/relationships/hyperlink" Id="rId491"/>
    <Relationship TargetMode="External" Target="https://www.legis.iowa.gov/docs/ico/chapter/432.pdf" Type="http://schemas.openxmlformats.org/officeDocument/2006/relationships/hyperlink" Id="rId492"/>
    <Relationship TargetMode="External" Target="https://www.legis.iowa.gov/docs/iac/rule/701.304.55.pdf" Type="http://schemas.openxmlformats.org/officeDocument/2006/relationships/hyperlink" Id="rId493"/>
    <Relationship TargetMode="External" Target="https://www.legis.iowa.gov/docs/iac/chapter/701.7.pdf" Type="http://schemas.openxmlformats.org/officeDocument/2006/relationships/hyperlink" Id="rId494"/>
    <Relationship TargetMode="External" Target="https://www.legis.iowa.gov/docs/ico/chapter/404A.pdf" Type="http://schemas.openxmlformats.org/officeDocument/2006/relationships/hyperlink" Id="rId495"/>
    <Relationship TargetMode="External" Target="https://www.legis.iowa.gov/docs/ico/chapter/422.11D.pdf" Type="http://schemas.openxmlformats.org/officeDocument/2006/relationships/hyperlink" Id="rId496"/>
    <Relationship TargetMode="External" Target="https://www.legis.iowa.gov/docs/ico/chapter/15.315-322.pdf" Type="http://schemas.openxmlformats.org/officeDocument/2006/relationships/hyperlink" Id="rId497"/>
    <Relationship TargetMode="External" Target="https://www.legis.iowa.gov/docs/iac/chapter/261.81.pdf" Type="http://schemas.openxmlformats.org/officeDocument/2006/relationships/hyperlink" Id="rId498"/>
    <Relationship TargetMode="External" Target="https://www.legis.iowa.gov/docs/iac/chapter/261.81.pdf" Type="http://schemas.openxmlformats.org/officeDocument/2006/relationships/hyperlink" Id="rId499"/>
    <Relationship TargetMode="External" Target="https://www.legis.iowa.gov/docs/iac/chapter/261.81.pdf" Type="http://schemas.openxmlformats.org/officeDocument/2006/relationships/hyperlink" Id="rId500"/>
    <Relationship TargetMode="External" Target="https://www.legis.iowa.gov/docs/iac/chapter/261.81.pdf" Type="http://schemas.openxmlformats.org/officeDocument/2006/relationships/hyperlink" Id="rId501"/>
    <Relationship TargetMode="External" Target="https://www.legis.iowa.gov/docs/ico/chapter/501.pdf" Type="http://schemas.openxmlformats.org/officeDocument/2006/relationships/hyperlink" Id="rId502"/>
    <Relationship TargetMode="External" Target="https://www.legis.iowa.gov/docs/iac/chapter/261.81.pdf" Type="http://schemas.openxmlformats.org/officeDocument/2006/relationships/hyperlink" Id="rId503"/>
    <Relationship TargetMode="External" Target="https://www.legis.iowa.gov/docs/ico/chapter/15.330.pdf" Type="http://schemas.openxmlformats.org/officeDocument/2006/relationships/hyperlink" Id="rId504"/>
    <Relationship TargetMode="External" Target="https://www.legis.iowa.gov/docs/ico/chapter/422.10B.pdf" Type="http://schemas.openxmlformats.org/officeDocument/2006/relationships/hyperlink" Id="rId505"/>
    <Relationship TargetMode="External" Target="https://www.legis.iowa.gov/docs/iac/chapter/261.43.pdf" Type="http://schemas.openxmlformats.org/officeDocument/2006/relationships/hyperlink" Id="rId506"/>
    <Relationship TargetMode="External" Target="https://www.legis.iowa.gov/docs/iac/rule/261.43.5.pdf" Type="http://schemas.openxmlformats.org/officeDocument/2006/relationships/hyperlink" Id="rId507"/>
    <Relationship TargetMode="External" Target="https://www.legis.iowa.gov/docs/ico/chapter/422.11T.pdf" Type="http://schemas.openxmlformats.org/officeDocument/2006/relationships/hyperlink" Id="rId508"/>
    <Relationship TargetMode="External" Target="https://www.legis.iowa.gov/docs/ico/chapter/237A.31.pdf" Type="http://schemas.openxmlformats.org/officeDocument/2006/relationships/hyperlink" Id="rId509"/>
    <Relationship TargetMode="External" Target="https://www.legis.iowa.gov/docs/iac/chapter/261.57.pdf" Type="http://schemas.openxmlformats.org/officeDocument/2006/relationships/hyperlink" Id="rId510"/>
    <Relationship TargetMode="External" Target="https://www.legis.iowa.gov/docs/iac/chapter/261.57.pdf" Type="http://schemas.openxmlformats.org/officeDocument/2006/relationships/hyperlink" Id="rId511"/>
    <Relationship TargetMode="External" Target="https://www.legis.iowa.gov/docs/ico/chapter/237A.31.pdf" Type="http://schemas.openxmlformats.org/officeDocument/2006/relationships/hyperlink" Id="rId512"/>
    <Relationship TargetMode="External" Target="https://www.legis.iowa.gov/docs/ico/chapter/237A.31.pdf" Type="http://schemas.openxmlformats.org/officeDocument/2006/relationships/hyperlink" Id="rId5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