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262</w:t>
      </w:r>
    </w:p>
    <w:p>
      <w:pPr>
        <w:spacing w:before="0" w:after="0"/>
        <w:ind w:left="120"/>
        <w:jc w:val="center"/>
      </w:pPr>
      <w:r>
        <w:rPr>
          <w:rFonts w:ascii="Times New Roman" w:hAnsi="Times New Roman"/>
          <w:b w:val="false"/>
          <w:i w:val="false"/>
          <w:color w:val="000000"/>
          <w:sz w:val="21"/>
        </w:rPr>
        <w:t>ELECTRIC FUEL EXCISE TAX</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7/1/28</w:t>
      </w:r>
    </w:p>
    <w:p>
      <w:pPr>
        <w:spacing w:before="0" w:after="0"/>
        <w:ind w:left="120"/>
        <w:jc w:val="both"/>
      </w:pPr>
      <w:r>
        <w:rPr>
          <w:rFonts w:ascii="Times New Roman" w:hAnsi="Times New Roman"/>
          <w:b/>
          <w:i w:val="false"/>
          <w:color w:val="000000"/>
          <w:sz w:val="22"/>
        </w:rPr>
        <w:t>701—262.1</w:t>
      </w:r>
      <w:r>
        <w:rPr>
          <w:rFonts w:ascii="Times New Roman" w:hAnsi="Times New Roman"/>
          <w:b/>
          <w:i w:val="false"/>
          <w:color w:val="000000"/>
          <w:sz w:val="22"/>
        </w:rPr>
        <w:t xml:space="preserve">(452A) </w:t>
      </w:r>
      <w:r>
        <w:rPr>
          <w:rFonts w:ascii="Times New Roman" w:hAnsi="Times New Roman"/>
          <w:b/>
          <w:i w:val="false"/>
          <w:color w:val="000000"/>
          <w:sz w:val="22"/>
        </w:rPr>
        <w:t xml:space="preserve">Tax imposed. </w:t>
      </w:r>
      <w:r>
        <w:rPr>
          <w:rFonts w:ascii="Times New Roman" w:hAnsi="Times New Roman"/>
          <w:b w:val="false"/>
          <w:i w:val="false"/>
          <w:color w:val="000000"/>
          <w:sz w:val="22"/>
        </w:rPr>
        <w:t>Electric fuel excise tax must be remitted to the department by a licensed electric fuel dealer or licensed electric fuel user regardless of whether the licensed electric fuel dealer or licensed electric fuel user sells the fuel or gives the fuel to customers for no charge. This tax shall be calculated based on the kilowatt-hours of electric fuel delivered.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452A.41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7019C</w:t>
      </w:r>
      <w:r>
        <w:rPr>
          <w:rFonts w:ascii="Times New Roman" w:hAnsi="Times New Roman"/>
          <w:b w:val="false"/>
          <w:i w:val="false"/>
          <w:color w:val="000000"/>
          <w:sz w:val="16"/>
        </w:rPr>
        <w:t>, IAB 5/17/23, effective 7/1/23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701—262.2</w:t>
      </w:r>
      <w:r>
        <w:rPr>
          <w:rFonts w:ascii="Times New Roman" w:hAnsi="Times New Roman"/>
          <w:b/>
          <w:i w:val="false"/>
          <w:color w:val="000000"/>
          <w:sz w:val="22"/>
        </w:rPr>
        <w:t xml:space="preserve">(452A) </w:t>
      </w:r>
      <w:r>
        <w:rPr>
          <w:rFonts w:ascii="Times New Roman" w:hAnsi="Times New Roman"/>
          <w:b/>
          <w:i w:val="false"/>
          <w:color w:val="000000"/>
          <w:sz w:val="22"/>
        </w:rPr>
        <w:t xml:space="preserve">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262.2(1)</w:t>
      </w:r>
      <w:r>
        <w:rPr>
          <w:rFonts w:ascii="Times New Roman" w:hAnsi="Times New Roman"/>
          <w:b w:val="false"/>
          <w:i w:val="false"/>
          <w:color w:val="000000"/>
          <w:sz w:val="22"/>
        </w:rPr>
        <w:t> </w:t>
      </w:r>
      <w:r>
        <w:rPr>
          <w:rFonts w:ascii="Times New Roman" w:hAnsi="Times New Roman"/>
          <w:b w:val="false"/>
          <w:i/>
          <w:color w:val="000000"/>
          <w:sz w:val="22"/>
        </w:rPr>
        <w:t xml:space="preserve">License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A person shall not sell or dispense electric fuel within this state at a location other than a residence or otherwise act as a licensed electric fuel dealer or user without a license. The holder of an electric fuel user’s license is authorized to dispense electric fuel, measured in kilowatt-hours, into the batteries or other energy storage devices of electric motor vehicles owned or controlled by the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 license required for residential charging. </w:t>
      </w:r>
      <w:r>
        <w:rPr>
          <w:rFonts w:ascii="Times New Roman" w:hAnsi="Times New Roman"/>
          <w:b w:val="false"/>
          <w:i w:val="false"/>
          <w:color w:val="000000"/>
          <w:sz w:val="22"/>
        </w:rPr>
        <w:t xml:space="preserve">A person may dispense electric fuel at a residence without a license. “Residence” is defined in Iowa Code section </w:t>
      </w:r>
      <w:hyperlink r:id="rId6">
        <w:r>
          <w:rPr>
            <w:rStyle w:val="Hyperlink"/>
            <w:rFonts w:ascii="Times New Roman" w:hAnsi="Times New Roman"/>
            <w:b w:val="false"/>
            <w:i w:val="false"/>
            <w:color w:val="000000"/>
            <w:sz w:val="22"/>
          </w:rPr>
          <w:t>452A.40</w:t>
        </w:r>
      </w:hyperlink>
      <w:r>
        <w:rPr>
          <w:rFonts w:ascii="Times New Roman" w:hAnsi="Times New Roman"/>
          <w:b w:val="false"/>
          <w:i w:val="false"/>
          <w:color w:val="000000"/>
          <w:sz w:val="22"/>
        </w:rPr>
        <w:t>. For purposes of this rule, “residence” includes apartment buildings or other multiresidential facilities and houses regardless of whether the owner lives in the house. “Residence” does not include hotels, including extended-stay hotels, motels, or other facilities rented to transient guests.</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Hotel A owns and operates an electric fuel charging station in its parking lot and offers electric fuel to its guests at no charge. Hotel A also owns an electric vehicle it uses as a shuttle for its guests and charges the vehicle at its charging station. Hotel A must obtain an electric fuel dealer’s license because it dispenses fuel to customers as well as an electric fuel user’s license because it charges its own vehicle at its charging station.</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Hotel B hosts an electric fuel charging station in its parking lot and offers electric fuel to its guests for a fee. Hotel B owns an electric vehicle it uses as a shuttle for its guests and charges the vehicle at the charging station in its parking lot. The charging station in Hotel B’s parking lot is owned by Station Retailer C. Station Retailer C must obtain an electric fuel dealer’s license. Hotel B does not need to obtain an electric fuel license. </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Homeowner D lists Homeowner D’s house on a short-term home rental online platform. Homeowner D has an electric fuel charging station installed in the garage attached to the house. Guest E agrees to rent Homeowner D’s house for a week. Guest E charges an electric vehicle using Homeowner D’s charging station. Homeowner D does not need to obtain an electric fuel license. </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Person F owns ten houses. Person F only resides in one of the houses and uses the other nine as rental properties. Person F does not need to obtain an electric fuel dealer license for any of the ten houses Person F owns. </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Person G operates a motor carrier business as a sole proprietor. Person G owns an electric vehicle and uses the electric vehicle for the business. Person G operates the business from a residence and charges the electric vehicle at Person G’s residence. Because Person G charges the electric vehicle at a residence, Person G does not need to obtain an electric fuel user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 license required for entities only dispensing nontaxable electric fuel. </w:t>
      </w:r>
      <w:r>
        <w:rPr>
          <w:rFonts w:ascii="Times New Roman" w:hAnsi="Times New Roman"/>
          <w:b w:val="false"/>
          <w:i w:val="false"/>
          <w:color w:val="000000"/>
          <w:sz w:val="22"/>
        </w:rPr>
        <w:t>A person that only sells or dispenses electric fuel for which an exemption or refund may be claimed is not required to obtain a license to dispense such fuel.</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Utility A is a municipal utility, wholly controlled by a municipality in Iowa. Utility A owns electric vehicle charging stations and only charges its own fleet of vehicles or other municipally owned vehicles at the charging stations. Utility A does not need an electric fuel user license since such sale or dispensing of electric fuel is not subject to tax pursuant to Iowa Code section </w:t>
      </w:r>
      <w:hyperlink r:id="rId7">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(1)</w:t>
      </w:r>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Utility B is a municipal utility, wholly controlled by a municipality in Iowa. Utility B owns electric vehicle charging stations where it charges its own fleet of vehicles. Utility B also allows individuals or private businesses to charge electric vehicles at its charging stations. Because Utility B is selling or dispensing fuel for nonpublic purposes when individuals or private businesses use its charging stations, Utility B must obtain an electric fuel dealer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262.2(2)</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applications. </w:t>
      </w:r>
      <w:r>
        <w:rPr>
          <w:rFonts w:ascii="Times New Roman" w:hAnsi="Times New Roman"/>
          <w:b w:val="false"/>
          <w:i w:val="false"/>
          <w:color w:val="000000"/>
          <w:sz w:val="22"/>
        </w:rPr>
        <w:t xml:space="preserve">Applications for a license must be filed electronically via GovConnectIowa and must be complete with all information required under Iowa Code section </w:t>
      </w:r>
      <w:hyperlink r:id="rId8">
        <w:r>
          <w:rPr>
            <w:rStyle w:val="Hyperlink"/>
            <w:rFonts w:ascii="Times New Roman" w:hAnsi="Times New Roman"/>
            <w:b w:val="false"/>
            <w:i w:val="false"/>
            <w:color w:val="000000"/>
            <w:sz w:val="22"/>
          </w:rPr>
          <w:t>452A.42(2)</w:t>
        </w:r>
      </w:hyperlink>
      <w:r>
        <w:rPr>
          <w:rFonts w:ascii="Times New Roman" w:hAnsi="Times New Roman"/>
          <w:b w:val="false"/>
          <w:i w:val="false"/>
          <w:color w:val="000000"/>
          <w:sz w:val="22"/>
        </w:rPr>
        <w:t>. Applications must indicate the date on which the applicant began or plans to begin selling or dispensing electric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262.2(3)</w:t>
      </w:r>
      <w:r>
        <w:rPr>
          <w:rFonts w:ascii="Times New Roman" w:hAnsi="Times New Roman"/>
          <w:b w:val="false"/>
          <w:i w:val="false"/>
          <w:color w:val="000000"/>
          <w:sz w:val="22"/>
        </w:rPr>
        <w:t> </w:t>
      </w:r>
      <w:r>
        <w:rPr>
          <w:rFonts w:ascii="Times New Roman" w:hAnsi="Times New Roman"/>
          <w:b w:val="false"/>
          <w:i/>
          <w:color w:val="000000"/>
          <w:sz w:val="22"/>
        </w:rPr>
        <w:t xml:space="preserve">Electric fuel users. </w:t>
      </w:r>
      <w:r>
        <w:rPr>
          <w:rFonts w:ascii="Times New Roman" w:hAnsi="Times New Roman"/>
          <w:b w:val="false"/>
          <w:i w:val="false"/>
          <w:color w:val="000000"/>
          <w:sz w:val="22"/>
        </w:rPr>
        <w:t xml:space="preserve">An electric fuel user’s license does not grant authority to the holder of the license to sell or dispense electric fuel to consumers. A person wishing to sell or dispense fuel for vehicles the person owns or controls as well as to a consumer shall obtain both an electric fuel user’s license and an electric fuel dealer’s license for each location from which electric fuel will be sold or dispensed.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262.2(4)</w:t>
      </w:r>
      <w:r>
        <w:rPr>
          <w:rFonts w:ascii="Times New Roman" w:hAnsi="Times New Roman"/>
          <w:b w:val="false"/>
          <w:i w:val="false"/>
          <w:color w:val="000000"/>
          <w:sz w:val="22"/>
        </w:rPr>
        <w:t> </w:t>
      </w:r>
      <w:r>
        <w:rPr>
          <w:rFonts w:ascii="Times New Roman" w:hAnsi="Times New Roman"/>
          <w:b w:val="false"/>
          <w:i/>
          <w:color w:val="000000"/>
          <w:sz w:val="22"/>
        </w:rPr>
        <w:t xml:space="preserve">No fee imposed. </w:t>
      </w:r>
      <w:r>
        <w:rPr>
          <w:rFonts w:ascii="Times New Roman" w:hAnsi="Times New Roman"/>
          <w:b w:val="false"/>
          <w:i w:val="false"/>
          <w:color w:val="000000"/>
          <w:sz w:val="22"/>
        </w:rPr>
        <w:t>There is no fee to apply for or hold a license to sell or dispense electric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262.2(5)</w:t>
      </w:r>
      <w:r>
        <w:rPr>
          <w:rFonts w:ascii="Times New Roman" w:hAnsi="Times New Roman"/>
          <w:b w:val="false"/>
          <w:i w:val="false"/>
          <w:color w:val="000000"/>
          <w:sz w:val="22"/>
        </w:rPr>
        <w:t> </w:t>
      </w:r>
      <w:r>
        <w:rPr>
          <w:rFonts w:ascii="Times New Roman" w:hAnsi="Times New Roman"/>
          <w:b w:val="false"/>
          <w:i/>
          <w:color w:val="000000"/>
          <w:sz w:val="22"/>
        </w:rPr>
        <w:t xml:space="preserve">License for each place of business or location. </w:t>
      </w:r>
      <w:r>
        <w:rPr>
          <w:rFonts w:ascii="Times New Roman" w:hAnsi="Times New Roman"/>
          <w:b w:val="false"/>
          <w:i w:val="false"/>
          <w:color w:val="000000"/>
          <w:sz w:val="22"/>
        </w:rPr>
        <w:t>A license is required for each separate place of business or location where electric fuel is placed into the battery or other storage device of an electric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262.2(6)</w:t>
      </w:r>
      <w:r>
        <w:rPr>
          <w:rFonts w:ascii="Times New Roman" w:hAnsi="Times New Roman"/>
          <w:b w:val="false"/>
          <w:i w:val="false"/>
          <w:color w:val="000000"/>
          <w:sz w:val="22"/>
        </w:rPr>
        <w:t> </w:t>
      </w:r>
      <w:r>
        <w:rPr>
          <w:rFonts w:ascii="Times New Roman" w:hAnsi="Times New Roman"/>
          <w:b w:val="false"/>
          <w:i/>
          <w:color w:val="000000"/>
          <w:sz w:val="22"/>
        </w:rPr>
        <w:t xml:space="preserve">Denial of license application. </w:t>
      </w:r>
      <w:r>
        <w:rPr>
          <w:rFonts w:ascii="Times New Roman" w:hAnsi="Times New Roman"/>
          <w:b w:val="false"/>
          <w:i w:val="false"/>
          <w:color w:val="000000"/>
          <w:sz w:val="22"/>
        </w:rPr>
        <w:t xml:space="preserve">The department may deny a license for any of the reasons provided in Iowa Code section </w:t>
      </w:r>
      <w:hyperlink r:id="rId9">
        <w:r>
          <w:rPr>
            <w:rStyle w:val="Hyperlink"/>
            <w:rFonts w:ascii="Times New Roman" w:hAnsi="Times New Roman"/>
            <w:b w:val="false"/>
            <w:i w:val="false"/>
            <w:color w:val="000000"/>
            <w:sz w:val="22"/>
          </w:rPr>
          <w:t>452A.42(4)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262.2(7)</w:t>
      </w:r>
      <w:r>
        <w:rPr>
          <w:rFonts w:ascii="Times New Roman" w:hAnsi="Times New Roman"/>
          <w:b w:val="false"/>
          <w:i w:val="false"/>
          <w:color w:val="000000"/>
          <w:sz w:val="22"/>
        </w:rPr>
        <w:t> </w:t>
      </w:r>
      <w:r>
        <w:rPr>
          <w:rFonts w:ascii="Times New Roman" w:hAnsi="Times New Roman"/>
          <w:b w:val="false"/>
          <w:i/>
          <w:color w:val="000000"/>
          <w:sz w:val="22"/>
        </w:rPr>
        <w:t xml:space="preserve">Bonding procedures. </w:t>
      </w:r>
      <w:r>
        <w:rPr>
          <w:rFonts w:ascii="Times New Roman" w:hAnsi="Times New Roman"/>
          <w:b w:val="false"/>
          <w:i w:val="false"/>
          <w:color w:val="000000"/>
          <w:sz w:val="22"/>
        </w:rPr>
        <w:t xml:space="preserve">Existing license holders may be requested to post a bond or security when they have had two or more delinquencies in remitting the electric fuel tax or filing returns timely during the past 12 months. The bond or security will be an amount sufficient to cover 12 months’ electric fuel tax liability or $500, whichever is greater. The simultaneous late filing of the return and late payment of the tax will count as one delinquency. However, the late filing of the return or late payment of the tax will not count as a delinquency if the license holder can satisfy one of the penalty waiver conditions set forth in Iowa Code section </w:t>
      </w:r>
      <w:hyperlink r:id="rId10">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More information regarding waiver of bond is available in </w:t>
      </w:r>
      <w:hyperlink r:id="rId11">
        <w:r>
          <w:rPr>
            <w:rStyle w:val="Hyperlink"/>
            <w:rFonts w:ascii="Times New Roman" w:hAnsi="Times New Roman"/>
            <w:b w:val="false"/>
            <w:i w:val="false"/>
            <w:color w:val="000000"/>
            <w:sz w:val="22"/>
          </w:rPr>
          <w:t>701—paragraph 259.21(1)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452A.42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7019C</w:t>
      </w:r>
      <w:r>
        <w:rPr>
          <w:rFonts w:ascii="Times New Roman" w:hAnsi="Times New Roman"/>
          <w:b w:val="false"/>
          <w:i w:val="false"/>
          <w:color w:val="000000"/>
          <w:sz w:val="16"/>
        </w:rPr>
        <w:t>, IAB 5/17/23, effective 7/1/23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701—262.3</w:t>
      </w:r>
      <w:r>
        <w:rPr>
          <w:rFonts w:ascii="Times New Roman" w:hAnsi="Times New Roman"/>
          <w:b/>
          <w:i w:val="false"/>
          <w:color w:val="000000"/>
          <w:sz w:val="22"/>
        </w:rPr>
        <w:t xml:space="preserve">(452A) </w:t>
      </w:r>
      <w:r>
        <w:rPr>
          <w:rFonts w:ascii="Times New Roman" w:hAnsi="Times New Roman"/>
          <w:b/>
          <w:i w:val="false"/>
          <w:color w:val="000000"/>
          <w:sz w:val="22"/>
        </w:rPr>
        <w:t xml:space="preserve">Filing of returns and 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on returns. </w:t>
      </w:r>
      <w:r>
        <w:rPr>
          <w:rFonts w:ascii="Times New Roman" w:hAnsi="Times New Roman"/>
          <w:b w:val="false"/>
          <w:i w:val="false"/>
          <w:color w:val="000000"/>
          <w:sz w:val="22"/>
        </w:rPr>
        <w:t>Licensed dealers and users of electric fuel must file with the department a biannual electric fuel excise tax return showing for each location where electric fuel is placed into the battery or other storage device of an electric vehicle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license number of the entity that owns the charging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a sole proprietorship, the individual owner’s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a partnership, the names of all partners.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Total number of kilowatt-hours delivered or placed into the battery or other storage device of an electric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262.3(2)</w:t>
      </w:r>
      <w:r>
        <w:rPr>
          <w:rFonts w:ascii="Times New Roman" w:hAnsi="Times New Roman"/>
          <w:b w:val="false"/>
          <w:i w:val="false"/>
          <w:color w:val="000000"/>
          <w:sz w:val="22"/>
        </w:rPr>
        <w:t> </w:t>
      </w:r>
      <w:r>
        <w:rPr>
          <w:rFonts w:ascii="Times New Roman" w:hAnsi="Times New Roman"/>
          <w:b w:val="false"/>
          <w:i/>
          <w:color w:val="000000"/>
          <w:sz w:val="22"/>
        </w:rPr>
        <w:t xml:space="preserve">Return and payment due date. </w:t>
      </w:r>
      <w:r>
        <w:rPr>
          <w:rFonts w:ascii="Times New Roman" w:hAnsi="Times New Roman"/>
          <w:b w:val="false"/>
          <w:i w:val="false"/>
          <w:color w:val="000000"/>
          <w:sz w:val="22"/>
        </w:rPr>
        <w:t xml:space="preserve">The electric fuel excise tax return shall be filed with the department no later than the last date of the month following the close of the tax periods prescribed in Iowa Code section </w:t>
      </w:r>
      <w:hyperlink r:id="rId14">
        <w:r>
          <w:rPr>
            <w:rStyle w:val="Hyperlink"/>
            <w:rFonts w:ascii="Times New Roman" w:hAnsi="Times New Roman"/>
            <w:b w:val="false"/>
            <w:i w:val="false"/>
            <w:color w:val="000000"/>
            <w:sz w:val="22"/>
          </w:rPr>
          <w:t>452A.41</w:t>
        </w:r>
      </w:hyperlink>
      <w:r>
        <w:rPr>
          <w:rFonts w:ascii="Times New Roman" w:hAnsi="Times New Roman"/>
          <w:b w:val="false"/>
          <w:i w:val="false"/>
          <w:color w:val="000000"/>
          <w:sz w:val="22"/>
        </w:rPr>
        <w:t>. The return shall be accompanied by remittance of the tax due for the period of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262.3(3)</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required. </w:t>
      </w:r>
      <w:r>
        <w:rPr>
          <w:rFonts w:ascii="Times New Roman" w:hAnsi="Times New Roman"/>
          <w:b w:val="false"/>
          <w:i w:val="false"/>
          <w:color w:val="000000"/>
          <w:sz w:val="22"/>
        </w:rPr>
        <w:t xml:space="preserve">Returns must be filed and payments are to be remitted electronically through </w:t>
      </w:r>
      <w:hyperlink r:id="rId15">
        <w:r>
          <w:rPr>
            <w:rStyle w:val="Hyperlink"/>
            <w:rFonts w:ascii="Times New Roman" w:hAnsi="Times New Roman"/>
            <w:b w:val="false"/>
            <w:i w:val="false"/>
            <w:color w:val="000000"/>
            <w:sz w:val="22"/>
            <w:u w:val="single"/>
          </w:rPr>
          <w:t>govconnect.iowa.gov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262.3(4)</w:t>
      </w:r>
      <w:r>
        <w:rPr>
          <w:rFonts w:ascii="Times New Roman" w:hAnsi="Times New Roman"/>
          <w:b w:val="false"/>
          <w:i w:val="false"/>
          <w:color w:val="000000"/>
          <w:sz w:val="22"/>
        </w:rPr>
        <w:t> </w:t>
      </w:r>
      <w:r>
        <w:rPr>
          <w:rFonts w:ascii="Times New Roman" w:hAnsi="Times New Roman"/>
          <w:b w:val="false"/>
          <w:i/>
          <w:color w:val="000000"/>
          <w:sz w:val="22"/>
        </w:rPr>
        <w:t xml:space="preserve">Consolidated return. </w:t>
      </w:r>
      <w:r>
        <w:rPr>
          <w:rFonts w:ascii="Times New Roman" w:hAnsi="Times New Roman"/>
          <w:b w:val="false"/>
          <w:i w:val="false"/>
          <w:color w:val="000000"/>
          <w:sz w:val="22"/>
        </w:rPr>
        <w:t>A license holder holding more than one license shall file one consolidated return reporting sales made at all locations for which a license is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262.3(5)</w:t>
      </w:r>
      <w:r>
        <w:rPr>
          <w:rFonts w:ascii="Times New Roman" w:hAnsi="Times New Roman"/>
          <w:b w:val="false"/>
          <w:i w:val="false"/>
          <w:color w:val="000000"/>
          <w:sz w:val="22"/>
        </w:rPr>
        <w:t> </w:t>
      </w:r>
      <w:r>
        <w:rPr>
          <w:rFonts w:ascii="Times New Roman" w:hAnsi="Times New Roman"/>
          <w:b w:val="false"/>
          <w:i/>
          <w:color w:val="000000"/>
          <w:sz w:val="22"/>
        </w:rPr>
        <w:t xml:space="preserve">International Fuel Tax Agreement returns not impacted. </w:t>
      </w:r>
      <w:r>
        <w:rPr>
          <w:rFonts w:ascii="Times New Roman" w:hAnsi="Times New Roman"/>
          <w:b w:val="false"/>
          <w:i w:val="false"/>
          <w:color w:val="000000"/>
          <w:sz w:val="22"/>
        </w:rPr>
        <w:t>The electric fuel excise tax return is separate and independent from the tax returns required under the International Fuel Tax Agreement.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452A.41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7019C</w:t>
      </w:r>
      <w:r>
        <w:rPr>
          <w:rFonts w:ascii="Times New Roman" w:hAnsi="Times New Roman"/>
          <w:b w:val="false"/>
          <w:i w:val="false"/>
          <w:color w:val="000000"/>
          <w:sz w:val="16"/>
        </w:rPr>
        <w:t>, IAB 5/17/23, effective 7/1/23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701—262.4</w:t>
      </w:r>
      <w:r>
        <w:rPr>
          <w:rFonts w:ascii="Times New Roman" w:hAnsi="Times New Roman"/>
          <w:b/>
          <w:i w:val="false"/>
          <w:color w:val="000000"/>
          <w:sz w:val="22"/>
        </w:rPr>
        <w:t xml:space="preserve">(452A) </w:t>
      </w:r>
      <w:r>
        <w:rPr>
          <w:rFonts w:ascii="Times New Roman" w:hAnsi="Times New Roman"/>
          <w:b/>
          <w:i w:val="false"/>
          <w:color w:val="000000"/>
          <w:sz w:val="22"/>
        </w:rPr>
        <w:t xml:space="preserve">Charging station verification and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262.4(1)</w:t>
      </w:r>
      <w:r>
        <w:rPr>
          <w:rFonts w:ascii="Times New Roman" w:hAnsi="Times New Roman"/>
          <w:b w:val="false"/>
          <w:i w:val="false"/>
          <w:color w:val="000000"/>
          <w:sz w:val="22"/>
        </w:rPr>
        <w:t> </w:t>
      </w:r>
      <w:r>
        <w:rPr>
          <w:rFonts w:ascii="Times New Roman" w:hAnsi="Times New Roman"/>
          <w:b w:val="false"/>
          <w:i/>
          <w:color w:val="000000"/>
          <w:sz w:val="22"/>
        </w:rPr>
        <w:t xml:space="preserve">Reporting of kilowatt-hours.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dealers and users may rely upon the following methods to determine kilowatt-hours sold for reporting on a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Electric meters on which only electricity sold as electric fuel is measured.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Software included in a charging station that tracks kilowatt-hours that flow through the 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neither </w:t>
      </w:r>
      <w:hyperlink r:id="rId17">
        <w:r>
          <w:rPr>
            <w:rStyle w:val="Hyperlink"/>
            <w:rFonts w:ascii="Times New Roman" w:hAnsi="Times New Roman"/>
            <w:b w:val="false"/>
            <w:i w:val="false"/>
            <w:color w:val="000000"/>
            <w:sz w:val="22"/>
          </w:rPr>
          <w:t>subparagraph 262.4(1)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262.4(1)</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is available, prior to filing any returns, licensed dealers and users shall contact the department for approval of a method to calculate electricity used as electric fuel as determined by an electricity study.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262.4(2)</w:t>
      </w:r>
      <w:r>
        <w:rPr>
          <w:rFonts w:ascii="Times New Roman" w:hAnsi="Times New Roman"/>
          <w:b w:val="false"/>
          <w:i w:val="false"/>
          <w:color w:val="000000"/>
          <w:sz w:val="22"/>
        </w:rPr>
        <w:t> </w:t>
      </w:r>
      <w:r>
        <w:rPr>
          <w:rFonts w:ascii="Times New Roman" w:hAnsi="Times New Roman"/>
          <w:b w:val="false"/>
          <w:i/>
          <w:color w:val="000000"/>
          <w:sz w:val="22"/>
        </w:rPr>
        <w:t xml:space="preserve">Testing of charging stations. </w:t>
      </w:r>
      <w:r>
        <w:rPr>
          <w:rFonts w:ascii="Times New Roman" w:hAnsi="Times New Roman"/>
          <w:b w:val="false"/>
          <w:i w:val="false"/>
          <w:color w:val="000000"/>
          <w:sz w:val="22"/>
        </w:rPr>
        <w:t>The department of agriculture and land stewardship shall test all charging stations owned by licensed dealers and users pursuant to standards set forth in Iowa Code section 452A.41. The department of agriculture and land stewardship will report to the department any charging station that is not compliant with those standards.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452A.41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7019C</w:t>
      </w:r>
      <w:r>
        <w:rPr>
          <w:rFonts w:ascii="Times New Roman" w:hAnsi="Times New Roman"/>
          <w:b w:val="false"/>
          <w:i w:val="false"/>
          <w:color w:val="000000"/>
          <w:sz w:val="16"/>
        </w:rPr>
        <w:t>, IAB 5/17/23, effective 7/1/23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701—262.5</w:t>
      </w:r>
      <w:r>
        <w:rPr>
          <w:rFonts w:ascii="Times New Roman" w:hAnsi="Times New Roman"/>
          <w:b/>
          <w:i w:val="false"/>
          <w:color w:val="000000"/>
          <w:sz w:val="22"/>
        </w:rPr>
        <w:t xml:space="preserve">(452A) </w:t>
      </w:r>
      <w:r>
        <w:rPr>
          <w:rFonts w:ascii="Times New Roman" w:hAnsi="Times New Roman"/>
          <w:b/>
          <w:i w:val="false"/>
          <w:color w:val="000000"/>
          <w:sz w:val="22"/>
        </w:rPr>
        <w:t xml:space="preserve">Refunds.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262.5(1)</w:t>
      </w:r>
      <w:r>
        <w:rPr>
          <w:rFonts w:ascii="Times New Roman" w:hAnsi="Times New Roman"/>
          <w:b w:val="false"/>
          <w:i w:val="false"/>
          <w:color w:val="000000"/>
          <w:sz w:val="22"/>
        </w:rPr>
        <w:t> </w:t>
      </w:r>
      <w:r>
        <w:rPr>
          <w:rFonts w:ascii="Times New Roman" w:hAnsi="Times New Roman"/>
          <w:b w:val="false"/>
          <w:i/>
          <w:color w:val="000000"/>
          <w:sz w:val="22"/>
        </w:rPr>
        <w:t xml:space="preserve">Filing of refund claim. </w:t>
      </w:r>
      <w:r>
        <w:rPr>
          <w:rFonts w:ascii="Times New Roman" w:hAnsi="Times New Roman"/>
          <w:b w:val="false"/>
          <w:i w:val="false"/>
          <w:color w:val="000000"/>
          <w:sz w:val="22"/>
        </w:rPr>
        <w:t xml:space="preserve">Taxpayers seeking to claim a refund of electric fuel tax must obtain a refund permit pursuant to Iowa Code section </w:t>
      </w:r>
      <w:hyperlink r:id="rId20">
        <w:r>
          <w:rPr>
            <w:rStyle w:val="Hyperlink"/>
            <w:rFonts w:ascii="Times New Roman" w:hAnsi="Times New Roman"/>
            <w:b w:val="false"/>
            <w:i w:val="false"/>
            <w:color w:val="000000"/>
            <w:sz w:val="22"/>
          </w:rPr>
          <w:t>452A.44</w:t>
        </w:r>
      </w:hyperlink>
      <w:r>
        <w:rPr>
          <w:rFonts w:ascii="Times New Roman" w:hAnsi="Times New Roman"/>
          <w:b w:val="false"/>
          <w:i w:val="false"/>
          <w:color w:val="000000"/>
          <w:sz w:val="22"/>
        </w:rPr>
        <w:t>. Because returns will be filed and tax paid on a biannual basis, refund claims may be filed and will only be processed on a biannual basis after the tax period for which the refund is sought has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262.5(2)</w:t>
      </w:r>
      <w:r>
        <w:rPr>
          <w:rFonts w:ascii="Times New Roman" w:hAnsi="Times New Roman"/>
          <w:b w:val="false"/>
          <w:i w:val="false"/>
          <w:color w:val="000000"/>
          <w:sz w:val="22"/>
        </w:rPr>
        <w:t> </w:t>
      </w:r>
      <w:r>
        <w:rPr>
          <w:rFonts w:ascii="Times New Roman" w:hAnsi="Times New Roman"/>
          <w:b w:val="false"/>
          <w:i/>
          <w:color w:val="000000"/>
          <w:sz w:val="22"/>
        </w:rPr>
        <w:t xml:space="preserve">Sales tax. </w:t>
      </w:r>
      <w:r>
        <w:rPr>
          <w:rFonts w:ascii="Times New Roman" w:hAnsi="Times New Roman"/>
          <w:b w:val="false"/>
          <w:i w:val="false"/>
          <w:color w:val="000000"/>
          <w:sz w:val="22"/>
        </w:rPr>
        <w:t xml:space="preserve">Electric fuel used in an exempt manner may be subject to sales tax. Rule </w:t>
      </w:r>
      <w:hyperlink r:id="rId21">
        <w:r>
          <w:rPr>
            <w:rStyle w:val="Hyperlink"/>
            <w:rFonts w:ascii="Times New Roman" w:hAnsi="Times New Roman"/>
            <w:b w:val="false"/>
            <w:i w:val="false"/>
            <w:color w:val="000000"/>
            <w:sz w:val="22"/>
          </w:rPr>
          <w:t>701—260.13</w:t>
        </w:r>
      </w:hyperlink>
      <w:r>
        <w:rPr>
          <w:rFonts w:ascii="Times New Roman" w:hAnsi="Times New Roman"/>
          <w:b w:val="false"/>
          <w:i w:val="false"/>
          <w:color w:val="000000"/>
          <w:sz w:val="22"/>
        </w:rPr>
        <w:t>(452A) contains more information regarding reductions in refunds due to the applicability of sales or use tax on exempt electric fuel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262.5(3)</w:t>
      </w:r>
      <w:r>
        <w:rPr>
          <w:rFonts w:ascii="Times New Roman" w:hAnsi="Times New Roman"/>
          <w:b w:val="false"/>
          <w:i w:val="false"/>
          <w:color w:val="000000"/>
          <w:sz w:val="22"/>
        </w:rPr>
        <w:t> </w:t>
      </w:r>
      <w:r>
        <w:rPr>
          <w:rFonts w:ascii="Times New Roman" w:hAnsi="Times New Roman"/>
          <w:b w:val="false"/>
          <w:i/>
          <w:color w:val="000000"/>
          <w:sz w:val="22"/>
        </w:rPr>
        <w:t xml:space="preserve">International Fuel Tax Agreement refunds not impacted. </w:t>
      </w:r>
      <w:r>
        <w:rPr>
          <w:rFonts w:ascii="Times New Roman" w:hAnsi="Times New Roman"/>
          <w:b w:val="false"/>
          <w:i w:val="false"/>
          <w:color w:val="000000"/>
          <w:sz w:val="22"/>
        </w:rPr>
        <w:t xml:space="preserve">This refund process is separate and independent from any refund process authorized under </w:t>
      </w:r>
      <w:hyperlink r:id="rId22">
        <w:r>
          <w:rPr>
            <w:rStyle w:val="Hyperlink"/>
            <w:rFonts w:ascii="Times New Roman" w:hAnsi="Times New Roman"/>
            <w:b w:val="false"/>
            <w:i w:val="false"/>
            <w:color w:val="000000"/>
            <w:sz w:val="22"/>
          </w:rPr>
          <w:t>761—Chapter 505</w:t>
        </w:r>
      </w:hyperlink>
      <w:r>
        <w:rPr>
          <w:rFonts w:ascii="Times New Roman" w:hAnsi="Times New Roman"/>
          <w:b w:val="false"/>
          <w:i w:val="false"/>
          <w:color w:val="000000"/>
          <w:sz w:val="22"/>
        </w:rPr>
        <w:t xml:space="preserve"> related to the International Fuel Tax Agreement.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452A.44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7019C</w:t>
      </w:r>
      <w:r>
        <w:rPr>
          <w:rFonts w:ascii="Times New Roman" w:hAnsi="Times New Roman"/>
          <w:b w:val="false"/>
          <w:i w:val="false"/>
          <w:color w:val="000000"/>
          <w:sz w:val="16"/>
        </w:rPr>
        <w:t>, IAB 5/17/23, effective 7/1/23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701—262.6</w:t>
      </w:r>
      <w:r>
        <w:rPr>
          <w:rFonts w:ascii="Times New Roman" w:hAnsi="Times New Roman"/>
          <w:b/>
          <w:i w:val="false"/>
          <w:color w:val="000000"/>
          <w:sz w:val="22"/>
        </w:rPr>
        <w:t xml:space="preserve">(452A) </w:t>
      </w:r>
      <w:r>
        <w:rPr>
          <w:rFonts w:ascii="Times New Roman" w:hAnsi="Times New Roman"/>
          <w:b/>
          <w:i w:val="false"/>
          <w:color w:val="000000"/>
          <w:sz w:val="22"/>
        </w:rPr>
        <w:t xml:space="preserve">Exemption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262.6(1)</w:t>
      </w:r>
      <w:r>
        <w:rPr>
          <w:rFonts w:ascii="Times New Roman" w:hAnsi="Times New Roman"/>
          <w:b w:val="false"/>
          <w:i w:val="false"/>
          <w:color w:val="000000"/>
          <w:sz w:val="22"/>
        </w:rPr>
        <w:t> </w:t>
      </w:r>
      <w:r>
        <w:rPr>
          <w:rFonts w:ascii="Times New Roman" w:hAnsi="Times New Roman"/>
          <w:b w:val="false"/>
          <w:i w:val="false"/>
          <w:color w:val="000000"/>
          <w:sz w:val="22"/>
        </w:rPr>
        <w:t xml:space="preserve">If electric fuel is sold or dispensed for a nontaxable purpose, the purchaser may complete and provide an exemption certificate produced by the department to the license holder. The certificate is to be retained by the license holder consistent with Iowa Code section </w:t>
      </w:r>
      <w:hyperlink r:id="rId24">
        <w:r>
          <w:rPr>
            <w:rStyle w:val="Hyperlink"/>
            <w:rFonts w:ascii="Times New Roman" w:hAnsi="Times New Roman"/>
            <w:b w:val="false"/>
            <w:i w:val="false"/>
            <w:color w:val="000000"/>
            <w:sz w:val="22"/>
          </w:rPr>
          <w:t>452A.43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exemption certificate must include but not be limited to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holder’s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 holder’s electric fuel dealer or electric fuel user license number applicable to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invoice number covering the fuel sold if it is sold by an electric fuel dealer.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indication of the use to which the fuel will be 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signature of the purchaser.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452A.43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7019C</w:t>
      </w:r>
      <w:r>
        <w:rPr>
          <w:rFonts w:ascii="Times New Roman" w:hAnsi="Times New Roman"/>
          <w:b w:val="false"/>
          <w:i w:val="false"/>
          <w:color w:val="000000"/>
          <w:sz w:val="16"/>
        </w:rPr>
        <w:t>, IAB 5/17/23, effective 7/1/23</w:t>
      </w:r>
      <w:r>
        <w:rPr>
          <w:rFonts w:ascii="Times New Roman" w:hAnsi="Times New Roman"/>
          <w:b w:val="false"/>
          <w:i w:val="false"/>
          <w:color w:val="000000"/>
          <w:sz w:val="16"/>
        </w:rPr>
        <w:t>]</w:t>
      </w:r>
    </w:p>
    <w:p>
      <w:pPr>
        <w:spacing w:before="0" w:after="0"/>
        <w:ind w:left="120"/>
        <w:jc w:val="left"/>
      </w:pPr>
    </w:p>
    <w:p>
      <w:pPr>
        <w:spacing w:before="0" w:after="0"/>
        <w:ind w:left="120"/>
        <w:jc w:val="center"/>
      </w:pPr>
      <w:r>
        <w:rPr>
          <w:rFonts w:ascii="Times New Roman" w:hAnsi="Times New Roman"/>
          <w:b w:val="false"/>
          <w:i w:val="false"/>
          <w:color w:val="000000"/>
          <w:sz w:val="21"/>
        </w:rPr>
        <w:t>[Filed ARC 7019C</w:t>
      </w:r>
      <w:r>
        <w:rPr>
          <w:rFonts w:ascii="Times New Roman" w:hAnsi="Times New Roman"/>
          <w:b w:val="false"/>
          <w:i w:val="false"/>
          <w:color w:val="000000"/>
          <w:sz w:val="21"/>
        </w:rPr>
        <w:t xml:space="preserve"> (Notice ARC 6921C, IAB 2/22/23)</w:t>
      </w:r>
      <w:r>
        <w:rPr>
          <w:rFonts w:ascii="Times New Roman" w:hAnsi="Times New Roman"/>
          <w:b w:val="false"/>
          <w:i w:val="false"/>
          <w:color w:val="000000"/>
          <w:sz w:val="21"/>
        </w:rPr>
        <w:t>, IAB 5/17/23, effective 7/1/23]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2A.41.pdf" Type="http://schemas.openxmlformats.org/officeDocument/2006/relationships/hyperlink" Id="rId5"/>
    <Relationship TargetMode="External" Target="https://www.legis.iowa.gov/docs/ico/chapter/452A.40.pdf" Type="http://schemas.openxmlformats.org/officeDocument/2006/relationships/hyperlink" Id="rId6"/>
    <Relationship TargetMode="External" Target="https://www.legis.iowa.gov/docs/ico/chapter/452A.17.pdf" Type="http://schemas.openxmlformats.org/officeDocument/2006/relationships/hyperlink" Id="rId7"/>
    <Relationship TargetMode="External" Target="https://www.legis.iowa.gov/docs/ico/chapter/452A.42.pdf" Type="http://schemas.openxmlformats.org/officeDocument/2006/relationships/hyperlink" Id="rId8"/>
    <Relationship TargetMode="External" Target="https://www.legis.iowa.gov/docs/ico/chapter/452A.42.pdf" Type="http://schemas.openxmlformats.org/officeDocument/2006/relationships/hyperlink" Id="rId9"/>
    <Relationship TargetMode="External" Target="https://www.legis.iowa.gov/docs/ico/chapter/421.27.pdf" Type="http://schemas.openxmlformats.org/officeDocument/2006/relationships/hyperlink" Id="rId10"/>
    <Relationship TargetMode="External" Target="https://www.legis.iowa.gov/docs/iac/rule/701.259.21.pdf" Type="http://schemas.openxmlformats.org/officeDocument/2006/relationships/hyperlink" Id="rId11"/>
    <Relationship TargetMode="External" Target="https://www.legis.iowa.gov/docs/ico/chapter/452A.17.pdf" Type="http://schemas.openxmlformats.org/officeDocument/2006/relationships/hyperlink" Id="rId12"/>
    <Relationship TargetMode="External" Target="https://www.legis.iowa.gov/docs/ico/chapter/452A.42.pdf" Type="http://schemas.openxmlformats.org/officeDocument/2006/relationships/hyperlink" Id="rId13"/>
    <Relationship TargetMode="External" Target="https://www.legis.iowa.gov/docs/ico/chapter/452A.41.pdf" Type="http://schemas.openxmlformats.org/officeDocument/2006/relationships/hyperlink" Id="rId14"/>
    <Relationship TargetMode="External" Target="http://govconnect.iowa.gov" Type="http://schemas.openxmlformats.org/officeDocument/2006/relationships/hyperlink" Id="rId15"/>
    <Relationship TargetMode="External" Target="https://www.legis.iowa.gov/docs/ico/chapter/452A.41.pdf" Type="http://schemas.openxmlformats.org/officeDocument/2006/relationships/hyperlink" Id="rId16"/>
    <Relationship TargetMode="External" Target="https://www.legis.iowa.gov/docs/iac/rule/701.262.4.pdf" Type="http://schemas.openxmlformats.org/officeDocument/2006/relationships/hyperlink" Id="rId17"/>
    <Relationship TargetMode="External" Target="https://www.legis.iowa.gov/docs/iac/rule/701.262.4.pdf" Type="http://schemas.openxmlformats.org/officeDocument/2006/relationships/hyperlink" Id="rId18"/>
    <Relationship TargetMode="External" Target="https://www.legis.iowa.gov/docs/ico/chapter/452A.41.pdf" Type="http://schemas.openxmlformats.org/officeDocument/2006/relationships/hyperlink" Id="rId19"/>
    <Relationship TargetMode="External" Target="https://www.legis.iowa.gov/docs/ico/chapter/452A.44.pdf" Type="http://schemas.openxmlformats.org/officeDocument/2006/relationships/hyperlink" Id="rId20"/>
    <Relationship TargetMode="External" Target="https://www.legis.iowa.gov/docs/iac/rule/701.260.13.pdf" Type="http://schemas.openxmlformats.org/officeDocument/2006/relationships/hyperlink" Id="rId21"/>
    <Relationship TargetMode="External" Target="https://www.legis.iowa.gov/docs/iac/chapter/761.505.pdf" Type="http://schemas.openxmlformats.org/officeDocument/2006/relationships/hyperlink" Id="rId22"/>
    <Relationship TargetMode="External" Target="https://www.legis.iowa.gov/docs/ico/chapter/452A.44.pdf" Type="http://schemas.openxmlformats.org/officeDocument/2006/relationships/hyperlink" Id="rId23"/>
    <Relationship TargetMode="External" Target="https://www.legis.iowa.gov/docs/ico/chapter/452A.43.pdf" Type="http://schemas.openxmlformats.org/officeDocument/2006/relationships/hyperlink" Id="rId24"/>
    <Relationship TargetMode="External" Target="https://www.legis.iowa.gov/docs/ico/chapter/452A.17.pdf" Type="http://schemas.openxmlformats.org/officeDocument/2006/relationships/hyperlink" Id="rId25"/>
    <Relationship TargetMode="External" Target="https://www.legis.iowa.gov/docs/ico/chapter/452A.43.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