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260</w:t>
      </w:r>
    </w:p>
    <w:p>
      <w:pPr>
        <w:spacing w:before="0" w:after="0"/>
        <w:ind w:left="120"/>
        <w:jc w:val="center"/>
      </w:pPr>
      <w:r>
        <w:rPr>
          <w:rFonts w:ascii="Times New Roman" w:hAnsi="Times New Roman"/>
          <w:b w:val="false"/>
          <w:i w:val="false"/>
          <w:color w:val="000000"/>
          <w:sz w:val="21"/>
        </w:rPr>
        <w:t>MOTOR FUEL AND UNDYED SPECIAL FUEL</w:t>
      </w:r>
    </w:p>
    <w:p>
      <w:pPr>
        <w:spacing w:before="0" w:after="0"/>
        <w:ind w:left="120"/>
        <w:jc w:val="center"/>
      </w:pPr>
      <w:r>
        <w:rPr>
          <w:rFonts w:ascii="Times New Roman" w:hAnsi="Times New Roman"/>
          <w:b w:val="false"/>
          <w:i w:val="false"/>
          <w:color w:val="000000"/>
          <w:sz w:val="14"/>
        </w:rPr>
        <w:t>[Prior to 1/1/96, see 701—Ch 64]</w:t>
      </w:r>
    </w:p>
    <w:p>
      <w:pPr>
        <w:spacing w:before="0" w:after="0"/>
        <w:ind w:left="120"/>
        <w:jc w:val="center"/>
      </w:pPr>
      <w:r>
        <w:rPr>
          <w:rFonts w:ascii="Times New Roman" w:hAnsi="Times New Roman"/>
          <w:b w:val="false"/>
          <w:i w:val="false"/>
          <w:color w:val="000000"/>
          <w:sz w:val="14"/>
        </w:rPr>
        <w:t>[Prior to 9/7/22, see Revenue Department[701] Ch 68]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701—260.1</w:t>
      </w:r>
      <w:r>
        <w:rPr>
          <w:rFonts w:ascii="Times New Roman" w:hAnsi="Times New Roman"/>
          <w:b/>
          <w:i w:val="false"/>
          <w:color w:val="000000"/>
          <w:sz w:val="22"/>
        </w:rPr>
        <w:t xml:space="preserve">(452A)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See </w:t>
      </w:r>
      <w:hyperlink r:id="rId5">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(452A).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701—260.2</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rates—time tax attaches—responsible party.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260.2(1)</w:t>
      </w:r>
      <w:r>
        <w:rPr>
          <w:rFonts w:ascii="Times New Roman" w:hAnsi="Times New Roman"/>
          <w:b w:val="false"/>
          <w:i w:val="false"/>
          <w:color w:val="000000"/>
          <w:sz w:val="22"/>
        </w:rPr>
        <w:t> </w:t>
      </w:r>
      <w:r>
        <w:rPr>
          <w:rFonts w:ascii="Times New Roman" w:hAnsi="Times New Roman"/>
          <w:b w:val="false"/>
          <w:i w:val="false"/>
          <w:color w:val="000000"/>
          <w:sz w:val="22"/>
        </w:rPr>
        <w:t>The following rates of tax apply to the use of fuel in operating motor vehicles and aircraft:</w:t>
      </w:r>
    </w:p>
    <w:tbl>
      <w:tblPr>
        <w:tblW w:w="5000" w:type="pct"/>
        <w:tblCellSpacing w:w="0" w:type="auto"/>
        <w:tblBorders>
          <w:top w:val="none"/>
          <w:left w:val="none"/>
          <w:bottom w:val="none"/>
          <w:right w:val="none"/>
          <w:insideH w:val="none"/>
          <w:insideV w:val="none"/>
        </w:tblBorders>
        <w:tblLayout w:type="fixed"/>
      </w:tblPr>
      <w:tblGrid>
        <w:gridCol w:w="4216"/>
        <w:gridCol w:w="121"/>
        <w:gridCol w:w="7067"/>
      </w:tblGrid>
      <w:tr>
        <w:trPr>
          <w:trHeight w:val="1200"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Gasoline</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30.7¢ per gallon (for July 1, 2016, through June 30, 2017)</w:t>
            </w:r>
            <w:r>
              <w:br/>
            </w:r>
            <w:r>
              <w:rPr>
                <w:rFonts w:ascii="Times New Roman" w:hAnsi="Times New Roman"/>
                <w:b w:val="false"/>
                <w:i w:val="false"/>
                <w:color w:val="000000"/>
                <w:sz w:val="21"/>
              </w:rPr>
              <w:t>30.5¢ per gallon (for July 1, 2017, through June 30, 2018)</w:t>
            </w:r>
            <w:r>
              <w:br/>
            </w:r>
            <w:r>
              <w:rPr>
                <w:rFonts w:ascii="Times New Roman" w:hAnsi="Times New Roman"/>
                <w:b w:val="false"/>
                <w:i w:val="false"/>
                <w:color w:val="000000"/>
                <w:sz w:val="21"/>
              </w:rPr>
              <w:t>30.7¢ per gallon (for July 1, 2018, through June 30, 2019)</w:t>
            </w:r>
            <w:r>
              <w:br/>
            </w:r>
            <w:r>
              <w:rPr>
                <w:rFonts w:ascii="Times New Roman" w:hAnsi="Times New Roman"/>
                <w:b w:val="false"/>
                <w:i w:val="false"/>
                <w:color w:val="000000"/>
                <w:sz w:val="21"/>
              </w:rPr>
              <w:t xml:space="preserve">30.5¢ per gallon (for July 1, 2019, through June 30, 2020) </w:t>
            </w:r>
            <w:r>
              <w:br/>
            </w:r>
            <w:r>
              <w:rPr>
                <w:rFonts w:ascii="Times New Roman" w:hAnsi="Times New Roman"/>
                <w:b w:val="false"/>
                <w:i w:val="false"/>
                <w:color w:val="000000"/>
                <w:sz w:val="21"/>
              </w:rPr>
              <w:t>30¢ per gallon (beginning July 1, 2020)</w:t>
            </w:r>
          </w:p>
        </w:tc>
      </w:tr>
      <w:tr>
        <w:trPr>
          <w:trHeight w:val="270"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Ethanol blended gasoline</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29¢ per gallon (for July 1, 2016, through June 30, 2020)</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Ethanol blended gasoline E-10 to E-14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30¢ per gallon (beginning July 1, 2020)</w:t>
            </w:r>
          </w:p>
        </w:tc>
      </w:tr>
      <w:tr>
        <w:trPr>
          <w:trHeight w:val="270"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E-85 gasoline</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29¢ per gallon (for July 1, 2016, through June 30, 2020)</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Ethanol blended gasoline E-15 or higher</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24¢ per gallon (beginning July 1, 2020)</w:t>
            </w:r>
          </w:p>
        </w:tc>
      </w:tr>
      <w:tr>
        <w:trPr>
          <w:trHeight w:val="270"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Aviation gasoline</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 per gallon (beginning July 1, 1988)</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Diesel fuel other than B-11 or higher</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22.5¢ per gallon (on and before February 28, 2015)</w:t>
            </w:r>
            <w:r>
              <w:br/>
            </w:r>
            <w:r>
              <w:rPr>
                <w:rFonts w:ascii="Times New Roman" w:hAnsi="Times New Roman"/>
                <w:b w:val="false"/>
                <w:i w:val="false"/>
                <w:color w:val="000000"/>
                <w:sz w:val="21"/>
              </w:rPr>
              <w:t>32.5¢ per gallon (beginning March 1, 2015)</w:t>
            </w:r>
            <w:r>
              <w:br/>
            </w:r>
          </w:p>
        </w:tc>
      </w:tr>
      <w:tr>
        <w:trPr>
          <w:trHeight w:val="97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Biodiesel blended fuel (B-11 or higher)</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29.5¢ per gallon (for July 1, 2015, through June 30, 2020) </w:t>
            </w:r>
            <w:r>
              <w:br/>
            </w:r>
            <w:r>
              <w:rPr>
                <w:rFonts w:ascii="Times New Roman" w:hAnsi="Times New Roman"/>
                <w:b w:val="false"/>
                <w:i w:val="false"/>
                <w:color w:val="000000"/>
                <w:sz w:val="21"/>
              </w:rPr>
              <w:t>30.1¢ per gallon (for July 1, 2020, through June 30, 2021)</w:t>
            </w:r>
            <w:r>
              <w:br/>
            </w:r>
            <w:r>
              <w:rPr>
                <w:rFonts w:ascii="Times New Roman" w:hAnsi="Times New Roman"/>
                <w:b w:val="false"/>
                <w:i w:val="false"/>
                <w:color w:val="000000"/>
                <w:sz w:val="21"/>
              </w:rPr>
              <w:t>30.4¢ per gallon (for July 1, 2021, through June 30, 2022)</w:t>
            </w:r>
            <w:r>
              <w:br/>
            </w:r>
            <w:r>
              <w:rPr>
                <w:rFonts w:ascii="Times New Roman" w:hAnsi="Times New Roman"/>
                <w:b w:val="false"/>
                <w:i w:val="false"/>
                <w:color w:val="000000"/>
                <w:sz w:val="21"/>
              </w:rPr>
              <w:t>30.1¢ per gallon (beginning July 1, 2022)</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Aviation jet fuel</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per gallon (on and before February 28, 2015)</w:t>
            </w:r>
            <w:r>
              <w:br/>
            </w:r>
            <w:r>
              <w:rPr>
                <w:rFonts w:ascii="Times New Roman" w:hAnsi="Times New Roman"/>
                <w:b w:val="false"/>
                <w:i w:val="false"/>
                <w:color w:val="000000"/>
                <w:sz w:val="21"/>
              </w:rPr>
              <w:t>5¢ per gallon (beginning March 1, 2015)</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L.P.G.</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 per gallon (on and before February 28, 2015)</w:t>
            </w:r>
            <w:r>
              <w:br/>
            </w:r>
            <w:r>
              <w:rPr>
                <w:rFonts w:ascii="Times New Roman" w:hAnsi="Times New Roman"/>
                <w:b w:val="false"/>
                <w:i w:val="false"/>
                <w:color w:val="000000"/>
                <w:sz w:val="21"/>
              </w:rPr>
              <w:t>30¢ per gallon (beginning March 1, 2015)</w:t>
            </w:r>
          </w:p>
        </w:tc>
      </w:tr>
      <w:tr>
        <w:trPr>
          <w:trHeight w:val="73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C.N.G.</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 per 100 cu. ft. (on and before June 30, 2014)</w:t>
            </w:r>
            <w:r>
              <w:br/>
            </w:r>
            <w:r>
              <w:rPr>
                <w:rFonts w:ascii="Times New Roman" w:hAnsi="Times New Roman"/>
                <w:b w:val="false"/>
                <w:i w:val="false"/>
                <w:color w:val="000000"/>
                <w:sz w:val="21"/>
              </w:rPr>
              <w:t>21¢ per gallon (for July 1, 2014, through February 28, 2015)</w:t>
            </w:r>
            <w:r>
              <w:br/>
            </w:r>
            <w:r>
              <w:rPr>
                <w:rFonts w:ascii="Times New Roman" w:hAnsi="Times New Roman"/>
                <w:b w:val="false"/>
                <w:i w:val="false"/>
                <w:color w:val="000000"/>
                <w:sz w:val="21"/>
              </w:rPr>
              <w:t>31¢ per gallon (beginning March 1, 2015)</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L.N.G.</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22.5¢ per gallon (on and before February 28, 2015)</w:t>
            </w:r>
            <w:r>
              <w:br/>
            </w:r>
            <w:r>
              <w:rPr>
                <w:rFonts w:ascii="Times New Roman" w:hAnsi="Times New Roman"/>
                <w:b w:val="false"/>
                <w:i w:val="false"/>
                <w:color w:val="000000"/>
                <w:sz w:val="21"/>
              </w:rPr>
              <w:t>32.5¢ per gallon (beginning March 1, 2015)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260.2(2)</w:t>
      </w:r>
      <w:r>
        <w:rPr>
          <w:rFonts w:ascii="Times New Roman" w:hAnsi="Times New Roman"/>
          <w:b w:val="false"/>
          <w:i w:val="false"/>
          <w:color w:val="000000"/>
          <w:sz w:val="22"/>
        </w:rPr>
        <w:t> </w:t>
      </w:r>
      <w:r>
        <w:rPr>
          <w:rFonts w:ascii="Times New Roman" w:hAnsi="Times New Roman"/>
          <w:b w:val="false"/>
          <w:i/>
          <w:color w:val="000000"/>
          <w:sz w:val="22"/>
        </w:rPr>
        <w:t xml:space="preserve">Fuel distribution percentages.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Ethanol distribution percentage.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paragraph, this paragraph shall apply to the excise tax imposed on each gallon of motor fuel used for any purpose for the privilege of operating motor vehicles in this state. An excise tax of 30 cents is imposed on each gallon of motor fuel other than ethanol blended gasoline classified as E-15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and after July 1, 2026, an excise tax of 30 cents is imposed on each gallon of ethanol blended gasoline classified as E-15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July 1, 2026, the rate of the excise tax on ethanol blended gasoline classified as E-15 or higher shall be based on the ethanol distribution percentage as specified in Iowa Code section </w:t>
      </w:r>
      <w:hyperlink r:id="rId6">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The ethanol distribution percentage is the number of gallons of ethanol blended gasoline classified as E-15 or higher that are distributed in this state as expressed as a percentage of the number of gallons of motor fuel, excluding aviation gasoline, distributed in this state. The department shall determine the percentage for each determination period beginning January 1 and ending December 31 based on data from reports filed pursuant to Iowa Code section </w:t>
      </w:r>
      <w:hyperlink r:id="rId7">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 xml:space="preserve">. The rate for the excise tax shall apply for the period beginning July 1 and ending June 30 following the end of the determination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Biodiesel distribution percentage.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paragraph, the rate of the excise tax on each gallon of special fuel for diesel engines of motor vehicles used for any purpose for the privilege of operating motor vehicles in this state, other than biodiesel blended fuel classified as B-11 or higher, is 32.5 cents.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this paragraph, this paragraph shall apply to the excise tax imposed on each gallon of biodiesel blended fuel classified as B-11 or higher used for any purpose for the privilege of operating motor vehicles in this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and after July 1, 2026, the rate of the excise tax on each gallon of biodiesel blended fuel classified as B-11 or higher is 32.5 cents.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July 1, 2026, the rate of the excise tax shall be based on the biodiesel distribution percentage as specified in Iowa Code section </w:t>
      </w:r>
      <w:hyperlink r:id="rId8">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The biodiesel distribution percentage is the number of gallons of biodiesel blended fuel classified as B-11 or higher that is distributed in this state as expressed as a percentage of the number of gallons of special fuel for diesel engines of motor vehicles distributed in this state. The department shall determine the percentage for each determination period beginning January 1 and ending December 31 based on data from reports filed pursuant to Iowa Code section </w:t>
      </w:r>
      <w:hyperlink r:id="rId9">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 xml:space="preserve">. The rate for the excise tax shall apply for the period beginning July 1 and ending June 30 following the end of the determination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determination period for the biodiesel distribution percentage is January through December each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Legislative review. </w:t>
      </w:r>
      <w:r>
        <w:rPr>
          <w:rFonts w:ascii="Times New Roman" w:hAnsi="Times New Roman"/>
          <w:b w:val="false"/>
          <w:i w:val="false"/>
          <w:color w:val="000000"/>
          <w:sz w:val="22"/>
        </w:rPr>
        <w:t>The ethanol distribution percentage, the biodiesel distribution percentage, and the corresponding excise tax rates are subject to legislative review at least every five years. The review is based upon a fuel distribution percentage formula status report, which contains the recommendations of a legislative interim committee appointed to conduct a review of the fuel distribution percentage formulas. The report is prepared with the assistance of the Iowa department of revenue and the Iowa department of transportation. The report includes recommendations for changes or revisions to the fuel distribution percentage formulas based upon advances in technology, fuel use trends, and fuel price fluctuations observed during the preceding five-year interval; an analysis of the operation of the fuel distribution percentage formulas during the preceding five-year interval; and a summary of issues that have arisen since the previous review and potential approaches for resolution of those issues. The first report will be submitted to the general assembly no later than January 1, 2020, with subsequent reports developed and submitted by January 1 at least every fifth year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260.2(3)</w:t>
      </w:r>
      <w:r>
        <w:rPr>
          <w:rFonts w:ascii="Times New Roman" w:hAnsi="Times New Roman"/>
          <w:b w:val="false"/>
          <w:i w:val="false"/>
          <w:color w:val="000000"/>
          <w:sz w:val="22"/>
        </w:rPr>
        <w:t> </w:t>
      </w:r>
      <w:r>
        <w:rPr>
          <w:rFonts w:ascii="Times New Roman" w:hAnsi="Times New Roman"/>
          <w:b w:val="false"/>
          <w:i w:val="false"/>
          <w:color w:val="000000"/>
          <w:sz w:val="22"/>
        </w:rPr>
        <w:t>The tax attaches when the fuel is withdrawn from a terminal or imported into Iowa. The tax is payable to the department by the supplier, restrictive supplier, importer, blender, or any person who owns the fuel at the time it is brought into the state by a restrictive supplier or importer or any other person who possesses taxable fuel upon which the tax has not been paid. The tax is to be remitted to the department by a supplier, restrictive supplier, or blender by the last day of the month following the month in which the fuel is withdrawn from a terminal or imported. The tax is to be remitted by an importer by the last day of the month for fuel imported in the first 15 days of the month and by the fifteenth day of the following month for fuel imported after the fifteenth day of the previous month. Nonlicensees who possess taxable fuel upon which the tax has not been paid must file returns and pay the tax the same as a restrictive supplier (monthly). All licensees must make payment by electronic funds transfer (see publication 90-201 for EFT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260.2(4)</w:t>
      </w:r>
      <w:r>
        <w:rPr>
          <w:rFonts w:ascii="Times New Roman" w:hAnsi="Times New Roman"/>
          <w:b w:val="false"/>
          <w:i w:val="false"/>
          <w:color w:val="000000"/>
          <w:sz w:val="22"/>
        </w:rPr>
        <w:t> </w:t>
      </w:r>
      <w:r>
        <w:rPr>
          <w:rFonts w:ascii="Times New Roman" w:hAnsi="Times New Roman"/>
          <w:b w:val="false"/>
          <w:i w:val="false"/>
          <w:color w:val="000000"/>
          <w:sz w:val="22"/>
        </w:rPr>
        <w:t>Persons having title to motor fuel, ethanol blended gasoline, undyed special fuel, compressed natural gas, liquefied natural gas, or liquefied petroleum gas in storage and held for sale on the effective date of an increase in the excise tax rate imposed on motor fuel, ethanol blended gasoline, undyed special fuel, compressed natural gas, liquefied natural gas, or liquefied petroleum gas shall be subject to an inventory tax based upon the gallonage in storage as of the close of the business day preceding the effective date of the increased excise tax rate of motor fuel, ethanol blended gasoline, undyed special fuel, compressed natural gas, liquefied natural gas, or liquefied petroleum gas which will be subject to the increased excise tax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subject to the tax imposed under this subrule shall take an inventory to determine the gallonage in storage for purposes of determining the tax and shall report the gallonage and pay the tax due within 30 days of the prescribed inventory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inventory tax is equal to the inventory tax rate times the gallonage in storage. The inventory tax rate is equal to the increased excise tax rate less the previous excise tax rate. The inventory tax does not apply to an increase in the tax rate of a specified fuel, except for compressed natural gas, unless the increase in the tax rate of that fuel is in excess of one-half cent per gallon.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452A.85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0399C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1442C</w:t>
      </w:r>
      <w:r>
        <w:rPr>
          <w:rFonts w:ascii="Times New Roman" w:hAnsi="Times New Roman"/>
          <w:b w:val="false"/>
          <w:i w:val="false"/>
          <w:color w:val="000000"/>
          <w:sz w:val="16"/>
        </w:rPr>
        <w:t>, IAB 4/30/14, effective 6/4/14</w:t>
      </w:r>
      <w:r>
        <w:rPr>
          <w:rFonts w:ascii="Times New Roman" w:hAnsi="Times New Roman"/>
          <w:b w:val="false"/>
          <w:i w:val="false"/>
          <w:color w:val="000000"/>
          <w:sz w:val="16"/>
        </w:rPr>
        <w:t xml:space="preserve">; </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2247C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2698C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3146C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 xml:space="preserve">; </w:t>
      </w:r>
      <w:r>
        <w:rPr>
          <w:rFonts w:ascii="Times New Roman" w:hAnsi="Times New Roman"/>
          <w:b/>
          <w:i w:val="false"/>
          <w:color w:val="000000"/>
          <w:sz w:val="16"/>
        </w:rPr>
        <w:t>ARC 4252C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i w:val="false"/>
          <w:color w:val="000000"/>
          <w:sz w:val="16"/>
        </w:rPr>
        <w:t>ARC 4585C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6393C</w:t>
      </w:r>
      <w:r>
        <w:rPr>
          <w:rFonts w:ascii="Times New Roman" w:hAnsi="Times New Roman"/>
          <w:b w:val="false"/>
          <w:i w:val="false"/>
          <w:color w:val="000000"/>
          <w:sz w:val="16"/>
        </w:rPr>
        <w:t>, IAB 6/29/22, effective 8/3/22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701—260.3</w:t>
      </w:r>
      <w:r>
        <w:rPr>
          <w:rFonts w:ascii="Times New Roman" w:hAnsi="Times New Roman"/>
          <w:b/>
          <w:i w:val="false"/>
          <w:color w:val="000000"/>
          <w:sz w:val="22"/>
        </w:rPr>
        <w:t xml:space="preserve">(452A) </w:t>
      </w:r>
      <w:r>
        <w:rPr>
          <w:rFonts w:ascii="Times New Roman" w:hAnsi="Times New Roman"/>
          <w:b/>
          <w:i w:val="false"/>
          <w:color w:val="000000"/>
          <w:sz w:val="22"/>
        </w:rPr>
        <w:t xml:space="preserve">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260.3(1)</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fuel or undyed special fuel sold for export or exported from this state to another state, territory, or foreign country is exempt from the excise tax. The fuel is deemed sold for export or exported only if the bill of lading or manifest indicates that the destination of the fuel withdrawn from the terminal is outside the state of Iowa. The mode of transportation is not of consequence. In the event fuel is taxed and then subsequently exported, an amount equal to the tax previously paid will be allowable as a refund, upon receipt by the department of the appropriate documents, to the party who originally paid the tax. If the sale of exported fuel is completed in Iowa, then the sale is subject to Iowa sales tax if it is not exported for resale or otherwise exempt from sales tax. The sale is completed in Iowa if the foreign purchaser takes physical possession of the fuel in this state. See rule </w:t>
      </w:r>
      <w:hyperlink r:id="rId13">
        <w:r>
          <w:rPr>
            <w:rStyle w:val="Hyperlink"/>
            <w:rFonts w:ascii="Times New Roman" w:hAnsi="Times New Roman"/>
            <w:b w:val="false"/>
            <w:i w:val="false"/>
            <w:color w:val="000000"/>
            <w:sz w:val="22"/>
          </w:rPr>
          <w:t>701—220.2</w:t>
        </w:r>
      </w:hyperlink>
      <w:r>
        <w:rPr>
          <w:rFonts w:ascii="Times New Roman" w:hAnsi="Times New Roman"/>
          <w:b w:val="false"/>
          <w:i w:val="false"/>
          <w:color w:val="000000"/>
          <w:sz w:val="22"/>
        </w:rPr>
        <w:t>(422,423).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260.3(2)</w:t>
      </w:r>
      <w:r>
        <w:rPr>
          <w:rFonts w:ascii="Times New Roman" w:hAnsi="Times New Roman"/>
          <w:b w:val="false"/>
          <w:i w:val="false"/>
          <w:color w:val="000000"/>
          <w:sz w:val="22"/>
        </w:rPr>
        <w:t> </w:t>
      </w:r>
      <w:r>
        <w:rPr>
          <w:rFonts w:ascii="Times New Roman" w:hAnsi="Times New Roman"/>
          <w:b w:val="false"/>
          <w:i w:val="false"/>
          <w:color w:val="000000"/>
          <w:sz w:val="22"/>
        </w:rPr>
        <w:t xml:space="preserve">Indelible dye meeting United States Environmental Protection Agency and Internal Revenue Service regulations must be added to fuel before or upon withdrawal at a terminal or refinery rack for that fuel to be exempt from tax and the dyed fuel can only be used for a nontaxable purpose listed in Iowa Code section </w:t>
      </w:r>
      <w:hyperlink r:id="rId14">
        <w:r>
          <w:rPr>
            <w:rStyle w:val="Hyperlink"/>
            <w:rFonts w:ascii="Times New Roman" w:hAnsi="Times New Roman"/>
            <w:b w:val="false"/>
            <w:i w:val="false"/>
            <w:color w:val="000000"/>
            <w:sz w:val="22"/>
          </w:rPr>
          <w:t>452A.17(1)</w:t>
        </w:r>
      </w:hyperlink>
      <w:r>
        <w:rPr>
          <w:rFonts w:ascii="Times New Roman" w:hAnsi="Times New Roman"/>
          <w:b w:val="false"/>
          <w:i/>
          <w:color w:val="000000"/>
          <w:sz w:val="22"/>
        </w:rPr>
        <w:t>“a.”</w:t>
      </w:r>
      <w:r>
        <w:rPr>
          <w:rFonts w:ascii="Times New Roman" w:hAnsi="Times New Roman"/>
          <w:b w:val="false"/>
          <w:i w:val="false"/>
          <w:color w:val="000000"/>
          <w:sz w:val="22"/>
        </w:rPr>
        <w:t xml:space="preserve"> However, this exemption does not apply to fuel used for idle time, power takeoffs, reefer units, or pumping credits, or fuel used by contract carriers.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701—260.4</w:t>
      </w:r>
      <w:r>
        <w:rPr>
          <w:rFonts w:ascii="Times New Roman" w:hAnsi="Times New Roman"/>
          <w:b/>
          <w:i w:val="false"/>
          <w:color w:val="000000"/>
          <w:sz w:val="22"/>
        </w:rPr>
        <w:t xml:space="preserve">(452A) </w:t>
      </w:r>
      <w:r>
        <w:rPr>
          <w:rFonts w:ascii="Times New Roman" w:hAnsi="Times New Roman"/>
          <w:b/>
          <w:i w:val="false"/>
          <w:color w:val="000000"/>
          <w:sz w:val="22"/>
        </w:rPr>
        <w:t xml:space="preserve">Blended fuel taxation—nonterminal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260.4(1)</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all blenders at nonterminal locations. </w:t>
      </w:r>
      <w:r>
        <w:rPr>
          <w:rFonts w:ascii="Times New Roman" w:hAnsi="Times New Roman"/>
          <w:b w:val="false"/>
          <w:i w:val="false"/>
          <w:color w:val="000000"/>
          <w:sz w:val="22"/>
        </w:rPr>
        <w:t>A person who blends ethanol blended gasoline or biodiesel blended fuel at a nonterminal location must obtain a blender’s license. Blending ethanol with gasoline, or blending biodiesel with petrodiesel, may result in additional tax due or an allowable refund depending on the ethanol content of the mixture and the tax paid on its components. The blender must make payment to the department for the additional tax due. The blender must obtain a refund permit to receive a refund of the overpayment of tax on the blended product.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blender blends three parts ethanol with 17 parts gasoline to create E-15. The E-15 is taxed as ethanol blended gasoline, and the blender may be due a refund for excess tax paid on the gasoline used.</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blender blends one part biodiesel with four parts petrodiesel to create B-20. The B-20 is taxed as B-11 or higher, and the blender may be due a refund for excess tax paid on the petrodiesel used.</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 blender blends one part biodiesel with 19 parts petrodiesel to create B-5. The B-5 is taxed as diesel other than B-11 or higher, and the blender may owe additional tax to the department on the biodiesel used.</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 blender blends one part B-20 with five parts B-2 to create B-5. The B-5 is taxed as diesel other than B-11 or higher, and the blender may owe additional tax to the department on the B-20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260.4(2)</w:t>
      </w:r>
      <w:r>
        <w:rPr>
          <w:rFonts w:ascii="Times New Roman" w:hAnsi="Times New Roman"/>
          <w:b w:val="false"/>
          <w:i w:val="false"/>
          <w:color w:val="000000"/>
          <w:sz w:val="22"/>
        </w:rPr>
        <w:t> </w:t>
      </w:r>
      <w:r>
        <w:rPr>
          <w:rFonts w:ascii="Times New Roman" w:hAnsi="Times New Roman"/>
          <w:b w:val="false"/>
          <w:i/>
          <w:color w:val="000000"/>
          <w:sz w:val="22"/>
        </w:rPr>
        <w:t xml:space="preserve">Blenders of ethanol blended gasoline.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owns the ethanol (supplier) being used to blend with gasoline must purchase the gasoline from a supplier and pay the appropriate tax to the supplier. The blender must obtain a blender’s license and compute the tax due on the total gallons of blended product and make payment to the department for the additional amount due. For purposes of the following example, the tax rate for gasoline is presumed to be 30¢ per gallon and the tax rate for ethanol blended gasoline E-15 or higher is presumed to be 24¢ per gallon. The actual tax rates for the appropriate period are shown in subrule </w:t>
      </w:r>
      <w:hyperlink r:id="rId16">
        <w:r>
          <w:rPr>
            <w:rStyle w:val="Hyperlink"/>
            <w:rFonts w:ascii="Times New Roman" w:hAnsi="Times New Roman"/>
            <w:b w:val="false"/>
            <w:i w:val="false"/>
            <w:color w:val="000000"/>
            <w:sz w:val="22"/>
          </w:rPr>
          <w:t>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0"/>
        <w:gridCol w:w="2910"/>
      </w:tblGrid>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Blender purchases 7,000 gallons tax-paid gasoline (7,000 ×.30) =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$2,100.00</w:t>
            </w:r>
          </w:p>
        </w:tc>
      </w:tr>
      <w:tr>
        <w:trPr>
          <w:trHeight w:val="270" w:hRule="atLeast"/>
        </w:trPr>
        <w:tc>
          <w:tcPr>
            <w:tcW w:w="828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1"/>
              </w:rPr>
              <w:t xml:space="preserve">Blender adds 3,000 gallons untaxed ethanol </w:t>
            </w:r>
          </w:p>
        </w:tc>
        <w:tc>
          <w:tcPr>
            <w:tcW w:w="2910"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Total tax paid on products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$2,100.00</w:t>
            </w:r>
          </w:p>
        </w:tc>
      </w:tr>
      <w:tr>
        <w:trPr>
          <w:trHeight w:val="49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Total tax due on 10,000 gallons ethanol blended gasoline E-15 or higher (10,000 ×.24) =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$2,400.00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Additional Amount Due </w:t>
            </w:r>
          </w:p>
        </w:tc>
        <w:tc>
          <w:tcPr>
            <w:tcW w:w="291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$300.00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purchases ethanol and gasoline from a supplier must pay tax on both the ethanol purchased and the gasoline purchased. The blender must obtain a refund permit to receive a refund of the overpayment of tax on the blended product. For purposes of the following example, the tax rate for gasoline is presumed to be 30¢ per gallon and the tax rate for ethanol blended gasoline E-15 or higher is presumed to be 24¢ per gallon. The actual tax rates for the appropriate period are shown in </w:t>
      </w:r>
      <w:hyperlink r:id="rId17">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8"/>
        <w:gridCol w:w="2902"/>
      </w:tblGrid>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Blender purchases 7,000 gallons tax-paid gasoline (7,000 ×.30) =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$2,100.00</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Blender purchases 3,000 gallons tax-paid ethanol (3,000 ×.24) =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$720.00</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Total tax paid on products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$2,820.00</w:t>
            </w:r>
          </w:p>
        </w:tc>
      </w:tr>
      <w:tr>
        <w:trPr>
          <w:trHeight w:val="49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10,000 gallons ethanol blended gasoline E-15 or higher (10,000 ×.24)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$2,400.00</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Amount of Refund Allowable</w:t>
            </w:r>
          </w:p>
        </w:tc>
        <w:tc>
          <w:tcPr>
            <w:tcW w:w="290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$420.00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purchases ethanol and gasoline from any source must pay tax on both the ethanol purchased and the gasoline purchased. The blender must obtain a blender’s license and compute the tax due on the total gallons of blended product and make payment to the department for the additional amount due. For purposes of the following example, the tax rate for gasoline is presumed to be 30¢ per gallon, the tax rate for ethanol is presumed to be 24¢ per gallon, and the tax rate for ethanol blended gasoline E-10 is presumed to be 30¢ per gallon. The actual tax rates for the appropriate period are shown in </w:t>
      </w:r>
      <w:hyperlink r:id="rId18">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0"/>
        <w:gridCol w:w="2910"/>
      </w:tblGrid>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7,200 gallons tax-paid gasoline (7,200 ×.30)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$2,160.00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800 gallons tax-paid ethanol (800 ×.24)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$192.00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$2,352.00</w:t>
            </w:r>
          </w:p>
        </w:tc>
      </w:tr>
      <w:tr>
        <w:trPr>
          <w:trHeight w:val="49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ethanol blended gasoline E-10</w:t>
            </w:r>
            <w:r>
              <w:br/>
            </w:r>
            <w:r>
              <w:rPr>
                <w:rFonts w:ascii="Times New Roman" w:hAnsi="Times New Roman"/>
                <w:b w:val="false"/>
                <w:i w:val="false"/>
                <w:color w:val="000000"/>
                <w:sz w:val="21"/>
              </w:rPr>
              <w:t>(8,000 ×.30)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$2,400.00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Additional Amount Due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$48.00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purchases ethanol blended gasoline E-10 to E-14 and ethanol blended gasoline E-15 or higher from a supplier must pay tax on both the ethanol blended gasoline E-10 to E-14 purchased and the ethanol blended gasoline E-15 purchased. The blender must obtain a refund permit to receive a refund of the overpayment of tax on the blended product. For purposes of the following example, the tax rate for E-10 to E-14 purchased is presumed to be 30¢ per gallon and the tax rate for ethanol blended gasoline E-15 or higher is presumed to be 24¢ per gallon. The actual tax rates for the appropriate period are shown in </w:t>
      </w:r>
      <w:hyperlink r:id="rId19">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0"/>
        <w:gridCol w:w="2910"/>
      </w:tblGrid>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67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7,000 gallons tax-paid ethanol blended gasoline E-10 to E-14 (7,000 ×.30)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$2,100.00</w:t>
            </w:r>
          </w:p>
        </w:tc>
      </w:tr>
      <w:tr>
        <w:trPr>
          <w:trHeight w:val="49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3,000 gallons tax-paid ethanol blended gasoline E-15 or higher (3,000 ×.24)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$720.00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$2,820.00</w:t>
            </w:r>
          </w:p>
        </w:tc>
      </w:tr>
      <w:tr>
        <w:trPr>
          <w:trHeight w:val="49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10,000 gallons ethanol blended gasoline E-15 or higher (10,000 ×.24)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$2,400.00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Amount of Refund Allowable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$420.00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Ethanol blended gasoline E-15 or higher—blending errors.</w:t>
      </w:r>
    </w:p>
    <w:p>
      <w:pPr>
        <w:spacing w:before="0" w:after="0"/>
        <w:ind w:left="120"/>
        <w:jc w:val="both"/>
      </w:pPr>
      <w:r>
        <w:rPr>
          <w:rFonts w:ascii="Times New Roman" w:hAnsi="Times New Roman"/>
          <w:b w:val="false"/>
          <w:i w:val="false"/>
          <w:color w:val="000000"/>
          <w:sz w:val="22"/>
        </w:rPr>
        <w:t>Where a blending error occurs and an insufficient amount of ethanol has been blended with gasoline so that the mixture fails to qualify as ethanol blended gasoline E-15 or higher, a 1 percent tolerance applies in determining the tax on the blended product as described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amount of the ethanol erroneously blended with gasoline is at least 14 percent of the total blended product by volume, the ethanol and gasoline blended product is considered ethanol blended gasoline E-15 or higher and there is no penalty or assessment of additional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amount of ethanol erroneously blended with gasoline is less than 14 percent of the total blended product by volume, the total blend of gasoline and ethanol is subject to tax as ethanol blended gasoline E-10 to E-14 at the prevailing rate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only if a blender intends to produce ethanol blended gasoline E-15 or higher. If a blender does not intend to produce ethanol blended gasoline when blending ethanol and gasoline, and the mixture contains less than 14 percent ethanol by volume, no error has occurred and the mixture is subject to tax as ethanol blended gasoline E-10 to E-14.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formulas are used to compute blending errors:</w:t>
      </w:r>
    </w:p>
    <w:p>
      <w:pPr>
        <w:spacing w:before="0" w:after="0"/>
        <w:ind w:left="120"/>
        <w:jc w:val="both"/>
      </w:pPr>
      <w:r>
        <w:rPr>
          <w:rFonts w:ascii="Times New Roman" w:hAnsi="Times New Roman"/>
          <w:b w:val="false"/>
          <w:i w:val="false"/>
          <w:color w:val="000000"/>
          <w:sz w:val="22"/>
        </w:rPr>
        <w:t>Actual gasoline + actual ethanol = total gallons of blended product</w:t>
      </w:r>
    </w:p>
    <w:p>
      <w:pPr>
        <w:spacing w:before="0" w:after="0"/>
        <w:ind w:left="120"/>
        <w:jc w:val="both"/>
      </w:pPr>
      <w:r>
        <w:rPr>
          <w:rFonts w:ascii="Times New Roman" w:hAnsi="Times New Roman"/>
          <w:b w:val="false"/>
          <w:i w:val="false"/>
          <w:color w:val="000000"/>
          <w:sz w:val="22"/>
        </w:rPr>
        <w:t>Total gallons of blended product × .14 = required ethanol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Examples. The following factors are assumed for all examples:</w:t>
      </w:r>
    </w:p>
    <w:p>
      <w:pPr>
        <w:spacing w:before="0" w:after="0"/>
        <w:ind w:left="120"/>
        <w:jc w:val="both"/>
      </w:pPr>
      <w:r>
        <w:rPr>
          <w:rFonts w:ascii="Times New Roman" w:hAnsi="Times New Roman"/>
          <w:b w:val="false"/>
          <w:i w:val="false"/>
          <w:color w:val="000000"/>
          <w:sz w:val="22"/>
        </w:rPr>
        <w:t xml:space="preserve">The blender in each example intends to blend ethanol blended gasoline E-15 or higher. Figures are rounded to the nearest whole gallon; ethanol blended gasoline E-15 or higher is taxed at 24¢ per gallon; gasoline is taxed at 30¢ per gallon. The actual tax rates for the appropriate period are shown in </w:t>
      </w:r>
      <w:hyperlink r:id="rId20">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 Penalty and interest charges are not computed in the examples.</w:t>
      </w:r>
    </w:p>
    <w:tbl>
      <w:tblPr>
        <w:tblW w:w="5000" w:type="pct"/>
        <w:tblCellSpacing w:w="0" w:type="auto"/>
        <w:tblBorders>
          <w:top w:val="none"/>
          <w:left w:val="none"/>
          <w:bottom w:val="none"/>
          <w:right w:val="none"/>
          <w:insideH w:val="none"/>
          <w:insideV w:val="none"/>
        </w:tblBorders>
        <w:tblLayout w:type="fixed"/>
      </w:tblPr>
      <w:tblGrid>
        <w:gridCol w:w="3796"/>
        <w:gridCol w:w="526"/>
        <w:gridCol w:w="1387"/>
        <w:gridCol w:w="5480"/>
      </w:tblGrid>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1:</w:t>
            </w:r>
          </w:p>
        </w:tc>
      </w:tr>
      <w:tr>
        <w:trPr>
          <w:trHeight w:val="270"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gasoline</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8,500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ethanol</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1,500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blended product</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10,000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10,000 ×.14</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1,400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gal. required ethanol </w:t>
            </w:r>
          </w:p>
        </w:tc>
      </w:tr>
    </w:tbl>
    <w:p>
      <w:pPr>
        <w:spacing w:before="0" w:after="0"/>
        <w:ind w:left="120"/>
        <w:jc w:val="both"/>
      </w:pPr>
      <w:r>
        <w:rPr>
          <w:rFonts w:ascii="Times New Roman" w:hAnsi="Times New Roman"/>
          <w:b w:val="false"/>
          <w:i w:val="false"/>
          <w:color w:val="000000"/>
          <w:sz w:val="22"/>
        </w:rPr>
        <w:t xml:space="preserve">The actual ethanol (1,500 gallons) is more than the required ethanol (1,400 gallons), which means that the tax is applied according to subparagraph </w:t>
      </w:r>
      <w:hyperlink r:id="rId21">
        <w:r>
          <w:rPr>
            <w:rStyle w:val="Hyperlink"/>
            <w:rFonts w:ascii="Times New Roman" w:hAnsi="Times New Roman"/>
            <w:b w:val="false"/>
            <w:i w:val="false"/>
            <w:color w:val="000000"/>
            <w:sz w:val="22"/>
          </w:rPr>
          <w:t>260.4(2)</w:t>
        </w:r>
      </w:hyperlink>
      <w:r>
        <w:rPr>
          <w:rFonts w:ascii="Times New Roman" w:hAnsi="Times New Roman"/>
          <w:b w:val="false"/>
          <w:i/>
          <w:color w:val="000000"/>
          <w:sz w:val="22"/>
        </w:rPr>
        <w:t>“e”</w:t>
      </w:r>
      <w:r>
        <w:rPr>
          <w:rFonts w:ascii="Times New Roman" w:hAnsi="Times New Roman"/>
          <w:b w:val="false"/>
          <w:i w:val="false"/>
          <w:color w:val="000000"/>
          <w:sz w:val="22"/>
        </w:rPr>
        <w:t>(1) as follows:</w:t>
      </w:r>
    </w:p>
    <w:tbl>
      <w:tblPr>
        <w:tblW w:w="5000" w:type="pct"/>
        <w:tblCellSpacing w:w="0" w:type="auto"/>
        <w:tblBorders>
          <w:top w:val="none"/>
          <w:left w:val="none"/>
          <w:bottom w:val="none"/>
          <w:right w:val="none"/>
          <w:insideH w:val="none"/>
          <w:insideV w:val="none"/>
        </w:tblBorders>
        <w:tblLayout w:type="fixed"/>
      </w:tblPr>
      <w:tblGrid>
        <w:gridCol w:w="4719"/>
        <w:gridCol w:w="682"/>
        <w:gridCol w:w="1365"/>
        <w:gridCol w:w="5333"/>
      </w:tblGrid>
      <w:tr>
        <w:trPr>
          <w:trHeight w:val="495" w:hRule="atLeast"/>
        </w:trPr>
        <w:tc>
          <w:tcPr>
            <w:tcW w:w="4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10,000 gal. of blended product ×.24</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 </w:t>
            </w:r>
          </w:p>
        </w:tc>
        <w:tc>
          <w:tcPr>
            <w:tcW w:w="13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$2,400</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tax on ethanol blended gasoline E-15 or higher</w:t>
            </w:r>
          </w:p>
        </w:tc>
      </w:tr>
    </w:tbl>
    <w:tbl>
      <w:tblPr>
        <w:tblW w:w="5000" w:type="pct"/>
        <w:tblCellSpacing w:w="0" w:type="auto"/>
        <w:tblBorders>
          <w:top w:val="none"/>
          <w:left w:val="none"/>
          <w:bottom w:val="none"/>
          <w:right w:val="none"/>
          <w:insideH w:val="none"/>
          <w:insideV w:val="none"/>
        </w:tblBorders>
        <w:tblLayout w:type="fixed"/>
      </w:tblPr>
      <w:tblGrid>
        <w:gridCol w:w="3800"/>
        <w:gridCol w:w="617"/>
        <w:gridCol w:w="1305"/>
        <w:gridCol w:w="5468"/>
      </w:tblGrid>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2:</w:t>
            </w:r>
          </w:p>
        </w:tc>
      </w:tr>
      <w:tr>
        <w:trPr>
          <w:trHeight w:val="360"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gasoline</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9,200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ethanol</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800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blended product</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10,000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10,000 ×.14</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1,400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gal. required ethanol </w:t>
            </w:r>
          </w:p>
        </w:tc>
      </w:tr>
    </w:tbl>
    <w:p>
      <w:pPr>
        <w:spacing w:before="0" w:after="0"/>
        <w:ind w:left="120"/>
        <w:jc w:val="both"/>
      </w:pPr>
      <w:r>
        <w:rPr>
          <w:rFonts w:ascii="Times New Roman" w:hAnsi="Times New Roman"/>
          <w:b w:val="false"/>
          <w:i w:val="false"/>
          <w:color w:val="000000"/>
          <w:sz w:val="22"/>
        </w:rPr>
        <w:t xml:space="preserve">The actual ethanol (800 gallons) is less than the required ethanol (1,400 gallons), which means that the entire blend is considered gasoline and the tax is applied according to subparagraph </w:t>
      </w:r>
      <w:hyperlink r:id="rId22">
        <w:r>
          <w:rPr>
            <w:rStyle w:val="Hyperlink"/>
            <w:rFonts w:ascii="Times New Roman" w:hAnsi="Times New Roman"/>
            <w:b w:val="false"/>
            <w:i w:val="false"/>
            <w:color w:val="000000"/>
            <w:sz w:val="22"/>
          </w:rPr>
          <w:t>260.4(2)</w:t>
        </w:r>
      </w:hyperlink>
      <w:r>
        <w:rPr>
          <w:rFonts w:ascii="Times New Roman" w:hAnsi="Times New Roman"/>
          <w:b w:val="false"/>
          <w:i/>
          <w:color w:val="000000"/>
          <w:sz w:val="22"/>
        </w:rPr>
        <w:t>“e”</w:t>
      </w:r>
      <w:r>
        <w:rPr>
          <w:rFonts w:ascii="Times New Roman" w:hAnsi="Times New Roman"/>
          <w:b w:val="false"/>
          <w:i w:val="false"/>
          <w:color w:val="000000"/>
          <w:sz w:val="22"/>
        </w:rPr>
        <w:t>(2) as follows:</w:t>
      </w:r>
    </w:p>
    <w:tbl>
      <w:tblPr>
        <w:tblW w:w="5000" w:type="pct"/>
        <w:tblCellSpacing w:w="0" w:type="auto"/>
        <w:tblBorders>
          <w:top w:val="none"/>
          <w:left w:val="none"/>
          <w:bottom w:val="none"/>
          <w:right w:val="none"/>
          <w:insideH w:val="none"/>
          <w:insideV w:val="none"/>
        </w:tblBorders>
        <w:tblLayout w:type="fixed"/>
      </w:tblPr>
      <w:tblGrid>
        <w:gridCol w:w="5059"/>
        <w:gridCol w:w="602"/>
        <w:gridCol w:w="1185"/>
        <w:gridCol w:w="5333"/>
      </w:tblGrid>
      <w:tr>
        <w:trPr>
          <w:trHeight w:val="270" w:hRule="atLeast"/>
        </w:trPr>
        <w:tc>
          <w:tcPr>
            <w:tcW w:w="5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10,000 gal. of blended product ×.30</w:t>
            </w:r>
          </w:p>
        </w:tc>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 </w:t>
            </w:r>
          </w:p>
        </w:tc>
        <w:tc>
          <w:tcPr>
            <w:tcW w:w="1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$3,000</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tax on gasoline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260.4(3)</w:t>
      </w:r>
      <w:r>
        <w:rPr>
          <w:rFonts w:ascii="Times New Roman" w:hAnsi="Times New Roman"/>
          <w:b w:val="false"/>
          <w:i w:val="false"/>
          <w:color w:val="000000"/>
          <w:sz w:val="22"/>
        </w:rPr>
        <w:t> </w:t>
      </w:r>
      <w:r>
        <w:rPr>
          <w:rFonts w:ascii="Times New Roman" w:hAnsi="Times New Roman"/>
          <w:b w:val="false"/>
          <w:i/>
          <w:color w:val="000000"/>
          <w:sz w:val="22"/>
        </w:rPr>
        <w:t xml:space="preserve">Blenders of biodiesel blended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owns the biodiesel being used to blend with diesel must purchase the diesel from a supplier and pay the appropriate tax to the supplier. The blender must obtain a blender’s license and compute the tax due on the total gallons of blended product and make payment to the department for the additional amount due. For purposes of the following examples, the tax rate for B-11 or higher is presumed to be 30.1¢ per gallon and the tax rate for diesel other than B-11 or higher is presumed to be 32.5¢ per gallon. The actual tax rates for the appropriate period are shown in </w:t>
      </w:r>
      <w:hyperlink r:id="rId23">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1.</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7,120 gallons tax-paid petrodiesel (7,120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$2,314.00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adds 880 gallons untaxed biodiesel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$2,314.00</w:t>
            </w:r>
          </w:p>
        </w:tc>
      </w:tr>
    </w:tbl>
    <w:p>
      <w:pPr>
        <w:spacing w:before="0" w:after="0"/>
        <w:ind w:left="120"/>
        <w:jc w:val="both"/>
      </w:pPr>
      <w:r>
        <w:rPr>
          <w:rFonts w:ascii="Times New Roman" w:hAnsi="Times New Roman"/>
          <w:b w:val="false"/>
          <w:i w:val="false"/>
          <w:color w:val="000000"/>
          <w:sz w:val="22"/>
        </w:rPr>
        <w:t>The blended product is 8,000 gallons of diesel, which includes 880 gallons (11% by volume) of biodiesel. Thus, the product is taxed as B-11 or higher.</w:t>
      </w:r>
    </w:p>
    <w:tbl>
      <w:tblPr>
        <w:tblW w:w="5000" w:type="pct"/>
        <w:tblCellSpacing w:w="0" w:type="auto"/>
        <w:tblBorders>
          <w:top w:val="none"/>
          <w:left w:val="none"/>
          <w:bottom w:val="none"/>
          <w:right w:val="none"/>
          <w:insideH w:val="none"/>
          <w:insideV w:val="none"/>
        </w:tblBorders>
        <w:tblLayout w:type="fixed"/>
      </w:tblPr>
      <w:tblGrid>
        <w:gridCol w:w="8813"/>
        <w:gridCol w:w="2667"/>
      </w:tblGrid>
      <w:tr>
        <w:trPr>
          <w:trHeight w:val="270" w:hRule="atLeast"/>
        </w:trPr>
        <w:tc>
          <w:tcPr>
            <w:tcW w:w="88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blended B-11 or higher (8,000 ×.301) =</w:t>
            </w:r>
          </w:p>
        </w:tc>
        <w:tc>
          <w:tcPr>
            <w:tcW w:w="266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$2,408.00</w:t>
            </w:r>
          </w:p>
        </w:tc>
      </w:tr>
      <w:tr>
        <w:trPr>
          <w:trHeight w:val="270" w:hRule="atLeast"/>
        </w:trPr>
        <w:tc>
          <w:tcPr>
            <w:tcW w:w="88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Additional Amount Due =</w:t>
            </w:r>
          </w:p>
        </w:tc>
        <w:tc>
          <w:tcPr>
            <w:tcW w:w="266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$94.00</w:t>
            </w:r>
          </w:p>
        </w:tc>
      </w:tr>
    </w:tbl>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2.</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7,600 gallons tax-paid petrodiesel (7,600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$2,470.00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adds 400 gallons untaxed biodiesel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$2,470.00</w:t>
            </w:r>
          </w:p>
        </w:tc>
      </w:tr>
    </w:tbl>
    <w:p>
      <w:pPr>
        <w:spacing w:before="0" w:after="0"/>
        <w:ind w:left="120"/>
        <w:jc w:val="both"/>
      </w:pPr>
      <w:r>
        <w:rPr>
          <w:rFonts w:ascii="Times New Roman" w:hAnsi="Times New Roman"/>
          <w:b w:val="false"/>
          <w:i w:val="false"/>
          <w:color w:val="000000"/>
          <w:sz w:val="22"/>
        </w:rPr>
        <w:t>The blended product is 8,000 gallons of diesel, which includes 400 gallons (5% by volume) of biodiesel. Thus, the product is taxed as diesel other than B-11 or higher.</w:t>
      </w:r>
    </w:p>
    <w:tbl>
      <w:tblPr>
        <w:tblW w:w="5000" w:type="pct"/>
        <w:tblCellSpacing w:w="0" w:type="auto"/>
        <w:tblBorders>
          <w:top w:val="none"/>
          <w:left w:val="none"/>
          <w:bottom w:val="none"/>
          <w:right w:val="none"/>
          <w:insideH w:val="none"/>
          <w:insideV w:val="none"/>
        </w:tblBorders>
        <w:tblLayout w:type="fixed"/>
      </w:tblPr>
      <w:tblGrid>
        <w:gridCol w:w="9510"/>
        <w:gridCol w:w="1680"/>
      </w:tblGrid>
      <w:tr>
        <w:trPr>
          <w:trHeight w:val="270" w:hRule="atLeast"/>
        </w:trPr>
        <w:tc>
          <w:tcPr>
            <w:tcW w:w="95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diesel other than B-11 or higher (8,000 ×.325) =</w:t>
            </w:r>
          </w:p>
        </w:tc>
        <w:tc>
          <w:tcPr>
            <w:tcW w:w="168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$2,600.00</w:t>
            </w:r>
          </w:p>
        </w:tc>
      </w:tr>
      <w:tr>
        <w:trPr>
          <w:trHeight w:val="270" w:hRule="atLeast"/>
        </w:trPr>
        <w:tc>
          <w:tcPr>
            <w:tcW w:w="95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Additional Amount Due =</w:t>
            </w:r>
          </w:p>
        </w:tc>
        <w:tc>
          <w:tcPr>
            <w:tcW w:w="168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$130.00</w:t>
            </w:r>
          </w:p>
        </w:tc>
      </w:tr>
    </w:tbl>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3.</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7,750 gallons tax-paid B-2 (7,750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$2,518.75</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adds 250 gallons untaxed biodiesel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$2,518.75</w:t>
            </w:r>
          </w:p>
        </w:tc>
      </w:tr>
    </w:tbl>
    <w:p>
      <w:pPr>
        <w:spacing w:before="0" w:after="0"/>
        <w:ind w:left="120"/>
        <w:jc w:val="both"/>
      </w:pPr>
      <w:r>
        <w:rPr>
          <w:rFonts w:ascii="Times New Roman" w:hAnsi="Times New Roman"/>
          <w:b w:val="false"/>
          <w:i w:val="false"/>
          <w:color w:val="000000"/>
          <w:sz w:val="22"/>
        </w:rPr>
        <w:t>7,750 gallons of B-2 contains 155 gallons (2%) of biodiesel. The blended product is 8,000 gallons of diesel, which includes 405 gallons (155 + 250, or 5% by volume) of biodiesel. Thus, the product is taxed as diesel other than B-11 or higher.</w:t>
      </w:r>
    </w:p>
    <w:tbl>
      <w:tblPr>
        <w:tblW w:w="5000" w:type="pct"/>
        <w:tblCellSpacing w:w="0" w:type="auto"/>
        <w:tblBorders>
          <w:top w:val="none"/>
          <w:left w:val="none"/>
          <w:bottom w:val="none"/>
          <w:right w:val="none"/>
          <w:insideH w:val="none"/>
          <w:insideV w:val="none"/>
        </w:tblBorders>
        <w:tblLayout w:type="fixed"/>
      </w:tblPr>
      <w:tblGrid>
        <w:gridCol w:w="8965"/>
        <w:gridCol w:w="2667"/>
      </w:tblGrid>
      <w:tr>
        <w:trPr>
          <w:trHeight w:val="660" w:hRule="atLeast"/>
        </w:trPr>
        <w:tc>
          <w:tcPr>
            <w:tcW w:w="8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diesel other than B-11 or higher (8,000 ×.325) =</w:t>
            </w:r>
          </w:p>
        </w:tc>
        <w:tc>
          <w:tcPr>
            <w:tcW w:w="266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$2,600.00</w:t>
            </w:r>
          </w:p>
        </w:tc>
      </w:tr>
      <w:tr>
        <w:trPr>
          <w:trHeight w:val="270" w:hRule="atLeast"/>
        </w:trPr>
        <w:tc>
          <w:tcPr>
            <w:tcW w:w="8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Additional Amount Due =</w:t>
            </w:r>
          </w:p>
        </w:tc>
        <w:tc>
          <w:tcPr>
            <w:tcW w:w="266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$81.25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purchases diesel products from a supplier must pay the appropriate tax on all diesel products purchased. The blender must obtain a blender’s license and compute the tax due on the total gallons of blended product and make payment to the department for any additional amount due. The blender must also obtain a refund permit to receive a refund of any overpayment of tax on the blended product. For purposes of the following examples, the tax rate for B-11 or higher is presumed to be 30.1¢ per gallon and the tax rate for diesel fuel other than B-11 or higher is presumed to be 32.5¢ per gallon. The actual tax rates for the appropriate period are shown in </w:t>
      </w:r>
      <w:hyperlink r:id="rId24">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8"/>
        <w:gridCol w:w="2902"/>
      </w:tblGrid>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1.</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7,120 gallons tax-paid petrodiesel (7,120 ×.325)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$2,314.00</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880 gallons tax-paid biodiesel (880 ×.301)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$264.88</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$2,578.88</w:t>
            </w:r>
          </w:p>
        </w:tc>
      </w:tr>
    </w:tbl>
    <w:p>
      <w:pPr>
        <w:spacing w:before="0" w:after="0"/>
        <w:ind w:left="120"/>
        <w:jc w:val="both"/>
      </w:pPr>
      <w:r>
        <w:rPr>
          <w:rFonts w:ascii="Times New Roman" w:hAnsi="Times New Roman"/>
          <w:b w:val="false"/>
          <w:i w:val="false"/>
          <w:color w:val="000000"/>
          <w:sz w:val="22"/>
        </w:rPr>
        <w:t>The blended product is 8,000 gallons of diesel, which includes 880 gallons (11% by volume) of biodiesel. Thus, the product is taxed as B-11 or higher.</w:t>
      </w:r>
    </w:p>
    <w:tbl>
      <w:tblPr>
        <w:tblW w:w="5000" w:type="pct"/>
        <w:tblCellSpacing w:w="0" w:type="auto"/>
        <w:tblBorders>
          <w:top w:val="none"/>
          <w:left w:val="none"/>
          <w:bottom w:val="none"/>
          <w:right w:val="none"/>
          <w:insideH w:val="none"/>
          <w:insideV w:val="none"/>
        </w:tblBorders>
        <w:tblLayout w:type="fixed"/>
      </w:tblPr>
      <w:tblGrid>
        <w:gridCol w:w="9094"/>
        <w:gridCol w:w="2218"/>
      </w:tblGrid>
      <w:tr>
        <w:trPr>
          <w:trHeight w:val="270" w:hRule="atLeast"/>
        </w:trPr>
        <w:tc>
          <w:tcPr>
            <w:tcW w:w="9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blended B-11 or higher (8,000 ×.301) =</w:t>
            </w:r>
          </w:p>
        </w:tc>
        <w:tc>
          <w:tcPr>
            <w:tcW w:w="22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$2,408.00</w:t>
            </w:r>
          </w:p>
        </w:tc>
      </w:tr>
      <w:tr>
        <w:trPr>
          <w:trHeight w:val="270" w:hRule="atLeast"/>
        </w:trPr>
        <w:tc>
          <w:tcPr>
            <w:tcW w:w="9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Amount of Refund Allowable =</w:t>
            </w:r>
          </w:p>
        </w:tc>
        <w:tc>
          <w:tcPr>
            <w:tcW w:w="221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$170.88</w:t>
            </w:r>
          </w:p>
        </w:tc>
      </w:tr>
    </w:tbl>
    <w:tbl>
      <w:tblPr>
        <w:tblW w:w="5000" w:type="pct"/>
        <w:tblCellSpacing w:w="0" w:type="auto"/>
        <w:tblBorders>
          <w:top w:val="none"/>
          <w:left w:val="none"/>
          <w:bottom w:val="none"/>
          <w:right w:val="none"/>
          <w:insideH w:val="none"/>
          <w:insideV w:val="none"/>
        </w:tblBorders>
        <w:tblLayout w:type="fixed"/>
      </w:tblPr>
      <w:tblGrid>
        <w:gridCol w:w="8427"/>
        <w:gridCol w:w="2763"/>
      </w:tblGrid>
      <w:tr>
        <w:trPr>
          <w:trHeight w:val="270"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2.</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7,600 gallons tax-paid petrodiesel (7,600 ×.325) =</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$2,470.00</w:t>
            </w:r>
          </w:p>
        </w:tc>
      </w:tr>
      <w:tr>
        <w:trPr>
          <w:trHeight w:val="270"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400 gallons tax-paid biodiesel (400 ×.301) =</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$120.40</w:t>
            </w:r>
          </w:p>
        </w:tc>
      </w:tr>
      <w:tr>
        <w:trPr>
          <w:trHeight w:val="270"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$2,590.40</w:t>
            </w:r>
          </w:p>
        </w:tc>
      </w:tr>
    </w:tbl>
    <w:p>
      <w:pPr>
        <w:spacing w:before="0" w:after="0"/>
        <w:ind w:left="120"/>
        <w:jc w:val="both"/>
      </w:pPr>
      <w:r>
        <w:rPr>
          <w:rFonts w:ascii="Times New Roman" w:hAnsi="Times New Roman"/>
          <w:b w:val="false"/>
          <w:i w:val="false"/>
          <w:color w:val="000000"/>
          <w:sz w:val="22"/>
        </w:rPr>
        <w:t>The blended product is 8,000 gallons of biodiesel blended fuel, which includes 400 gallons (5% by volume) of biodiesel. Thus, the product is taxed as diesel other than B-11 or higher.</w:t>
      </w:r>
    </w:p>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blended B-5 (8,000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$2,600.00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Additional Amount Due =</w:t>
            </w:r>
          </w:p>
        </w:tc>
        <w:tc>
          <w:tcPr>
            <w:tcW w:w="292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$9.60</w:t>
            </w:r>
          </w:p>
        </w:tc>
      </w:tr>
    </w:tbl>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3.</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4,000 gallons tax-paid B-2 (4,000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$1,300.00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4,000 gallons tax-paid B-20 (4,000 ×.301)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$1,204.00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$2,504.00</w:t>
            </w:r>
          </w:p>
        </w:tc>
      </w:tr>
    </w:tbl>
    <w:p>
      <w:pPr>
        <w:spacing w:before="0" w:after="0"/>
        <w:ind w:left="120"/>
        <w:jc w:val="both"/>
      </w:pPr>
      <w:r>
        <w:rPr>
          <w:rFonts w:ascii="Times New Roman" w:hAnsi="Times New Roman"/>
          <w:b w:val="false"/>
          <w:i w:val="false"/>
          <w:color w:val="000000"/>
          <w:sz w:val="22"/>
        </w:rPr>
        <w:t>4,000 gallons of B-2 contains 80 gallons (2%) of biodiesel, and 4,000 gallons of B-20 contains 800 gallons (20%) of biodiesel. The blended product is 8,000 gallons of diesel, which includes 880 gallons (80 + 800, or 11% by volume) of biodiesel. Thus, the product is taxed as B-11 or higher.</w:t>
      </w:r>
    </w:p>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B-11 or higher (8,000 ×.301)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$2,408.00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Amount of Refund Allowable =</w:t>
            </w:r>
          </w:p>
        </w:tc>
        <w:tc>
          <w:tcPr>
            <w:tcW w:w="292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$96.00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Blending errors. Where a blending error occurs and an insufficient amount of biodiesel has been blended with petrodiesel so that the mixture fails to qualify as B-11 or higher as defined in rule </w:t>
      </w:r>
      <w:hyperlink r:id="rId25">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(452A), a 1 percent tolerance applies in determining the tax on the blended product as described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amount of the biodiesel erroneously blended with petrodiesel is at least 10 percent of the total blended product by volume, the biodiesel and petrodiesel blended product is considered B-11 or higher and there is no penalty or assessment of additional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amount of biodiesel blended with petrodiesel is less than 10 percent of the total blended product by volume, the entire mixture is considered taxable diesel other than B-11 or higher and subject to tax at the prevailing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only if a blender intends to produce B-11 or higher. If a blender does not intend to produce B-11 or higher when blending biodiesel and petrodiesel, and the mixture contains less than 11 percent biodiesel by volume, no error has occurred and the mixture is subject to tax as diesel other than B-11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formulas are used to compute blending errors:</w:t>
      </w:r>
    </w:p>
    <w:p>
      <w:pPr>
        <w:spacing w:before="0" w:after="0"/>
        <w:ind w:left="120"/>
        <w:jc w:val="both"/>
      </w:pPr>
      <w:r>
        <w:rPr>
          <w:rFonts w:ascii="Times New Roman" w:hAnsi="Times New Roman"/>
          <w:b w:val="false"/>
          <w:i w:val="false"/>
          <w:color w:val="000000"/>
          <w:sz w:val="22"/>
        </w:rPr>
        <w:t>Actual biodiesel + actual petrodiesel = total gallons of blended product</w:t>
      </w:r>
    </w:p>
    <w:p>
      <w:pPr>
        <w:spacing w:before="0" w:after="0"/>
        <w:ind w:left="120"/>
        <w:jc w:val="both"/>
      </w:pPr>
      <w:r>
        <w:rPr>
          <w:rFonts w:ascii="Times New Roman" w:hAnsi="Times New Roman"/>
          <w:b w:val="false"/>
          <w:i w:val="false"/>
          <w:color w:val="000000"/>
          <w:sz w:val="22"/>
        </w:rPr>
        <w:t>Total gallons of blended product × .1 = required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Examples. The following factors are assumed for all examples:</w:t>
      </w:r>
    </w:p>
    <w:p>
      <w:pPr>
        <w:spacing w:before="0" w:after="0"/>
        <w:ind w:left="120"/>
        <w:jc w:val="both"/>
      </w:pPr>
      <w:r>
        <w:rPr>
          <w:rFonts w:ascii="Times New Roman" w:hAnsi="Times New Roman"/>
          <w:b w:val="false"/>
          <w:i w:val="false"/>
          <w:color w:val="000000"/>
          <w:sz w:val="22"/>
        </w:rPr>
        <w:t xml:space="preserve">The blender in each example intends to blend B-11 or higher. Figures are rounded to the nearest whole gallon; B-11 or higher is taxed at .301¢ per gallon; diesel other than B-11 or higher is taxed at .325¢ per gallon. The actual tax rates for the appropriate period are shown in </w:t>
      </w:r>
      <w:hyperlink r:id="rId26">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 xml:space="preserve">. Penalty and interest charges are not computed in the examples. </w:t>
      </w:r>
    </w:p>
    <w:tbl>
      <w:tblPr>
        <w:tblW w:w="5000" w:type="pct"/>
        <w:tblCellSpacing w:w="0" w:type="auto"/>
        <w:tblBorders>
          <w:top w:val="none"/>
          <w:left w:val="none"/>
          <w:bottom w:val="none"/>
          <w:right w:val="none"/>
          <w:insideH w:val="none"/>
          <w:insideV w:val="none"/>
        </w:tblBorders>
        <w:tblLayout w:type="fixed"/>
      </w:tblPr>
      <w:tblGrid>
        <w:gridCol w:w="3531"/>
        <w:gridCol w:w="597"/>
        <w:gridCol w:w="1664"/>
        <w:gridCol w:w="5397"/>
      </w:tblGrid>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1.</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petrodiesel</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8,095</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Actual biodiesel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905</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blended product</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9,000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9,000 ×.1</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 required biodiesel</w:t>
            </w:r>
          </w:p>
        </w:tc>
      </w:tr>
    </w:tbl>
    <w:p>
      <w:pPr>
        <w:spacing w:before="0" w:after="0"/>
        <w:ind w:left="120"/>
        <w:jc w:val="both"/>
      </w:pPr>
      <w:r>
        <w:rPr>
          <w:rFonts w:ascii="Times New Roman" w:hAnsi="Times New Roman"/>
          <w:b w:val="false"/>
          <w:i w:val="false"/>
          <w:color w:val="000000"/>
          <w:sz w:val="22"/>
        </w:rPr>
        <w:t xml:space="preserve">The actual biodiesel (905 gallons) is more than the required biodiesel (900 gallons). Thus, the tax is applied according to </w:t>
      </w:r>
      <w:hyperlink r:id="rId27">
        <w:r>
          <w:rPr>
            <w:rStyle w:val="Hyperlink"/>
            <w:rFonts w:ascii="Times New Roman" w:hAnsi="Times New Roman"/>
            <w:b w:val="false"/>
            <w:i w:val="false"/>
            <w:color w:val="000000"/>
            <w:sz w:val="22"/>
          </w:rPr>
          <w:t>subparagraph 260.4(3)</w:t>
        </w:r>
      </w:hyperlink>
      <w:r>
        <w:rPr>
          <w:rFonts w:ascii="Times New Roman" w:hAnsi="Times New Roman"/>
          <w:b w:val="false"/>
          <w:i/>
          <w:color w:val="000000"/>
          <w:sz w:val="22"/>
        </w:rPr>
        <w:t>“c”</w:t>
      </w:r>
      <w:r>
        <w:rPr>
          <w:rFonts w:ascii="Times New Roman" w:hAnsi="Times New Roman"/>
          <w:b w:val="false"/>
          <w:i w:val="false"/>
          <w:color w:val="000000"/>
          <w:sz w:val="22"/>
        </w:rPr>
        <w:t>(1) as follows:</w:t>
      </w:r>
    </w:p>
    <w:tbl>
      <w:tblPr>
        <w:tblW w:w="5000" w:type="pct"/>
        <w:tblCellSpacing w:w="0" w:type="auto"/>
        <w:tblBorders>
          <w:top w:val="none"/>
          <w:left w:val="none"/>
          <w:bottom w:val="none"/>
          <w:right w:val="none"/>
          <w:insideH w:val="none"/>
          <w:insideV w:val="none"/>
        </w:tblBorders>
        <w:tblLayout w:type="fixed"/>
      </w:tblPr>
      <w:tblGrid>
        <w:gridCol w:w="5200"/>
        <w:gridCol w:w="533"/>
        <w:gridCol w:w="1600"/>
        <w:gridCol w:w="5333"/>
      </w:tblGrid>
      <w:tr>
        <w:trPr>
          <w:trHeight w:val="270" w:hRule="atLeast"/>
        </w:trPr>
        <w:tc>
          <w:tcPr>
            <w:tcW w:w="5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9,000 gal. of blended product ×.301</w:t>
            </w:r>
          </w:p>
        </w:tc>
        <w:tc>
          <w:tcPr>
            <w:tcW w:w="5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$2,709 tax on B-11 or higher</w:t>
            </w:r>
          </w:p>
        </w:tc>
      </w:tr>
    </w:tbl>
    <w:tbl>
      <w:tblPr>
        <w:tblW w:w="5000" w:type="pct"/>
        <w:tblCellSpacing w:w="0" w:type="auto"/>
        <w:tblBorders>
          <w:top w:val="none"/>
          <w:left w:val="none"/>
          <w:bottom w:val="none"/>
          <w:right w:val="none"/>
          <w:insideH w:val="none"/>
          <w:insideV w:val="none"/>
        </w:tblBorders>
        <w:tblLayout w:type="fixed"/>
      </w:tblPr>
      <w:tblGrid>
        <w:gridCol w:w="3531"/>
        <w:gridCol w:w="597"/>
        <w:gridCol w:w="1664"/>
        <w:gridCol w:w="5397"/>
      </w:tblGrid>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2.</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petrodiesel</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8,105</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Actual biodiesel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895</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blended product</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9,000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9,000 ×.1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 required biodiesel</w:t>
            </w:r>
          </w:p>
        </w:tc>
      </w:tr>
    </w:tbl>
    <w:p>
      <w:pPr>
        <w:spacing w:before="0" w:after="0"/>
        <w:ind w:left="120"/>
        <w:jc w:val="both"/>
      </w:pPr>
      <w:r>
        <w:rPr>
          <w:rFonts w:ascii="Times New Roman" w:hAnsi="Times New Roman"/>
          <w:b w:val="false"/>
          <w:i w:val="false"/>
          <w:color w:val="000000"/>
          <w:sz w:val="22"/>
        </w:rPr>
        <w:t xml:space="preserve">The actual biodiesel (895 gallons) is less than the required biodiesel (900 gallons). Thus, the tax is applied according to </w:t>
      </w:r>
      <w:hyperlink r:id="rId28">
        <w:r>
          <w:rPr>
            <w:rStyle w:val="Hyperlink"/>
            <w:rFonts w:ascii="Times New Roman" w:hAnsi="Times New Roman"/>
            <w:b w:val="false"/>
            <w:i w:val="false"/>
            <w:color w:val="000000"/>
            <w:sz w:val="22"/>
          </w:rPr>
          <w:t>subparagraph 260.4(3)</w:t>
        </w:r>
      </w:hyperlink>
      <w:r>
        <w:rPr>
          <w:rFonts w:ascii="Times New Roman" w:hAnsi="Times New Roman"/>
          <w:b w:val="false"/>
          <w:i/>
          <w:color w:val="000000"/>
          <w:sz w:val="22"/>
        </w:rPr>
        <w:t>“c”</w:t>
      </w:r>
      <w:r>
        <w:rPr>
          <w:rFonts w:ascii="Times New Roman" w:hAnsi="Times New Roman"/>
          <w:b w:val="false"/>
          <w:i w:val="false"/>
          <w:color w:val="000000"/>
          <w:sz w:val="22"/>
        </w:rPr>
        <w:t>(2) as follows:</w:t>
      </w:r>
    </w:p>
    <w:tbl>
      <w:tblPr>
        <w:tblW w:w="5000" w:type="pct"/>
        <w:tblCellSpacing w:w="0" w:type="auto"/>
        <w:tblBorders>
          <w:top w:val="none"/>
          <w:left w:val="none"/>
          <w:bottom w:val="none"/>
          <w:right w:val="none"/>
          <w:insideH w:val="none"/>
          <w:insideV w:val="none"/>
        </w:tblBorders>
        <w:tblLayout w:type="fixed"/>
      </w:tblPr>
      <w:tblGrid>
        <w:gridCol w:w="4798"/>
        <w:gridCol w:w="562"/>
        <w:gridCol w:w="1600"/>
        <w:gridCol w:w="5333"/>
      </w:tblGrid>
      <w:tr>
        <w:trPr>
          <w:trHeight w:val="270" w:hRule="atLeast"/>
        </w:trPr>
        <w:tc>
          <w:tcPr>
            <w:tcW w:w="4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9,000 gal. of blended product ×.325</w:t>
            </w:r>
          </w:p>
        </w:tc>
        <w:tc>
          <w:tcPr>
            <w:tcW w:w="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$2,925 tax on diesel other than B-11 or higher</w:t>
            </w:r>
          </w:p>
        </w:tc>
      </w:tr>
    </w:tbl>
    <w:tbl>
      <w:tblPr>
        <w:tblW w:w="5000" w:type="pct"/>
        <w:tblCellSpacing w:w="0" w:type="auto"/>
        <w:tblBorders>
          <w:top w:val="none"/>
          <w:left w:val="none"/>
          <w:bottom w:val="none"/>
          <w:right w:val="none"/>
          <w:insideH w:val="none"/>
          <w:insideV w:val="none"/>
        </w:tblBorders>
        <w:tblLayout w:type="fixed"/>
      </w:tblPr>
      <w:tblGrid>
        <w:gridCol w:w="3531"/>
        <w:gridCol w:w="597"/>
        <w:gridCol w:w="1664"/>
        <w:gridCol w:w="5397"/>
      </w:tblGrid>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3.</w:t>
            </w:r>
          </w:p>
        </w:tc>
      </w:tr>
      <w:tr>
        <w:trPr>
          <w:trHeight w:val="120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A blender erroneously mixes 5,000 gallons of B-2 with 4,500 gallons of B-20 with the intent of creating B-11 or higher. 5,000 gallons of B-2 contains 100 gallons (2%) of biodiesel. 4,500 gallons of B-20 contains 900 gallons (20%) of biodiesel. Thus, the 9,500 gallons (4,500 + 5,000) of blended product includes 1,000 gallons (100 + 900) of biodiesel and 8,500 gallons (9,500 – 1,000) of petrodiesel.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petrodiesel</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8,500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Actual biodiesel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33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blended product</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9,500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9,500 ×.1</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950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 required biodiesel</w:t>
            </w:r>
          </w:p>
        </w:tc>
      </w:tr>
    </w:tbl>
    <w:p>
      <w:pPr>
        <w:spacing w:before="0" w:after="0"/>
        <w:ind w:left="120"/>
        <w:jc w:val="both"/>
      </w:pPr>
      <w:r>
        <w:rPr>
          <w:rFonts w:ascii="Times New Roman" w:hAnsi="Times New Roman"/>
          <w:b w:val="false"/>
          <w:i w:val="false"/>
          <w:color w:val="000000"/>
          <w:sz w:val="22"/>
        </w:rPr>
        <w:t xml:space="preserve">The actual biodiesel (1,000 gallons) is greater than the required biodiesel (950 gallons), which means that the entire blend is considered B-11 or higher and the tax is applied according to </w:t>
      </w:r>
      <w:hyperlink r:id="rId29">
        <w:r>
          <w:rPr>
            <w:rStyle w:val="Hyperlink"/>
            <w:rFonts w:ascii="Times New Roman" w:hAnsi="Times New Roman"/>
            <w:b w:val="false"/>
            <w:i w:val="false"/>
            <w:color w:val="000000"/>
            <w:sz w:val="22"/>
          </w:rPr>
          <w:t>subparagraph 260.4(3)</w:t>
        </w:r>
      </w:hyperlink>
      <w:r>
        <w:rPr>
          <w:rFonts w:ascii="Times New Roman" w:hAnsi="Times New Roman"/>
          <w:b w:val="false"/>
          <w:i/>
          <w:color w:val="000000"/>
          <w:sz w:val="22"/>
        </w:rPr>
        <w:t>“c”</w:t>
      </w:r>
      <w:r>
        <w:rPr>
          <w:rFonts w:ascii="Times New Roman" w:hAnsi="Times New Roman"/>
          <w:b w:val="false"/>
          <w:i w:val="false"/>
          <w:color w:val="000000"/>
          <w:sz w:val="22"/>
        </w:rPr>
        <w:t>(1) as follows:</w:t>
      </w:r>
    </w:p>
    <w:tbl>
      <w:tblPr>
        <w:tblW w:w="5000" w:type="pct"/>
        <w:tblCellSpacing w:w="0" w:type="auto"/>
        <w:tblBorders>
          <w:top w:val="none"/>
          <w:left w:val="none"/>
          <w:bottom w:val="none"/>
          <w:right w:val="none"/>
          <w:insideH w:val="none"/>
          <w:insideV w:val="none"/>
        </w:tblBorders>
        <w:tblLayout w:type="fixed"/>
      </w:tblPr>
      <w:tblGrid>
        <w:gridCol w:w="4738"/>
        <w:gridCol w:w="533"/>
        <w:gridCol w:w="1600"/>
        <w:gridCol w:w="5333"/>
      </w:tblGrid>
      <w:tr>
        <w:trPr>
          <w:trHeight w:val="270" w:hRule="atLeast"/>
        </w:trPr>
        <w:tc>
          <w:tcPr>
            <w:tcW w:w="4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9,500 gal. of blended product ×.301</w:t>
            </w:r>
          </w:p>
        </w:tc>
        <w:tc>
          <w:tcPr>
            <w:tcW w:w="5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$2,859.50</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tax on B-11 or higher</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Senate File 257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2247C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701—260.5</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returns—computations.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260.5(1)</w:t>
      </w:r>
      <w:r>
        <w:rPr>
          <w:rFonts w:ascii="Times New Roman" w:hAnsi="Times New Roman"/>
          <w:b w:val="false"/>
          <w:i w:val="false"/>
          <w:color w:val="000000"/>
          <w:sz w:val="22"/>
        </w:rPr>
        <w:t> </w:t>
      </w:r>
      <w:r>
        <w:rPr>
          <w:rFonts w:ascii="Times New Roman" w:hAnsi="Times New Roman"/>
          <w:b w:val="false"/>
          <w:i w:val="false"/>
          <w:color w:val="000000"/>
          <w:sz w:val="22"/>
        </w:rPr>
        <w:t>Supplier—nexus.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fuel tax liability for a supplier is computed by multiplying the per gallon fuel tax rate by the total number of invoiced gallons of motor fuel or undyed special fuel withdrawn from the terminal by the supplier within the state or by the supplier with an Iowa nexus from a terminal outside the state during the preceding calendar month, less deductions for fuel exported in the case of in-state withdrawals and the distribution allowance provided for in Iowa Code section </w:t>
      </w:r>
      <w:hyperlink r:id="rId31">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Tax shall not be paid when the sale of ethanol occurs within a terminal from an ethanol manufacturer to a licensed supplier. The tax shall be paid by the licensed supplier when the invoiced gross gallonage of the ethanol or the ethanol part of the ethanol blended gasoline is withdrawn from a terminal for delivery in this state. This makes the licensed supplier responsible for the tax on both the ethanol and the gasoline portions of the ethanol blended gasoline and for the reporting and accounting of this fuel as ethanol blended gasoline on the supplier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fuel is withdrawn by a supplier with no nexus in Iowa, but who voluntarily agrees to collect and report the tax, from a terminal outside of Iowa for importation into Iowa, the tax liability is computed in the same manner as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with the exception that no deduction is allowable for exports.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260.5(2)</w:t>
      </w:r>
      <w:r>
        <w:rPr>
          <w:rFonts w:ascii="Times New Roman" w:hAnsi="Times New Roman"/>
          <w:b w:val="false"/>
          <w:i w:val="false"/>
          <w:color w:val="000000"/>
          <w:sz w:val="22"/>
        </w:rPr>
        <w:t> </w:t>
      </w:r>
      <w:r>
        <w:rPr>
          <w:rFonts w:ascii="Times New Roman" w:hAnsi="Times New Roman"/>
          <w:b w:val="false"/>
          <w:i w:val="false"/>
          <w:color w:val="000000"/>
          <w:sz w:val="22"/>
        </w:rPr>
        <w:t>The fuel tax liability for a restrictive supplier is to be computed by multiplying the per gallon fuel tax rate by the total number of invoiced gallons of motor fuel or undyed special fuel imported into Iowa during the preceding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260.5(3)</w:t>
      </w:r>
      <w:r>
        <w:rPr>
          <w:rFonts w:ascii="Times New Roman" w:hAnsi="Times New Roman"/>
          <w:b w:val="false"/>
          <w:i w:val="false"/>
          <w:color w:val="000000"/>
          <w:sz w:val="22"/>
        </w:rPr>
        <w:t> </w:t>
      </w:r>
      <w:r>
        <w:rPr>
          <w:rFonts w:ascii="Times New Roman" w:hAnsi="Times New Roman"/>
          <w:b w:val="false"/>
          <w:i w:val="false"/>
          <w:color w:val="000000"/>
          <w:sz w:val="22"/>
        </w:rPr>
        <w:t>The fuel tax liability for an importer is computed by multiplying the per gallon fuel tax rate by the total number of invoiced gallons of motor fuel or undyed special fuel imported into Iowa during the applicable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260.5(4)</w:t>
      </w:r>
      <w:r>
        <w:rPr>
          <w:rFonts w:ascii="Times New Roman" w:hAnsi="Times New Roman"/>
          <w:b w:val="false"/>
          <w:i w:val="false"/>
          <w:color w:val="000000"/>
          <w:sz w:val="22"/>
        </w:rPr>
        <w:t> </w:t>
      </w:r>
      <w:r>
        <w:rPr>
          <w:rFonts w:ascii="Times New Roman" w:hAnsi="Times New Roman"/>
          <w:b w:val="false"/>
          <w:i w:val="false"/>
          <w:color w:val="000000"/>
          <w:sz w:val="22"/>
        </w:rPr>
        <w:t>The tax liability for a nonlicensee is computed the same as a restrictive supplier. If motor fuel or undyed special fuel is exported from this state with no tax paid and subsequently returned to this state because all or a portion of it was not delivered where destined, the tax must be paid to the department by the nonlicensee.</w:t>
      </w:r>
    </w:p>
    <w:p>
      <w:pPr>
        <w:spacing w:before="0" w:after="0"/>
        <w:ind w:left="120"/>
        <w:jc w:val="both"/>
      </w:pPr>
      <w:r>
        <w:rPr>
          <w:rFonts w:ascii="Times New Roman" w:hAnsi="Times New Roman"/>
          <w:b w:val="false"/>
          <w:i w:val="false"/>
          <w:color w:val="000000"/>
          <w:sz w:val="22"/>
        </w:rPr>
        <w:t>All gallon entries on the return for determining the tax liability must be rounded to the nearest whole number.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736</w:t>
      </w:r>
      <w:r>
        <w:rPr>
          <w:rFonts w:ascii="Times New Roman" w:hAnsi="Times New Roman"/>
          <w:b w:val="false"/>
          <w:i w:val="false"/>
          <w:color w:val="000000"/>
          <w:sz w:val="22"/>
        </w:rPr>
        <w:t xml:space="preserve">, and sections </w:t>
      </w:r>
      <w:hyperlink r:id="rId33">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452A.9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701—260.6</w:t>
      </w:r>
      <w:r>
        <w:rPr>
          <w:rFonts w:ascii="Times New Roman" w:hAnsi="Times New Roman"/>
          <w:b/>
          <w:i w:val="false"/>
          <w:color w:val="000000"/>
          <w:sz w:val="22"/>
        </w:rPr>
        <w:t xml:space="preserve">(452A) </w:t>
      </w:r>
      <w:r>
        <w:rPr>
          <w:rFonts w:ascii="Times New Roman" w:hAnsi="Times New Roman"/>
          <w:b/>
          <w:i w:val="false"/>
          <w:color w:val="000000"/>
          <w:sz w:val="22"/>
        </w:rPr>
        <w:t xml:space="preserve">Distribution allowance. </w:t>
      </w:r>
      <w:r>
        <w:rPr>
          <w:rFonts w:ascii="Times New Roman" w:hAnsi="Times New Roman"/>
          <w:b w:val="false"/>
          <w:i w:val="false"/>
          <w:color w:val="000000"/>
          <w:sz w:val="22"/>
        </w:rPr>
        <w:t>The tax computation for a supplier includes a distribution allowance of 1.6 percent of the motor fuel gallonage and 0.7 percent of the undyed special fuel gallonage removed from the terminal during the reporting period. The distributor purchasing the fuel from the supplier is entitled to 1.2 percent of the motor fuel distribution allowance. The distributor or dealer purchasing fuel from a supplier is entitled to 0.35 percent of the undyed special fuel distribution allowance. The distribution allowance does not apply to fuel exported.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701—260.7</w:t>
      </w:r>
      <w:r>
        <w:rPr>
          <w:rFonts w:ascii="Times New Roman" w:hAnsi="Times New Roman"/>
          <w:b/>
          <w:i w:val="false"/>
          <w:color w:val="000000"/>
          <w:sz w:val="22"/>
        </w:rPr>
        <w:t xml:space="preserve">(452A) </w:t>
      </w:r>
      <w:r>
        <w:rPr>
          <w:rFonts w:ascii="Times New Roman" w:hAnsi="Times New Roman"/>
          <w:b/>
          <w:i w:val="false"/>
          <w:color w:val="000000"/>
          <w:sz w:val="22"/>
        </w:rPr>
        <w:t xml:space="preserve">Supplier credit—uncollectible account. </w:t>
      </w:r>
      <w:r>
        <w:rPr>
          <w:rFonts w:ascii="Times New Roman" w:hAnsi="Times New Roman"/>
          <w:b w:val="false"/>
          <w:i w:val="false"/>
          <w:color w:val="000000"/>
          <w:sz w:val="22"/>
        </w:rPr>
        <w:t>A licensed supplier who is unable to recover the tax from an eligible purchaser or end user is not liable for the tax and may credit the amount of unpaid tax against a later remittance of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w:t>
      </w:r>
      <w:r>
        <w:rPr>
          <w:rFonts w:ascii="Times New Roman" w:hAnsi="Times New Roman"/>
          <w:b w:val="false"/>
          <w:i w:val="false"/>
          <w:color w:val="000000"/>
          <w:sz w:val="22"/>
        </w:rPr>
        <w:t> </w:t>
      </w:r>
      <w:r>
        <w:rPr>
          <w:rFonts w:ascii="Times New Roman" w:hAnsi="Times New Roman"/>
          <w:b w:val="false"/>
          <w:i w:val="false"/>
          <w:color w:val="000000"/>
          <w:sz w:val="22"/>
        </w:rPr>
        <w:t>To qualify for the credit, the supplier must notify the department in writing of the uncollectible account no later than ten calendar days after the due date for payment of the tax.</w:t>
      </w:r>
    </w:p>
    <w:p>
      <w:pPr>
        <w:spacing w:before="0" w:after="0"/>
        <w:ind w:left="120"/>
        <w:jc w:val="both"/>
      </w:pPr>
      <w:r>
        <w:rPr>
          <w:rFonts w:ascii="Times New Roman" w:hAnsi="Times New Roman"/>
          <w:b w:val="false"/>
          <w:i w:val="false"/>
          <w:color w:val="000000"/>
          <w:sz w:val="22"/>
        </w:rPr>
        <w:t>Notification is to be sent to the Iowa Department of Revenue, Compliance Section - Business, P.O. Box 10465, Des Moines, Iowa 50306-0465.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260.7(2)</w:t>
      </w:r>
      <w:r>
        <w:rPr>
          <w:rFonts w:ascii="Times New Roman" w:hAnsi="Times New Roman"/>
          <w:b w:val="false"/>
          <w:i w:val="false"/>
          <w:color w:val="000000"/>
          <w:sz w:val="22"/>
        </w:rPr>
        <w:t> </w:t>
      </w:r>
      <w:r>
        <w:rPr>
          <w:rFonts w:ascii="Times New Roman" w:hAnsi="Times New Roman"/>
          <w:b w:val="false"/>
          <w:i w:val="false"/>
          <w:color w:val="000000"/>
          <w:sz w:val="22"/>
        </w:rPr>
        <w:t>A supplier does not qualify for the credit if the purchaser did not elect to apply for the eligible purchaser or end user status or did not qualify to be an eligible purchaser. Likewise, the credit does not apply if the supplier sells additional fuel to a delinquent eligible purchaser or end user after notifying the department that the supplier has an uncollectible debt with an eligible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notification from the supplier that an eligible purchaser is in default of the tax payment, that person’s eligible purchaser or end user status will be canceled by the department. The eligible purchaser or end user status will not be reinstated until such time as the purchaser posts securities to guarantee future tax payments as provided in </w:t>
      </w:r>
      <w:hyperlink r:id="rId38">
        <w:r>
          <w:rPr>
            <w:rStyle w:val="Hyperlink"/>
            <w:rFonts w:ascii="Times New Roman" w:hAnsi="Times New Roman"/>
            <w:b w:val="false"/>
            <w:i w:val="false"/>
            <w:color w:val="000000"/>
            <w:sz w:val="22"/>
          </w:rPr>
          <w:t>701—paragraph 259.21(1)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260.7(4)</w:t>
      </w:r>
      <w:r>
        <w:rPr>
          <w:rFonts w:ascii="Times New Roman" w:hAnsi="Times New Roman"/>
          <w:b w:val="false"/>
          <w:i w:val="false"/>
          <w:color w:val="000000"/>
          <w:sz w:val="22"/>
        </w:rPr>
        <w:t> </w:t>
      </w:r>
      <w:r>
        <w:rPr>
          <w:rFonts w:ascii="Times New Roman" w:hAnsi="Times New Roman"/>
          <w:b w:val="false"/>
          <w:i w:val="false"/>
          <w:color w:val="000000"/>
          <w:sz w:val="22"/>
        </w:rPr>
        <w:t>Eligible purchaser. Any distributor of motor fuel or special fuel or end user of special fuel who requests authorization to make delayed payments of the motor vehicle fuel tax must first register with the department to obtain the eligible purchaser status.</w:t>
      </w:r>
    </w:p>
    <w:p>
      <w:pPr>
        <w:spacing w:before="0" w:after="0"/>
        <w:ind w:left="120"/>
        <w:jc w:val="both"/>
      </w:pPr>
      <w:r>
        <w:rPr>
          <w:rFonts w:ascii="Times New Roman" w:hAnsi="Times New Roman"/>
          <w:b w:val="false"/>
          <w:i w:val="false"/>
          <w:color w:val="000000"/>
          <w:sz w:val="22"/>
        </w:rPr>
        <w:t>The eligible purchaser must pay the tax to the supplier by electronic funds transfer one business day prior to the date the tax is to be paid by the supplier.</w:t>
      </w:r>
    </w:p>
    <w:p>
      <w:pPr>
        <w:spacing w:before="0" w:after="0"/>
        <w:ind w:left="120"/>
        <w:jc w:val="both"/>
      </w:pPr>
      <w:r>
        <w:rPr>
          <w:rFonts w:ascii="Times New Roman" w:hAnsi="Times New Roman"/>
          <w:b w:val="false"/>
          <w:i w:val="false"/>
          <w:color w:val="000000"/>
          <w:sz w:val="22"/>
        </w:rPr>
        <w:t xml:space="preserve">Once approved, the eligible purchaser status is valid until voluntarily canceled by the eligible purchaser or canceled by the department of revenue. See </w:t>
      </w:r>
      <w:hyperlink r:id="rId39">
        <w:r>
          <w:rPr>
            <w:rStyle w:val="Hyperlink"/>
            <w:rFonts w:ascii="Times New Roman" w:hAnsi="Times New Roman"/>
            <w:b w:val="false"/>
            <w:i w:val="false"/>
            <w:color w:val="000000"/>
            <w:sz w:val="22"/>
          </w:rPr>
          <w:t>701—subrule 259.23(4)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701—260.8</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Refunds. </w:t>
      </w:r>
      <w:r>
        <w:rPr>
          <w:rFonts w:ascii="Times New Roman" w:hAnsi="Times New Roman"/>
          <w:b w:val="false"/>
          <w:i w:val="false"/>
          <w:color w:val="000000"/>
          <w:sz w:val="22"/>
        </w:rPr>
        <w:t>Refunds are allowable for the tax paid on motor fuel and undyed special fuel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government. Fuel sold to the United States or to any agency or instrumentality of the United States. The tax is subject to refund regardless of how the fuel is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factors, among others, will be considered in determining if any organization is an instrumentality of the United States government: (a) whether it was created by the federal government, (b) whether it is wholly owned by the federal government, (c) whether it is operated for profit, (d) whether it is “primarily” engaged in the performance of some “essential” government function, and (e) whether the tax will impose an economic burden upon the federal government or serve to materially impair the usefulness and efficiency of the organization or to materially restrict it in the performance of its duties if it were imposed.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American Red Cross, Project Head Start, Federal Land Banks and Federal Land Bank Associations, among others, have been determined to be instrumentalities of the federal government. Receivers or trustees appointed in the federal bankruptcy proceedings are subject to the excise tax. </w:t>
      </w:r>
    </w:p>
    <w:p>
      <w:pPr>
        <w:spacing w:before="0" w:after="0"/>
        <w:ind w:left="120"/>
        <w:jc w:val="both"/>
      </w:pPr>
      <w:r>
        <w:rPr>
          <w:rFonts w:ascii="Times New Roman" w:hAnsi="Times New Roman"/>
          <w:b w:val="false"/>
          <w:i w:val="false"/>
          <w:color w:val="000000"/>
          <w:sz w:val="22"/>
        </w:rPr>
        <w:t>The refund is not available to employees of the federal government who purchase fuel individually and are later reimbursed by the federal government. The name of the federal agency must appear on the invoice as the purchaser of the fuel or the refund will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 systems. Fuel sold to an Iowa urban transit system as defined in rule </w:t>
      </w:r>
      <w:hyperlink r:id="rId41">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 xml:space="preserve">(452A) or a company operating a taxicab service under contract with an Iowa urban transit system which is used for a purpose specified in Iowa Code section </w:t>
      </w:r>
      <w:hyperlink r:id="rId42">
        <w:r>
          <w:rPr>
            <w:rStyle w:val="Hyperlink"/>
            <w:rFonts w:ascii="Times New Roman" w:hAnsi="Times New Roman"/>
            <w:b w:val="false"/>
            <w:i w:val="false"/>
            <w:color w:val="000000"/>
            <w:sz w:val="22"/>
          </w:rPr>
          <w:t>452A.57(6)</w:t>
        </w:r>
      </w:hyperlink>
      <w:r>
        <w:rPr>
          <w:rFonts w:ascii="Times New Roman" w:hAnsi="Times New Roman"/>
          <w:b w:val="false"/>
          <w:i w:val="false"/>
          <w:color w:val="000000"/>
          <w:sz w:val="22"/>
        </w:rPr>
        <w:t xml:space="preserve"> and fuel sold to a regional transit system as defined in rule </w:t>
      </w:r>
      <w:hyperlink r:id="rId43">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 xml:space="preserve">(452A) which is used for a purpose specified in Iowa Code section </w:t>
      </w:r>
      <w:hyperlink r:id="rId44">
        <w:r>
          <w:rPr>
            <w:rStyle w:val="Hyperlink"/>
            <w:rFonts w:ascii="Times New Roman" w:hAnsi="Times New Roman"/>
            <w:b w:val="false"/>
            <w:i w:val="false"/>
            <w:color w:val="000000"/>
            <w:sz w:val="22"/>
          </w:rPr>
          <w:t>452A.57(11)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260.8(3)</w:t>
      </w:r>
      <w:r>
        <w:rPr>
          <w:rFonts w:ascii="Times New Roman" w:hAnsi="Times New Roman"/>
          <w:b w:val="false"/>
          <w:i w:val="false"/>
          <w:color w:val="000000"/>
          <w:sz w:val="22"/>
        </w:rPr>
        <w:t> </w:t>
      </w:r>
      <w:r>
        <w:rPr>
          <w:rFonts w:ascii="Times New Roman" w:hAnsi="Times New Roman"/>
          <w:b w:val="false"/>
          <w:i w:val="false"/>
          <w:color w:val="000000"/>
          <w:sz w:val="22"/>
        </w:rPr>
        <w:t>The state and political subdivisions. Fuel sold to the state of Iowa or any political subdivision of the state which is used for public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refund is not available to agencies or instrumentalities of a political subdivision, but rather only to the state of Iowa, agencies of the state of Iowa, and political subdivisions of the state of Iowa. The general attributes and factors in determining if an entity is a political subdivision of the state of Iowa are: (a) the entity has a specific geographic area, (b) the entity has public officials elected at public elections, (c) the entity has taxing power, (d) the entity has a general public purpose or benefit, and (e) the foregoing attributes, factors or powers were delegated to the entity by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refund is also not available to employees of a governmental unit who purchase fuel individually and are later reimbursed by the governmental unit. The name of the governmental unit must appear on the invoice as the purchaser of the fuel or the refund will not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260.8(4)</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 carriers.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fuel and undyed special fuel sold to a contract carrier who has a contract with a public school under Iowa Code section </w:t>
      </w:r>
      <w:hyperlink r:id="rId45">
        <w:r>
          <w:rPr>
            <w:rStyle w:val="Hyperlink"/>
            <w:rFonts w:ascii="Times New Roman" w:hAnsi="Times New Roman"/>
            <w:b w:val="false"/>
            <w:i w:val="false"/>
            <w:color w:val="000000"/>
            <w:sz w:val="22"/>
          </w:rPr>
          <w:t>285.5</w:t>
        </w:r>
      </w:hyperlink>
      <w:r>
        <w:rPr>
          <w:rFonts w:ascii="Times New Roman" w:hAnsi="Times New Roman"/>
          <w:b w:val="false"/>
          <w:i w:val="false"/>
          <w:color w:val="000000"/>
          <w:sz w:val="22"/>
        </w:rPr>
        <w:t xml:space="preserve"> for the transportation of pupils of an approved public or nonpublic school is refundable. If the contract carrier also uses fuel for purposes other than the transportation of pupils, the refund will be based on that percentage of the total amount of fuel purchased which reflects the pupil transportation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refund requested by contract carriers will be reduced by the applicable sales tax unless otherwise exempt. The name of the contract carrier must appear on the invoice as the purchaser of the fuel or the refund will not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260.8(5)</w:t>
      </w:r>
      <w:r>
        <w:rPr>
          <w:rFonts w:ascii="Times New Roman" w:hAnsi="Times New Roman"/>
          <w:b w:val="false"/>
          <w:i w:val="false"/>
          <w:color w:val="000000"/>
          <w:sz w:val="22"/>
        </w:rPr>
        <w:t> </w:t>
      </w:r>
      <w:r>
        <w:rPr>
          <w:rFonts w:ascii="Times New Roman" w:hAnsi="Times New Roman"/>
          <w:b w:val="false"/>
          <w:i w:val="false"/>
          <w:color w:val="000000"/>
          <w:sz w:val="22"/>
        </w:rPr>
        <w:t>Fuel used in unlicensed vehicles, stationary engines, machinery and equipment used for nonhighway purposes, implements used in agricultural production, and fuel used for home heating.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260.8(6)</w:t>
      </w:r>
      <w:r>
        <w:rPr>
          <w:rFonts w:ascii="Times New Roman" w:hAnsi="Times New Roman"/>
          <w:b w:val="false"/>
          <w:i w:val="false"/>
          <w:color w:val="000000"/>
          <w:sz w:val="22"/>
        </w:rPr>
        <w:t> </w:t>
      </w:r>
      <w:r>
        <w:rPr>
          <w:rFonts w:ascii="Times New Roman" w:hAnsi="Times New Roman"/>
          <w:b w:val="false"/>
          <w:i w:val="false"/>
          <w:color w:val="000000"/>
          <w:sz w:val="22"/>
        </w:rPr>
        <w:t>Fuel used for producing denatured ethanol.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260.8(7)</w:t>
      </w:r>
      <w:r>
        <w:rPr>
          <w:rFonts w:ascii="Times New Roman" w:hAnsi="Times New Roman"/>
          <w:b w:val="false"/>
          <w:i w:val="false"/>
          <w:color w:val="000000"/>
          <w:sz w:val="22"/>
        </w:rPr>
        <w:t> </w:t>
      </w:r>
      <w:r>
        <w:rPr>
          <w:rFonts w:ascii="Times New Roman" w:hAnsi="Times New Roman"/>
          <w:b w:val="false"/>
          <w:i w:val="false"/>
          <w:color w:val="000000"/>
          <w:sz w:val="22"/>
        </w:rPr>
        <w:t xml:space="preserve">Fuel used in the watercraft of a commercial fisher, licensed and operating under an owner’s certificate for commercial fishing gear issued pursuant to Iowa Code section </w:t>
      </w:r>
      <w:hyperlink r:id="rId46">
        <w:r>
          <w:rPr>
            <w:rStyle w:val="Hyperlink"/>
            <w:rFonts w:ascii="Times New Roman" w:hAnsi="Times New Roman"/>
            <w:b w:val="false"/>
            <w:i w:val="false"/>
            <w:color w:val="000000"/>
            <w:sz w:val="22"/>
          </w:rPr>
          <w:t>482.4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260.8(8)</w:t>
      </w:r>
      <w:r>
        <w:rPr>
          <w:rFonts w:ascii="Times New Roman" w:hAnsi="Times New Roman"/>
          <w:b w:val="false"/>
          <w:i w:val="false"/>
          <w:color w:val="000000"/>
          <w:sz w:val="22"/>
        </w:rPr>
        <w:t> </w:t>
      </w:r>
      <w:r>
        <w:rPr>
          <w:rFonts w:ascii="Times New Roman" w:hAnsi="Times New Roman"/>
          <w:b w:val="false"/>
          <w:i w:val="false"/>
          <w:color w:val="000000"/>
          <w:sz w:val="22"/>
        </w:rPr>
        <w:t>Fuel placed in motor vehicles, whether registered or not registered, not operated on public highways, and used in the extraction and processing of natural deposits.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260.8(9)</w:t>
      </w:r>
      <w:r>
        <w:rPr>
          <w:rFonts w:ascii="Times New Roman" w:hAnsi="Times New Roman"/>
          <w:b w:val="false"/>
          <w:i w:val="false"/>
          <w:color w:val="000000"/>
          <w:sz w:val="22"/>
        </w:rPr>
        <w:t> </w:t>
      </w:r>
      <w:r>
        <w:rPr>
          <w:rFonts w:ascii="Times New Roman" w:hAnsi="Times New Roman"/>
          <w:b w:val="false"/>
          <w:i w:val="false"/>
          <w:color w:val="000000"/>
          <w:sz w:val="22"/>
        </w:rPr>
        <w:t>Idle time. Persons who wish to claim a refund for idle time (the engine is running but not propelling the vehicle) must first apply to the department and provide statistical information on how the refund amount will be calculated. Normally, to qualify for a refund the vehicle must be equipped with an on-board monitoring device which will record the actual time the engine is idling and the amount of fuel consumed while idling. If the device only records the idle time and not fuel used, the refund amount will be calculated at one-half gallon of fuel consumed per one hour of idle time. The computation must also consider the miles driven in Iowa versus total miles driven. The department will require a review of interstate carrier reports before approval of the computation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260.8(10)</w:t>
      </w:r>
      <w:r>
        <w:rPr>
          <w:rFonts w:ascii="Times New Roman" w:hAnsi="Times New Roman"/>
          <w:b w:val="false"/>
          <w:i w:val="false"/>
          <w:color w:val="000000"/>
          <w:sz w:val="22"/>
        </w:rPr>
        <w:t> </w:t>
      </w:r>
      <w:r>
        <w:rPr>
          <w:rFonts w:ascii="Times New Roman" w:hAnsi="Times New Roman"/>
          <w:b w:val="false"/>
          <w:i w:val="false"/>
          <w:color w:val="000000"/>
          <w:sz w:val="22"/>
        </w:rPr>
        <w:t>Power takeoff. Persons operating vehicles which have auxiliary equipment that is powered by the power takeoff may apply for a refund for that portion of the fuel used for powering the auxiliary equipment.</w:t>
      </w:r>
    </w:p>
    <w:p>
      <w:pPr>
        <w:spacing w:before="0" w:after="0"/>
        <w:ind w:left="120"/>
        <w:jc w:val="both"/>
      </w:pPr>
      <w:r>
        <w:rPr>
          <w:rFonts w:ascii="Times New Roman" w:hAnsi="Times New Roman"/>
          <w:b w:val="false"/>
          <w:i w:val="false"/>
          <w:color w:val="000000"/>
          <w:sz w:val="22"/>
        </w:rPr>
        <w:t>The person requesting the refund must furnish the department with statistical information on how the exempt percentage is established. The percentage can be established by using the following noninclusive methods.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Determine the actual fuel usage by the hour while the auxiliary equipment is in use compared to total hours the engine is running.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Establish total miles per gallon for the vehicle when auxiliary equipment is not in use compared to miles per gallon while the equipment is in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computation methods to be reviewed by the department prior to approval.</w:t>
      </w:r>
    </w:p>
    <w:p>
      <w:pPr>
        <w:spacing w:before="0" w:after="0"/>
        <w:ind w:left="120"/>
        <w:jc w:val="both"/>
      </w:pPr>
      <w:r>
        <w:rPr>
          <w:rFonts w:ascii="Times New Roman" w:hAnsi="Times New Roman"/>
          <w:b w:val="false"/>
          <w:i w:val="false"/>
          <w:color w:val="000000"/>
          <w:sz w:val="22"/>
        </w:rPr>
        <w:t>It has been predetermined that tax on fuel used in the mixing of cement into concrete, the off-loading of the concrete, and the loading and off-loading of solid waste will be refunded on the basis of 30 percent of the fuel placed in the fuel supply tank of the vehicle provided proper records are maintained. Proper records shall consist of records of fills for each vehicle from tax-paid bulk storage tanks or sales tickets where fuel is purchased directly from a service station. Each vehicle must be identifiable by a unit number so the department can trace fuel usage to specific vehicles. An additional allowance will be granted where it can be substantiated through the use of separate meters which operate to measure the fuel when the vehicle is stationary or the use of separate tanks which fuel the vehicle only when the vehicle is stationary that the actual nonhighway fuel usage exceeds 30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260.8(11)</w:t>
      </w:r>
      <w:r>
        <w:rPr>
          <w:rFonts w:ascii="Times New Roman" w:hAnsi="Times New Roman"/>
          <w:b w:val="false"/>
          <w:i w:val="false"/>
          <w:color w:val="000000"/>
          <w:sz w:val="22"/>
        </w:rPr>
        <w:t> </w:t>
      </w:r>
      <w:r>
        <w:rPr>
          <w:rFonts w:ascii="Times New Roman" w:hAnsi="Times New Roman"/>
          <w:b w:val="false"/>
          <w:i w:val="false"/>
          <w:color w:val="000000"/>
          <w:sz w:val="22"/>
        </w:rPr>
        <w:t xml:space="preserve">Refrigeration units (reefers). Tax paid on motor fuel and undyed special fuel is subject to refund. The person must maintain records of fuel purchases to substantiate the tax-paid purchases. Invoices must meet the criteria set forth in rule </w:t>
      </w:r>
      <w:hyperlink r:id="rId47">
        <w:r>
          <w:rPr>
            <w:rStyle w:val="Hyperlink"/>
            <w:rFonts w:ascii="Times New Roman" w:hAnsi="Times New Roman"/>
            <w:b w:val="false"/>
            <w:i w:val="false"/>
            <w:color w:val="000000"/>
            <w:sz w:val="22"/>
          </w:rPr>
          <w:t>701—259.12</w:t>
        </w:r>
      </w:hyperlink>
      <w:r>
        <w:rPr>
          <w:rFonts w:ascii="Times New Roman" w:hAnsi="Times New Roman"/>
          <w:b w:val="false"/>
          <w:i w:val="false"/>
          <w:color w:val="000000"/>
          <w:sz w:val="22"/>
        </w:rPr>
        <w:t xml:space="preserve">(452A). In addition, the invoices must separately state fuel purchased and placed in the reefer unit. Liquefied petroleum gas may be purchased tax-free for use in reefer units. See rule </w:t>
      </w:r>
      <w:hyperlink r:id="rId48">
        <w:r>
          <w:rPr>
            <w:rStyle w:val="Hyperlink"/>
            <w:rFonts w:ascii="Times New Roman" w:hAnsi="Times New Roman"/>
            <w:b w:val="false"/>
            <w:i w:val="false"/>
            <w:color w:val="000000"/>
            <w:sz w:val="22"/>
          </w:rPr>
          <w:t>701—261.10</w:t>
        </w:r>
      </w:hyperlink>
      <w:r>
        <w:rPr>
          <w:rFonts w:ascii="Times New Roman" w:hAnsi="Times New Roman"/>
          <w:b w:val="false"/>
          <w:i w:val="false"/>
          <w:color w:val="000000"/>
          <w:sz w:val="22"/>
        </w:rPr>
        <w:t>(452A).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260.8(12)</w:t>
      </w:r>
      <w:r>
        <w:rPr>
          <w:rFonts w:ascii="Times New Roman" w:hAnsi="Times New Roman"/>
          <w:b w:val="false"/>
          <w:i w:val="false"/>
          <w:color w:val="000000"/>
          <w:sz w:val="22"/>
        </w:rPr>
        <w:t> </w:t>
      </w:r>
      <w:r>
        <w:rPr>
          <w:rFonts w:ascii="Times New Roman" w:hAnsi="Times New Roman"/>
          <w:b w:val="false"/>
          <w:i w:val="false"/>
          <w:color w:val="000000"/>
          <w:sz w:val="22"/>
        </w:rPr>
        <w:t>Pumping credits. A refund will be allowed for taxes paid on fuel once that fuel has been placed in the fuel supply tank of a motor vehicle when the motor of that vehicle is used as a power source for off-loading procedures. Meter readings from the pump used in the off-loading procedure or the invoice, manifest or bill of lading number covering the product off-loaded must be retained. The claims for refund, unless a different amount can be proven, will be (a) one-half gallon credit for each 1,000 gallons of liquid products pumped and three-tenths of a gallon credit for each ton of dry products pumped when using motor fuel or special fuel (diesel) to power the motor and (b) one gallon credit for each 1,000 gallons of liquid products pumped and three-tenths of a gallon credit for each ton of dry products pumped when using special fuel (L.P.G.) to power the motor.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260.8(13)</w:t>
      </w:r>
      <w:r>
        <w:rPr>
          <w:rFonts w:ascii="Times New Roman" w:hAnsi="Times New Roman"/>
          <w:b w:val="false"/>
          <w:i w:val="false"/>
          <w:color w:val="000000"/>
          <w:sz w:val="22"/>
        </w:rPr>
        <w:t> </w:t>
      </w:r>
      <w:r>
        <w:rPr>
          <w:rFonts w:ascii="Times New Roman" w:hAnsi="Times New Roman"/>
          <w:b w:val="false"/>
          <w:i w:val="false"/>
          <w:color w:val="000000"/>
          <w:sz w:val="22"/>
        </w:rPr>
        <w:t>Transport diversions. When a transport load of motor fuel or undyed special fuel is sold tax-paid with a destination in this state and later diverted to a destination outside the state, the person who actually paid the Iowa tax is entitled to a refund. To secure a refund, the person must file a completed claim form provided by the department with supporting documentation including a copy of the bill of lading, invoices or document showing where and to whom the fuel was delivered, a copy of the reporting form and evidence of payment to the state where the fuel was actually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260.8(14)</w:t>
      </w:r>
      <w:r>
        <w:rPr>
          <w:rFonts w:ascii="Times New Roman" w:hAnsi="Times New Roman"/>
          <w:b w:val="false"/>
          <w:i w:val="false"/>
          <w:color w:val="000000"/>
          <w:sz w:val="22"/>
        </w:rPr>
        <w:t> </w:t>
      </w:r>
      <w:r>
        <w:rPr>
          <w:rFonts w:ascii="Times New Roman" w:hAnsi="Times New Roman"/>
          <w:b w:val="false"/>
          <w:i w:val="false"/>
          <w:color w:val="000000"/>
          <w:sz w:val="22"/>
        </w:rPr>
        <w:t>Casualty loss. In the event fuel is lost or destroyed through fire, explosion, lightning, flood, storm, earthquake, terrorist attack, or other casualty, the taxpayer must inform the department in writing of such loss within 10 days of the loss; and the notification must contain the amount of gallonage lost or destroyed which must be in excess of 100 gallons. An application for refund must be submitted to the department within 60 days of the notification and contain a notarized affidavit sworn to by the person having immediate custody of the fuel at the time of the loss or destruction setting forth, in full detail, the circumstances of the loss or destruction and the number of gallons. If the fuel was in storage where several fuel purchases were commingled, it is a rebuttable presumption that the fuel lost through casualty was a part of the last delivery into the storage just prior to the loss. No refund is allowable for fuel lost through evaporation, theft, normal leakage, or unknown causes. Leakage resulting from a major accident or catastrophe is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260.8(15)</w:t>
      </w:r>
      <w:r>
        <w:rPr>
          <w:rFonts w:ascii="Times New Roman" w:hAnsi="Times New Roman"/>
          <w:b w:val="false"/>
          <w:i w:val="false"/>
          <w:color w:val="000000"/>
          <w:sz w:val="22"/>
        </w:rPr>
        <w:t> </w:t>
      </w:r>
      <w:r>
        <w:rPr>
          <w:rFonts w:ascii="Times New Roman" w:hAnsi="Times New Roman"/>
          <w:b w:val="false"/>
          <w:i w:val="false"/>
          <w:color w:val="000000"/>
          <w:sz w:val="22"/>
        </w:rPr>
        <w:t xml:space="preserve">Exports by eligible purchasers (distributors). Distributors who have purchased tax-paid motor fuel or undyed special fuel and sell the fuel to consumers outside the state may apply for a refund of the Iowa tax paid. The distributor must retain records as provided in rule </w:t>
      </w:r>
      <w:hyperlink r:id="rId49">
        <w:r>
          <w:rPr>
            <w:rStyle w:val="Hyperlink"/>
            <w:rFonts w:ascii="Times New Roman" w:hAnsi="Times New Roman"/>
            <w:b w:val="false"/>
            <w:i w:val="false"/>
            <w:color w:val="000000"/>
            <w:sz w:val="22"/>
          </w:rPr>
          <w:t>701—259.3</w:t>
        </w:r>
      </w:hyperlink>
      <w:r>
        <w:rPr>
          <w:rFonts w:ascii="Times New Roman" w:hAnsi="Times New Roman"/>
          <w:b w:val="false"/>
          <w:i w:val="false"/>
          <w:color w:val="000000"/>
          <w:sz w:val="22"/>
        </w:rPr>
        <w:t>(452A) to support the request for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260.8(16)</w:t>
      </w:r>
      <w:r>
        <w:rPr>
          <w:rFonts w:ascii="Times New Roman" w:hAnsi="Times New Roman"/>
          <w:b w:val="false"/>
          <w:i w:val="false"/>
          <w:color w:val="000000"/>
          <w:sz w:val="22"/>
        </w:rPr>
        <w:t> </w:t>
      </w:r>
      <w:r>
        <w:rPr>
          <w:rFonts w:ascii="Times New Roman" w:hAnsi="Times New Roman"/>
          <w:b w:val="false"/>
          <w:i w:val="false"/>
          <w:color w:val="000000"/>
          <w:sz w:val="22"/>
        </w:rPr>
        <w:t>Blending errors for special fuel. Dyed special fuel commingled with undyed special fuel and motor fuel commingled with special fuel. If dyed special fuel is inadvertently mixed with tax-paid undyed special fuel to the extent that the undyed fuel must have additional dye added to meet federal dying requirements to qualify as exempt dyed fuel, the tax is refundable on the undyed special fuel. The refund request must contain the number of gallons of undyed fuel lost through the mixing error and documentation as to how the gallonage was determined. If motor fuel is blended in error with dyed special fuel to produce a commingled product that must be destroyed or refined for subsequent use, the tax-paid fuel is subject to refund. The request for refund must contain documentation that the commingled product was destroyed or sold for purposes of refinement at a terminal.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260.8(17)</w:t>
      </w:r>
      <w:r>
        <w:rPr>
          <w:rFonts w:ascii="Times New Roman" w:hAnsi="Times New Roman"/>
          <w:b w:val="false"/>
          <w:i w:val="false"/>
          <w:color w:val="000000"/>
          <w:sz w:val="22"/>
        </w:rPr>
        <w:t> </w:t>
      </w:r>
      <w:r>
        <w:rPr>
          <w:rFonts w:ascii="Times New Roman" w:hAnsi="Times New Roman"/>
          <w:b w:val="false"/>
          <w:i w:val="false"/>
          <w:color w:val="000000"/>
          <w:sz w:val="22"/>
        </w:rPr>
        <w:t>Watercraft. Special fuel used in watercraft. This subrule is retroactive to July 1, 1996.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260.8(18)</w:t>
      </w:r>
      <w:r>
        <w:rPr>
          <w:rFonts w:ascii="Times New Roman" w:hAnsi="Times New Roman"/>
          <w:b w:val="false"/>
          <w:i w:val="false"/>
          <w:color w:val="000000"/>
          <w:sz w:val="22"/>
        </w:rPr>
        <w:t> </w:t>
      </w:r>
      <w:r>
        <w:rPr>
          <w:rFonts w:ascii="Times New Roman" w:hAnsi="Times New Roman"/>
          <w:b w:val="false"/>
          <w:i w:val="false"/>
          <w:color w:val="000000"/>
          <w:sz w:val="22"/>
        </w:rPr>
        <w:t xml:space="preserve">Refund of tax—Indians. Sales by Indians to other Indians of their own tribe on federally recognized Indian reservations or settlements of which they are tribal members are exempt from the tax. However, Indian sellers are subject to the record-keeping requirements of Iowa Code chapter </w:t>
      </w:r>
      <w:hyperlink r:id="rId50">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The fuel must be purchased by the Indian seller with the tax included in the purchase price, unless the seller’s status as a particular licensee authorizes the seller to purchase fuel tax-free. The tax exemption is allowed to the Indian purchaser by the purchaser’s filing a claim for refund of the tax paid or the tribe of which the Indian purchaser is a member filing a claim for refund of the tax paid by the tribe on fuel sold to the Indian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260.8(19)</w:t>
      </w:r>
      <w:r>
        <w:rPr>
          <w:rFonts w:ascii="Times New Roman" w:hAnsi="Times New Roman"/>
          <w:b w:val="false"/>
          <w:i w:val="false"/>
          <w:color w:val="000000"/>
          <w:sz w:val="22"/>
        </w:rPr>
        <w:t> </w:t>
      </w:r>
      <w:r>
        <w:rPr>
          <w:rFonts w:ascii="Times New Roman" w:hAnsi="Times New Roman"/>
          <w:b w:val="false"/>
          <w:i w:val="false"/>
          <w:color w:val="000000"/>
          <w:sz w:val="22"/>
        </w:rPr>
        <w:t>Racing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260.8(20)</w:t>
      </w:r>
      <w:r>
        <w:rPr>
          <w:rFonts w:ascii="Times New Roman" w:hAnsi="Times New Roman"/>
          <w:b w:val="false"/>
          <w:i w:val="false"/>
          <w:color w:val="000000"/>
          <w:sz w:val="22"/>
        </w:rPr>
        <w:t> </w:t>
      </w:r>
      <w:r>
        <w:rPr>
          <w:rFonts w:ascii="Times New Roman" w:hAnsi="Times New Roman"/>
          <w:b w:val="false"/>
          <w:i w:val="false"/>
          <w:color w:val="000000"/>
          <w:sz w:val="22"/>
        </w:rPr>
        <w:t>Benefited fire districts if the fuel is used for public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House File 216</w:t>
      </w:r>
      <w:r>
        <w:rPr>
          <w:rFonts w:ascii="Times New Roman" w:hAnsi="Times New Roman"/>
          <w:b w:val="false"/>
          <w:i w:val="false"/>
          <w:color w:val="000000"/>
          <w:sz w:val="22"/>
        </w:rPr>
        <w:t xml:space="preserve">, and Iowa Code section </w:t>
      </w:r>
      <w:hyperlink r:id="rId52">
        <w:r>
          <w:rPr>
            <w:rStyle w:val="Hyperlink"/>
            <w:rFonts w:ascii="Times New Roman" w:hAnsi="Times New Roman"/>
            <w:b w:val="false"/>
            <w:i w:val="false"/>
            <w:color w:val="000000"/>
            <w:sz w:val="22"/>
          </w:rPr>
          <w:t>452A.71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701—260.9</w:t>
      </w:r>
      <w:r>
        <w:rPr>
          <w:rFonts w:ascii="Times New Roman" w:hAnsi="Times New Roman"/>
          <w:b/>
          <w:i w:val="false"/>
          <w:color w:val="000000"/>
          <w:sz w:val="22"/>
        </w:rPr>
        <w:t xml:space="preserve">(452A) </w:t>
      </w:r>
      <w:r>
        <w:rPr>
          <w:rFonts w:ascii="Times New Roman" w:hAnsi="Times New Roman"/>
          <w:b/>
          <w:i w:val="false"/>
          <w:color w:val="000000"/>
          <w:sz w:val="22"/>
        </w:rPr>
        <w:t xml:space="preserve">Claim for refund—payment of claim. </w:t>
      </w:r>
      <w:r>
        <w:rPr>
          <w:rFonts w:ascii="Times New Roman" w:hAnsi="Times New Roman"/>
          <w:b w:val="false"/>
          <w:i w:val="false"/>
          <w:color w:val="000000"/>
          <w:sz w:val="22"/>
        </w:rPr>
        <w:t>In order to receive a refund, the claimant must hold a refund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260.9(1)</w:t>
      </w:r>
      <w:r>
        <w:rPr>
          <w:rFonts w:ascii="Times New Roman" w:hAnsi="Times New Roman"/>
          <w:b w:val="false"/>
          <w:i w:val="false"/>
          <w:color w:val="000000"/>
          <w:sz w:val="22"/>
        </w:rPr>
        <w:t> </w:t>
      </w:r>
      <w:r>
        <w:rPr>
          <w:rFonts w:ascii="Times New Roman" w:hAnsi="Times New Roman"/>
          <w:b w:val="false"/>
          <w:i w:val="false"/>
          <w:color w:val="000000"/>
          <w:sz w:val="22"/>
        </w:rPr>
        <w:t>Persons requesting a refund for fuel used for any exempt purpose will do so by providing all or a portion of the following: (a) refund permit number, (b) type of fuel, (c) total number of gallons/tons of fuel used to calculate the refund amount, (d) the beginning and ending dates of the tax period, (e) net cost of fuel, (f) Iowa sales tax due (net cost of fuel times sales tax rate), (g) other items depending on the type of permit and claim type, (h) the total amount of refund claimed, and (i) additional information as required.</w:t>
      </w:r>
    </w:p>
    <w:p>
      <w:pPr>
        <w:spacing w:before="0" w:after="0"/>
        <w:ind w:left="120"/>
        <w:jc w:val="both"/>
      </w:pPr>
      <w:r>
        <w:rPr>
          <w:rFonts w:ascii="Times New Roman" w:hAnsi="Times New Roman"/>
          <w:b w:val="false"/>
          <w:i w:val="false"/>
          <w:color w:val="000000"/>
          <w:sz w:val="22"/>
        </w:rPr>
        <w:t>Persons requesting a refund for casualty loss, transport diversions, blending errors of motor fuel and ethanol, and blending errors of special fuel must file in writing on the forms provided by the department and must attach supporting documents explaining why a refund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260.9(2)</w:t>
      </w:r>
      <w:r>
        <w:rPr>
          <w:rFonts w:ascii="Times New Roman" w:hAnsi="Times New Roman"/>
          <w:b w:val="false"/>
          <w:i w:val="false"/>
          <w:color w:val="000000"/>
          <w:sz w:val="22"/>
        </w:rPr>
        <w:t> </w:t>
      </w:r>
      <w:r>
        <w:rPr>
          <w:rFonts w:ascii="Times New Roman" w:hAnsi="Times New Roman"/>
          <w:b w:val="false"/>
          <w:i w:val="false"/>
          <w:color w:val="000000"/>
          <w:sz w:val="22"/>
        </w:rPr>
        <w:t xml:space="preserve">Refunds are made and the amount of the refund is paid to the person who actually paid the tax with the following exception: Persons requesting a refund for idle time, power takeoff, reefer units, pumping credits, or transport diversions may designate another person as an agent to file the claim and receive the refund. The person acting as an agent for others must provide the department with the following information including, but not limited to, the name, address, and federal identification number or social security number of the person on whose behalf they are requesting the refund. Once a person is designated as an agent, this designation remains in force until the department is notified in writing the agency agreement no longer exists. A governmental agency may designate another governmental agency as an agent for filing and receiving any tax refund authorized in Iowa Code section </w:t>
      </w:r>
      <w:hyperlink r:id="rId53">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260.9(3)</w:t>
      </w:r>
      <w:r>
        <w:rPr>
          <w:rFonts w:ascii="Times New Roman" w:hAnsi="Times New Roman"/>
          <w:b w:val="false"/>
          <w:i w:val="false"/>
          <w:color w:val="000000"/>
          <w:sz w:val="22"/>
        </w:rPr>
        <w:t> </w:t>
      </w:r>
      <w:r>
        <w:rPr>
          <w:rFonts w:ascii="Times New Roman" w:hAnsi="Times New Roman"/>
          <w:b w:val="false"/>
          <w:i w:val="false"/>
          <w:color w:val="000000"/>
          <w:sz w:val="22"/>
        </w:rPr>
        <w:t>Deposit of refund. If the person so designates on the application, the department will direct deposit the refund in the person’s designated bank account. If this option is selected on the application, additional forms will be provided to secure the needed information for direct deposit. In lieu of direct deposit, the permit holder will receive a state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260.9(4)</w:t>
      </w:r>
      <w:r>
        <w:rPr>
          <w:rFonts w:ascii="Times New Roman" w:hAnsi="Times New Roman"/>
          <w:b w:val="false"/>
          <w:i w:val="false"/>
          <w:color w:val="000000"/>
          <w:sz w:val="22"/>
        </w:rPr>
        <w:t> </w:t>
      </w:r>
      <w:r>
        <w:rPr>
          <w:rFonts w:ascii="Times New Roman" w:hAnsi="Times New Roman"/>
          <w:b w:val="false"/>
          <w:i w:val="false"/>
          <w:color w:val="000000"/>
          <w:sz w:val="22"/>
        </w:rPr>
        <w:t>A claim for refund will not be allowed unless the claimant has accumulated $60 in credits for one calendar year. A claim for refund may be filed any time the $60 minimum has been met within the calendar year. If the $60 minimum has not been met in the calendar year, the credit must be claimed on the claimant’s income tax return unless the claimant is not required to file an income tax return in which case a refund will be allowed. An income tax credit may not be claimed for any year in which a claim for refund was filed. Once the $60 minimum has been met, the claim for refund must be filed within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260.9(5)</w:t>
      </w:r>
      <w:r>
        <w:rPr>
          <w:rFonts w:ascii="Times New Roman" w:hAnsi="Times New Roman"/>
          <w:b w:val="false"/>
          <w:i w:val="false"/>
          <w:color w:val="000000"/>
          <w:sz w:val="22"/>
        </w:rPr>
        <w:t> </w:t>
      </w:r>
      <w:r>
        <w:rPr>
          <w:rFonts w:ascii="Times New Roman" w:hAnsi="Times New Roman"/>
          <w:b w:val="false"/>
          <w:i w:val="false"/>
          <w:color w:val="000000"/>
          <w:sz w:val="22"/>
        </w:rPr>
        <w:t>A refund will not be paid with respect to any motor fuel taken out of this state in supply tanks of watercraft, aircraft, or motor vehicles or any undyed special fuel taken out of this state in aircraft or motor vehicles.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452A.19</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Senate File 2305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701—260.10</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 permit. </w:t>
      </w:r>
      <w:r>
        <w:rPr>
          <w:rFonts w:ascii="Times New Roman" w:hAnsi="Times New Roman"/>
          <w:b w:val="false"/>
          <w:i w:val="false"/>
          <w:color w:val="000000"/>
          <w:sz w:val="22"/>
        </w:rPr>
        <w:t xml:space="preserve">To obtain the refund provided for in Iowa Code chapter </w:t>
      </w:r>
      <w:hyperlink r:id="rId58">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and rule </w:t>
      </w:r>
      <w:hyperlink r:id="rId59">
        <w:r>
          <w:rPr>
            <w:rStyle w:val="Hyperlink"/>
            <w:rFonts w:ascii="Times New Roman" w:hAnsi="Times New Roman"/>
            <w:b w:val="false"/>
            <w:i w:val="false"/>
            <w:color w:val="000000"/>
            <w:sz w:val="22"/>
          </w:rPr>
          <w:t>701—260.8</w:t>
        </w:r>
      </w:hyperlink>
      <w:r>
        <w:rPr>
          <w:rFonts w:ascii="Times New Roman" w:hAnsi="Times New Roman"/>
          <w:b w:val="false"/>
          <w:i w:val="false"/>
          <w:color w:val="000000"/>
          <w:sz w:val="22"/>
        </w:rPr>
        <w:t>(452A), the claimant must have an uncanceled refund permit. The application for a refund permit is provided by the department and will contain, but not be limited to, the following information: (1) the name and location of the business and the mailing address if different, (2) the type of ownership, (3) the social security number or federal identification number of the applicant, and (4) the type of refund requested. The refund permit is issued without cost and remains in effect until revoked, canceled or until the permit becomes invalid. All refund permit holders are required to keep invoices and copies of returns if filed, supporting schedules and studies for documentation to support the refund.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452A.18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701—260.11</w:t>
      </w:r>
      <w:r>
        <w:rPr>
          <w:rFonts w:ascii="Times New Roman" w:hAnsi="Times New Roman"/>
          <w:b/>
          <w:i w:val="false"/>
          <w:color w:val="000000"/>
          <w:sz w:val="22"/>
        </w:rPr>
        <w:t xml:space="preserve">(452A) </w:t>
      </w:r>
      <w:r>
        <w:rPr>
          <w:rFonts w:ascii="Times New Roman" w:hAnsi="Times New Roman"/>
          <w:b/>
          <w:i w:val="false"/>
          <w:color w:val="000000"/>
          <w:sz w:val="22"/>
        </w:rPr>
        <w:t xml:space="preserve">Revocation of refund permit. </w:t>
      </w:r>
      <w:r>
        <w:rPr>
          <w:rFonts w:ascii="Times New Roman" w:hAnsi="Times New Roman"/>
          <w:b w:val="false"/>
          <w:i w:val="false"/>
          <w:color w:val="000000"/>
          <w:sz w:val="22"/>
        </w:rPr>
        <w:t xml:space="preserve">The following violations will result in the revocation of the permit: (1) using a false or altered invoice in support of a claim, (2) making a false statement in a claim for refund or in response to an investigation by the department of a claim for refund, (3) refusal to submit the claimant’s books and records for examination by the department, and (4) nonuse for a period of three years. If the permit is revoked for reason (1), (2), or (3) above, the permit will not be reissued for a period of at least one year. If the permit is revoked for reason (4) above, the permit will be reissued upon proper application. (See rule </w:t>
      </w:r>
      <w:hyperlink r:id="rId61">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(17A) for revocation procedure.)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452A.19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701—260.12</w:t>
      </w:r>
      <w:r>
        <w:rPr>
          <w:rFonts w:ascii="Times New Roman" w:hAnsi="Times New Roman"/>
          <w:b/>
          <w:i w:val="false"/>
          <w:color w:val="000000"/>
          <w:sz w:val="22"/>
        </w:rPr>
        <w:t xml:space="preserve">(452A) </w:t>
      </w:r>
      <w:r>
        <w:rPr>
          <w:rFonts w:ascii="Times New Roman" w:hAnsi="Times New Roman"/>
          <w:b/>
          <w:i w:val="false"/>
          <w:color w:val="000000"/>
          <w:sz w:val="22"/>
        </w:rPr>
        <w:t xml:space="preserve">Income tax credit in lieu of refund. </w:t>
      </w:r>
      <w:r>
        <w:rPr>
          <w:rFonts w:ascii="Times New Roman" w:hAnsi="Times New Roman"/>
          <w:b w:val="false"/>
          <w:i w:val="false"/>
          <w:color w:val="000000"/>
          <w:sz w:val="22"/>
        </w:rPr>
        <w:t xml:space="preserve">In lieu of applying for a refund permit, a person or corporation may claim the refund allowable under Iowa Code section </w:t>
      </w:r>
      <w:hyperlink r:id="rId63">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as an income tax credit. If a person or corporation holds a refund permit and elects to receive an income tax credit, the person or corporation must cancel the refund permit within 30 days after the first day of its year or the permit becomes invalid and application must be made for a new permit. Once the election to receive an income tax credit has been made, it remains in effect until the election is changed. The income tax credit is not available for refunds relating to casualty losses, transport diversions, pumping credits, blending errors, idle time, power takeoffs, reefer units, exports by distributors, and excess tax paid on ethanol blended gasoline.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452A.17(2)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701—260.13</w:t>
      </w:r>
      <w:r>
        <w:rPr>
          <w:rFonts w:ascii="Times New Roman" w:hAnsi="Times New Roman"/>
          <w:b/>
          <w:i w:val="false"/>
          <w:color w:val="000000"/>
          <w:sz w:val="22"/>
        </w:rPr>
        <w:t xml:space="preserve">(452A) </w:t>
      </w:r>
      <w:r>
        <w:rPr>
          <w:rFonts w:ascii="Times New Roman" w:hAnsi="Times New Roman"/>
          <w:b/>
          <w:i w:val="false"/>
          <w:color w:val="000000"/>
          <w:sz w:val="22"/>
        </w:rPr>
        <w:t xml:space="preserve">Reduction of refund—sales and use tax. </w:t>
      </w:r>
      <w:r>
        <w:rPr>
          <w:rFonts w:ascii="Times New Roman" w:hAnsi="Times New Roman"/>
          <w:b w:val="false"/>
          <w:i w:val="false"/>
          <w:color w:val="000000"/>
          <w:sz w:val="22"/>
        </w:rPr>
        <w:t xml:space="preserve">Under Iowa Code section </w:t>
      </w:r>
      <w:hyperlink r:id="rId67">
        <w:r>
          <w:rPr>
            <w:rStyle w:val="Hyperlink"/>
            <w:rFonts w:ascii="Times New Roman" w:hAnsi="Times New Roman"/>
            <w:b w:val="false"/>
            <w:i w:val="false"/>
            <w:color w:val="000000"/>
            <w:sz w:val="22"/>
          </w:rPr>
          <w:t>423.3(56)</w:t>
        </w:r>
      </w:hyperlink>
      <w:r>
        <w:rPr>
          <w:rFonts w:ascii="Times New Roman" w:hAnsi="Times New Roman"/>
          <w:b w:val="false"/>
          <w:i w:val="false"/>
          <w:color w:val="000000"/>
          <w:sz w:val="22"/>
        </w:rPr>
        <w:t xml:space="preserve">, the sales price from the sale of motor fuel, special fuel, and electric fuel consumed for highway use or in watercraft or aircraft where the fuel tax has been imposed and paid, and no refund has been or will be allowed, is exempt from Iowa sales and use tax. Therefore, unless the fuel is used for some other exempt purpose under Iowa Code section </w:t>
      </w:r>
      <w:hyperlink r:id="rId68">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(e.g., used for processing, used for agricultural purposes, used by an exempt government entity, used by a private nonprofit educational institution), or the fuel is lost through a casualty, the refund of taxes on motor fuel, special fuel, or electric fuel will be reduced by the applicable sales and use tax. Rule </w:t>
      </w:r>
      <w:hyperlink r:id="rId69">
        <w:r>
          <w:rPr>
            <w:rStyle w:val="Hyperlink"/>
            <w:rFonts w:ascii="Times New Roman" w:hAnsi="Times New Roman"/>
            <w:b w:val="false"/>
            <w:i w:val="false"/>
            <w:color w:val="000000"/>
            <w:sz w:val="22"/>
          </w:rPr>
          <w:t>701—220.2</w:t>
        </w:r>
      </w:hyperlink>
      <w:r>
        <w:rPr>
          <w:rFonts w:ascii="Times New Roman" w:hAnsi="Times New Roman"/>
          <w:b w:val="false"/>
          <w:i w:val="false"/>
          <w:color w:val="000000"/>
          <w:sz w:val="22"/>
        </w:rPr>
        <w:t xml:space="preserve">(423) contains more information about sales tax. The sales price upon which the sales and use tax will be applied shall include all federal excise taxes but will not include the Iowa fuel tax.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2247C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701—260.14</w:t>
      </w:r>
      <w:r>
        <w:rPr>
          <w:rFonts w:ascii="Times New Roman" w:hAnsi="Times New Roman"/>
          <w:b/>
          <w:i w:val="false"/>
          <w:color w:val="000000"/>
          <w:sz w:val="22"/>
        </w:rPr>
        <w:t xml:space="preserve">(452A) </w:t>
      </w:r>
      <w:r>
        <w:rPr>
          <w:rFonts w:ascii="Times New Roman" w:hAnsi="Times New Roman"/>
          <w:b/>
          <w:i w:val="false"/>
          <w:color w:val="000000"/>
          <w:sz w:val="22"/>
        </w:rPr>
        <w:t xml:space="preserve">Terminal withdrawals—meters. </w:t>
      </w:r>
      <w:r>
        <w:rPr>
          <w:rFonts w:ascii="Times New Roman" w:hAnsi="Times New Roman"/>
          <w:b w:val="false"/>
          <w:i w:val="false"/>
          <w:color w:val="000000"/>
          <w:sz w:val="22"/>
        </w:rPr>
        <w:t>Any refinery or terminal within this state must be fixed with meters which totalize the gross gallons withdrawn. All bills of lading or manifests must show the gross gallons withdrawn. A temperature-adjusted or other method shall not be used except as it applies to liquefied petroleum gas and the sale or exchange of petroleum products between petroleum refiners. All fuel withdrawn from a refinery or terminal within this state must pass through these meters.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1">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701—260.15</w:t>
      </w:r>
      <w:r>
        <w:rPr>
          <w:rFonts w:ascii="Times New Roman" w:hAnsi="Times New Roman"/>
          <w:b/>
          <w:i w:val="false"/>
          <w:color w:val="000000"/>
          <w:sz w:val="22"/>
        </w:rPr>
        <w:t xml:space="preserve">(452A) </w:t>
      </w:r>
      <w:r>
        <w:rPr>
          <w:rFonts w:ascii="Times New Roman" w:hAnsi="Times New Roman"/>
          <w:b/>
          <w:i w:val="false"/>
          <w:color w:val="000000"/>
          <w:sz w:val="22"/>
        </w:rPr>
        <w:t xml:space="preserve">Terminal and nonterminal storage facility reports and records. </w:t>
      </w:r>
      <w:r>
        <w:rPr>
          <w:rFonts w:ascii="Times New Roman" w:hAnsi="Times New Roman"/>
          <w:b w:val="false"/>
          <w:i w:val="false"/>
          <w:color w:val="000000"/>
          <w:sz w:val="22"/>
        </w:rPr>
        <w:t>Each terminal and nonterminal storage facility operating in Iowa must file a monthly inventory report with the department. The report shall include, but not be limited to,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license number of the company that owns and operates the terminal or nonterminal storage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location of the terminal or nonterminal storage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month and year covered by the report.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terminal code assigned by the Internal Revenue Service or the storage facility license number assigned by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beginning inventory.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total receipts for the month including for each receipt: (a) the gross gallons received by schedule code, by fuel type and, if diesel fuel, whether dyed or undyed fuel, (b) the bill of lading number, (c) the date of receipt, (d) the seller, (e) the carrier, (f) the mode of transportation, and (g) the destination state.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total withdrawals for the month, including for each withdrawal: (a) the gross gallons withdrawn by schedule code and by fuel type and, if diesel fuel, whether dyed or undyed fuel, (b) the bill of lading number, (c) the date of withdrawal, (d) the consignor, (e) the consignee, (f) the mode of transportation, (g) the destination state, (h) the origin state, and (i) the carrier.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actual ending inventory and any gains or losses.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signature or electronic signature of the person responsible for preparing the report.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Such additional information as the department may require.</w:t>
      </w:r>
    </w:p>
    <w:p>
      <w:pPr>
        <w:spacing w:before="0" w:after="0"/>
        <w:ind w:left="120"/>
        <w:jc w:val="both"/>
      </w:pPr>
      <w:r>
        <w:rPr>
          <w:rFonts w:ascii="Times New Roman" w:hAnsi="Times New Roman"/>
          <w:b w:val="false"/>
          <w:i w:val="false"/>
          <w:color w:val="000000"/>
          <w:sz w:val="22"/>
        </w:rPr>
        <w:t>For periods beginning on or after July 1, 2002, the director may impose a civil penalty against any person who fails to file the reports required under the motor fuel tax laws. The penalty shall be $100 for the first violation and shall increase by $100 for each additional violation occurring in the calendar year in which the first violation occurred.</w:t>
      </w:r>
    </w:p>
    <w:p>
      <w:pPr>
        <w:spacing w:before="0" w:after="0"/>
        <w:ind w:left="120"/>
        <w:jc w:val="both"/>
      </w:pPr>
      <w:r>
        <w:rPr>
          <w:rFonts w:ascii="Times New Roman" w:hAnsi="Times New Roman"/>
          <w:b w:val="false"/>
          <w:i w:val="false"/>
          <w:color w:val="000000"/>
          <w:sz w:val="22"/>
        </w:rPr>
        <w:t>The director may require that reports be filed by electronic transmission. All licensees must file reports by electronic transmission beginning September 1, 2006.</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701—260.16</w:t>
      </w:r>
      <w:r>
        <w:rPr>
          <w:rFonts w:ascii="Times New Roman" w:hAnsi="Times New Roman"/>
          <w:b/>
          <w:i w:val="false"/>
          <w:color w:val="000000"/>
          <w:sz w:val="22"/>
        </w:rPr>
        <w:t xml:space="preserve">(452A) </w:t>
      </w:r>
      <w:r>
        <w:rPr>
          <w:rFonts w:ascii="Times New Roman" w:hAnsi="Times New Roman"/>
          <w:b/>
          <w:i w:val="false"/>
          <w:color w:val="000000"/>
          <w:sz w:val="22"/>
        </w:rPr>
        <w:t xml:space="preserve">Method of reporting taxable gallonage. </w:t>
      </w:r>
      <w:r>
        <w:rPr>
          <w:rFonts w:ascii="Times New Roman" w:hAnsi="Times New Roman"/>
          <w:b w:val="false"/>
          <w:i w:val="false"/>
          <w:color w:val="000000"/>
          <w:sz w:val="22"/>
        </w:rPr>
        <w:t>The exclusive method of determining gallonage of any purchase or sale of motor fuel or special fuel and distillate fuel is to be on gross-volume basis. A temperature-adjusted or other method cannot be used, except as it applies to liquefied petroleum gas and the sale or exchange of petroleum products between petroleum refineries.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701—260.17</w:t>
      </w:r>
      <w:r>
        <w:rPr>
          <w:rFonts w:ascii="Times New Roman" w:hAnsi="Times New Roman"/>
          <w:b/>
          <w:i w:val="false"/>
          <w:color w:val="000000"/>
          <w:sz w:val="22"/>
        </w:rPr>
        <w:t xml:space="preserve">(452A) </w:t>
      </w:r>
      <w:r>
        <w:rPr>
          <w:rFonts w:ascii="Times New Roman" w:hAnsi="Times New Roman"/>
          <w:b/>
          <w:i w:val="false"/>
          <w:color w:val="000000"/>
          <w:sz w:val="22"/>
        </w:rPr>
        <w:t xml:space="preserve">Transportation reports. </w:t>
      </w:r>
      <w:r>
        <w:rPr>
          <w:rFonts w:ascii="Times New Roman" w:hAnsi="Times New Roman"/>
          <w:b w:val="false"/>
          <w:i w:val="false"/>
          <w:color w:val="000000"/>
          <w:sz w:val="22"/>
        </w:rPr>
        <w:t xml:space="preserve">The reports required under Iowa Code section </w:t>
      </w:r>
      <w:hyperlink r:id="rId77">
        <w:r>
          <w:rPr>
            <w:rStyle w:val="Hyperlink"/>
            <w:rFonts w:ascii="Times New Roman" w:hAnsi="Times New Roman"/>
            <w:b w:val="false"/>
            <w:i w:val="false"/>
            <w:color w:val="000000"/>
            <w:sz w:val="22"/>
          </w:rPr>
          <w:t>452A.15(1)</w:t>
        </w:r>
      </w:hyperlink>
      <w:r>
        <w:rPr>
          <w:rFonts w:ascii="Times New Roman" w:hAnsi="Times New Roman"/>
          <w:b w:val="false"/>
          <w:i w:val="false"/>
          <w:color w:val="000000"/>
          <w:sz w:val="22"/>
        </w:rPr>
        <w:t xml:space="preserve"> are to be filed by railroad carriers, common carriers, contract carriers, distributors transporting fuel for others, and anyone else transporting fuel from without the state and unloading it at other than terminal storage within the state. The report must include all fuel which was imported into Iowa and unloaded at other than terminal storage, all fuel withdrawn from Iowa terminal storage and delivered in Iowa, and all fuel withdrawn from Iowa terminal storage and exported from Iowa. These reports must be filed monthly and show as to each delivery: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federal identification number or social security number of the person to whom actually delivered.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address, and federal identification number or social security number of the originally named consignee, if delivered to anyone other than the originally named consignee.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point of origin, the point of delivery, and the date of delivery.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and initials of each tank car and the number of gallons contained therein, if shipped by rail.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 of the boat, barge, or vessel, and the number of gallons contained therein, if shipped by water.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registration number of each tank truck and the number of gallons contained therein, if transported by motor truck.</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manner, if delivered by other means, in which the delivery is made.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Such additional information relative to shipments of motor fuel or special fuel as the department may require.</w:t>
      </w:r>
    </w:p>
    <w:p>
      <w:pPr>
        <w:spacing w:before="0" w:after="0"/>
        <w:ind w:left="120"/>
        <w:jc w:val="both"/>
      </w:pPr>
      <w:r>
        <w:rPr>
          <w:rFonts w:ascii="Times New Roman" w:hAnsi="Times New Roman"/>
          <w:b w:val="false"/>
          <w:i w:val="false"/>
          <w:color w:val="000000"/>
          <w:sz w:val="22"/>
        </w:rPr>
        <w:t>For periods on or after July 1, 2002, the director may impose a civil penalty against any person who fails to file the reports required under the motor fuel tax laws. The penalty shall be $100 for the first violation and shall increase by $100 for each additional violation occurring in the calendar year in which the first violation occurred.</w:t>
      </w:r>
    </w:p>
    <w:p>
      <w:pPr>
        <w:spacing w:before="0" w:after="0"/>
        <w:ind w:left="120"/>
        <w:jc w:val="both"/>
      </w:pPr>
      <w:r>
        <w:rPr>
          <w:rFonts w:ascii="Times New Roman" w:hAnsi="Times New Roman"/>
          <w:b w:val="false"/>
          <w:i w:val="false"/>
          <w:color w:val="000000"/>
          <w:sz w:val="22"/>
        </w:rPr>
        <w:t>The director may require that reports be filed by electronic transmission.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452A.15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House File 2622</w:t>
      </w:r>
      <w:r>
        <w:rPr>
          <w:rFonts w:ascii="Times New Roman" w:hAnsi="Times New Roman"/>
          <w:b w:val="false"/>
          <w:i w:val="false"/>
          <w:color w:val="000000"/>
          <w:sz w:val="22"/>
        </w:rPr>
        <w:t xml:space="preserve"> and Senate File 2305.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701—260.18</w:t>
      </w:r>
      <w:r>
        <w:rPr>
          <w:rFonts w:ascii="Times New Roman" w:hAnsi="Times New Roman"/>
          <w:b/>
          <w:i w:val="false"/>
          <w:color w:val="000000"/>
          <w:sz w:val="22"/>
        </w:rPr>
        <w:t xml:space="preserve">(452A) </w:t>
      </w:r>
      <w:r>
        <w:rPr>
          <w:rFonts w:ascii="Times New Roman" w:hAnsi="Times New Roman"/>
          <w:b/>
          <w:i w:val="false"/>
          <w:color w:val="000000"/>
          <w:sz w:val="22"/>
        </w:rPr>
        <w:t xml:space="preserve">Bill of lading or manifest requirements. </w:t>
      </w:r>
      <w:r>
        <w:rPr>
          <w:rFonts w:ascii="Times New Roman" w:hAnsi="Times New Roman"/>
          <w:b w:val="false"/>
          <w:i w:val="false"/>
          <w:color w:val="000000"/>
          <w:sz w:val="22"/>
        </w:rPr>
        <w:t>Whenever a bill of lading or manifest is required to be issued, carried, retained, or submitted by these rules, it shall meet the following minimum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Contain the name and address of the refinery, terminal, ethanol plant, biodiesel plant or point of origin.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Contain the date of withdrawal or import.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 the name of the shipper-supplier-consignor.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Contain the name of the purchaser-consignee.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Contain the place of actual destination.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Contain the name of the transporter.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Contain the gross gallons by fuel type.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Contain the designation for ethanol blended gasoline or biodiesel blended fuel as provided in Iowa Code section </w:t>
      </w:r>
      <w:hyperlink r:id="rId79">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Contain a statement designating whether diesel fuel is dyed or undyed.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Have machine printed thereon a serial number of not less than four digits.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452A.12</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701—260.19</w:t>
      </w:r>
      <w:r>
        <w:rPr>
          <w:rFonts w:ascii="Times New Roman" w:hAnsi="Times New Roman"/>
          <w:b/>
          <w:i w:val="false"/>
          <w:color w:val="000000"/>
          <w:sz w:val="22"/>
        </w:rPr>
        <w:t xml:space="preserve">(452A) </w:t>
      </w:r>
      <w:r>
        <w:rPr>
          <w:rFonts w:ascii="Times New Roman" w:hAnsi="Times New Roman"/>
          <w:b/>
          <w:i w:val="false"/>
          <w:color w:val="000000"/>
          <w:sz w:val="22"/>
        </w:rPr>
        <w:t xml:space="preserve">Right of distributors and dealers to blend conventional blendstock for oxygenate blending, gasoline, or diesel fuel using a biofuel.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260.19(1)</w:t>
      </w:r>
      <w:r>
        <w:rPr>
          <w:rFonts w:ascii="Times New Roman" w:hAnsi="Times New Roman"/>
          <w:b w:val="false"/>
          <w:i w:val="false"/>
          <w:color w:val="000000"/>
          <w:sz w:val="22"/>
        </w:rPr>
        <w:t> </w:t>
      </w:r>
      <w:r>
        <w:rPr>
          <w:rFonts w:ascii="Times New Roman" w:hAnsi="Times New Roman"/>
          <w:b w:val="false"/>
          <w:i w:val="false"/>
          <w:color w:val="000000"/>
          <w:sz w:val="22"/>
        </w:rPr>
        <w:t>A dealer or distributor may blend a conventional blendstock for oxygenate blending, gasoline, or diesel fuel using the appropriate biofuel, or sell unblended or blended gasoline or diesel fuel on any premises in this state. This subrule does not apply to the extent that the use of the premises is restricted by federal, state, or local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260.19(2)</w:t>
      </w:r>
      <w:r>
        <w:rPr>
          <w:rFonts w:ascii="Times New Roman" w:hAnsi="Times New Roman"/>
          <w:b w:val="false"/>
          <w:i w:val="false"/>
          <w:color w:val="000000"/>
          <w:sz w:val="22"/>
        </w:rPr>
        <w:t> </w:t>
      </w:r>
      <w:r>
        <w:rPr>
          <w:rFonts w:ascii="Times New Roman" w:hAnsi="Times New Roman"/>
          <w:b w:val="false"/>
          <w:i w:val="false"/>
          <w:color w:val="000000"/>
          <w:sz w:val="22"/>
        </w:rPr>
        <w:t>A refiner, supplier, terminal operator, or terminal owner who in the ordinary course of business sells or transports a conventional blendstock for oxygenate blending, gasoline unblended or blended with a biofuel, or diesel fuel unblended or blended with a biofuel shall not refuse to sell or transport to a distributor or dealer any conventional blendstock for oxygenate blending, unblended gasoline, or unblended diesel fuel that is at the terminal, based on the distributor’s or dealer’s intent to use the conventional blendstock for oxygenate blending, or blend the gasoline or diesel fuel with a biofuel.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260.19(3)</w:t>
      </w:r>
      <w:r>
        <w:rPr>
          <w:rFonts w:ascii="Times New Roman" w:hAnsi="Times New Roman"/>
          <w:b w:val="false"/>
          <w:i w:val="false"/>
          <w:color w:val="000000"/>
          <w:sz w:val="22"/>
        </w:rPr>
        <w:t> </w:t>
      </w:r>
      <w:r>
        <w:rPr>
          <w:rFonts w:ascii="Times New Roman" w:hAnsi="Times New Roman"/>
          <w:b w:val="false"/>
          <w:i w:val="false"/>
          <w:color w:val="000000"/>
          <w:sz w:val="22"/>
        </w:rPr>
        <w:t>This rule shall not be construed to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 a distributor or dealer from purchasing, selling or transporting a conventional blendstock for oxygenate blending, gasoline that has not been blended with a biofuel, or diesel fuel that has not been blended with a biofuel.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Affect the blender’s license requirements under Iowa Code section </w:t>
      </w:r>
      <w:hyperlink r:id="rId84">
        <w:r>
          <w:rPr>
            <w:rStyle w:val="Hyperlink"/>
            <w:rFonts w:ascii="Times New Roman" w:hAnsi="Times New Roman"/>
            <w:b w:val="false"/>
            <w:i w:val="false"/>
            <w:color w:val="000000"/>
            <w:sz w:val="22"/>
          </w:rPr>
          <w:t>452A.6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a dealer or distributor from leaving a terminal with a conventional blendstock for oxygenate blending, gasoline that has not been blended with a biofuel, or diesel fuel that has not been blended with a biofuel.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 a nonrefiner biofuel manufacturer to offer or sell a conventional blendstock for oxygenate blending, gasoline that has not been blended with a biofuel, or diesel fuel that has not been blended with a biofuel.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260.19(4)</w:t>
      </w:r>
      <w:r>
        <w:rPr>
          <w:rFonts w:ascii="Times New Roman" w:hAnsi="Times New Roman"/>
          <w:b w:val="false"/>
          <w:i w:val="false"/>
          <w:color w:val="000000"/>
          <w:sz w:val="22"/>
        </w:rPr>
        <w:t> </w:t>
      </w:r>
      <w:r>
        <w:rPr>
          <w:rFonts w:ascii="Times New Roman" w:hAnsi="Times New Roman"/>
          <w:b w:val="false"/>
          <w:i w:val="false"/>
          <w:color w:val="000000"/>
          <w:sz w:val="22"/>
        </w:rPr>
        <w:t xml:space="preserve">A refiner, supplier, terminal operator, or terminal owner who violates this rule is subject to a civil penalty of not more than $10,000 per violation. Each day that a violation continues is deemed a separate offense. For more information on enforcement of this penalty, see </w:t>
      </w:r>
      <w:hyperlink r:id="rId85">
        <w:r>
          <w:rPr>
            <w:rStyle w:val="Hyperlink"/>
            <w:rFonts w:ascii="Times New Roman" w:hAnsi="Times New Roman"/>
            <w:b w:val="false"/>
            <w:i w:val="false"/>
            <w:color w:val="000000"/>
            <w:sz w:val="22"/>
          </w:rPr>
          <w:t>701—subrule 10.71(8)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6">
        <w:r>
          <w:rPr>
            <w:rStyle w:val="Hyperlink"/>
            <w:rFonts w:ascii="Times New Roman" w:hAnsi="Times New Roman"/>
            <w:b w:val="false"/>
            <w:i w:val="false"/>
            <w:color w:val="000000"/>
            <w:sz w:val="22"/>
          </w:rPr>
          <w:t>452A.6A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1442C</w:t>
      </w:r>
      <w:r>
        <w:rPr>
          <w:rFonts w:ascii="Times New Roman" w:hAnsi="Times New Roman"/>
          <w:b w:val="false"/>
          <w:i w:val="false"/>
          <w:color w:val="000000"/>
          <w:sz w:val="16"/>
        </w:rPr>
        <w:t>, IAB 4/30/14, effective 6/4/14</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11/3/95, Notice 9/27/95—published 11/22/95, effective 1/1/96]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9/5/97, Notice 7/30/97—published 9/24/97, effective 10/29/97]</w:t>
      </w:r>
    </w:p>
    <w:p>
      <w:pPr>
        <w:spacing w:before="0" w:after="0"/>
        <w:ind w:left="120"/>
        <w:jc w:val="center"/>
      </w:pPr>
      <w:r>
        <w:rPr>
          <w:rFonts w:ascii="Times New Roman" w:hAnsi="Times New Roman"/>
          <w:b w:val="false"/>
          <w:i w:val="false"/>
          <w:color w:val="000000"/>
          <w:sz w:val="21"/>
        </w:rPr>
        <w:t>[Filed 12/11/98, Notice 11/4/98—published 12/30/98, effective 2/3/99]</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10/15/99, Notice 9/8/99—published 11/3/99, effective 12/8/99]</w:t>
      </w:r>
    </w:p>
    <w:p>
      <w:pPr>
        <w:spacing w:before="0" w:after="0"/>
        <w:ind w:left="120"/>
        <w:jc w:val="center"/>
      </w:pPr>
      <w:r>
        <w:rPr>
          <w:rFonts w:ascii="Times New Roman" w:hAnsi="Times New Roman"/>
          <w:b w:val="false"/>
          <w:i w:val="false"/>
          <w:color w:val="000000"/>
          <w:sz w:val="21"/>
        </w:rPr>
        <w:t>[Filed 5/11/01, Notice 2/21/01—published 5/30/01, effective 7/4/01]</w:t>
      </w:r>
    </w:p>
    <w:p>
      <w:pPr>
        <w:spacing w:before="0" w:after="0"/>
        <w:ind w:left="120"/>
        <w:jc w:val="center"/>
      </w:pPr>
      <w:r>
        <w:rPr>
          <w:rFonts w:ascii="Times New Roman" w:hAnsi="Times New Roman"/>
          <w:b w:val="false"/>
          <w:i w:val="false"/>
          <w:color w:val="000000"/>
          <w:sz w:val="21"/>
        </w:rPr>
        <w:t>[Filed 10/12/01, Notice 9/15/01—published 10/31/01, effective 12/5/01]</w:t>
      </w:r>
    </w:p>
    <w:p>
      <w:pPr>
        <w:spacing w:before="0" w:after="0"/>
        <w:ind w:left="120"/>
        <w:jc w:val="center"/>
      </w:pPr>
      <w:r>
        <w:rPr>
          <w:rFonts w:ascii="Times New Roman" w:hAnsi="Times New Roman"/>
          <w:b w:val="false"/>
          <w:i w:val="false"/>
          <w:color w:val="000000"/>
          <w:sz w:val="21"/>
        </w:rPr>
        <w:t>[Filed 10/25/02, Notice 9/4/02—published 11/13/02, effective 12/18/02]</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8/22/07, Notice 7/18/07—published 9/12/07, effective 10/17/07]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2/8/08, Notice 1/2/08—published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8225B</w:t>
      </w:r>
      <w:r>
        <w:rPr>
          <w:rFonts w:ascii="Times New Roman" w:hAnsi="Times New Roman"/>
          <w:b w:val="false"/>
          <w:i w:val="false"/>
          <w:color w:val="000000"/>
          <w:sz w:val="21"/>
        </w:rPr>
        <w:t xml:space="preserve"> (Notice ARC 8043B,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0399C</w:t>
      </w:r>
      <w:r>
        <w:rPr>
          <w:rFonts w:ascii="Times New Roman" w:hAnsi="Times New Roman"/>
          <w:b w:val="false"/>
          <w:i w:val="false"/>
          <w:color w:val="000000"/>
          <w:sz w:val="21"/>
        </w:rPr>
        <w:t xml:space="preserve"> (Notice ARC 0285C,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1442C</w:t>
      </w:r>
      <w:r>
        <w:rPr>
          <w:rFonts w:ascii="Times New Roman" w:hAnsi="Times New Roman"/>
          <w:b w:val="false"/>
          <w:i w:val="false"/>
          <w:color w:val="000000"/>
          <w:sz w:val="21"/>
        </w:rPr>
        <w:t xml:space="preserve"> (Notice ARC 1362C, IAB 3/5/14)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1805C</w:t>
      </w:r>
      <w:r>
        <w:rPr>
          <w:rFonts w:ascii="Times New Roman" w:hAnsi="Times New Roman"/>
          <w:b w:val="false"/>
          <w:i w:val="false"/>
          <w:color w:val="000000"/>
          <w:sz w:val="21"/>
        </w:rPr>
        <w:t xml:space="preserve"> (Notice ARC 1681C, IAB 10/15/14)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2247C</w:t>
      </w:r>
      <w:r>
        <w:rPr>
          <w:rFonts w:ascii="Times New Roman" w:hAnsi="Times New Roman"/>
          <w:b w:val="false"/>
          <w:i w:val="false"/>
          <w:color w:val="000000"/>
          <w:sz w:val="21"/>
        </w:rPr>
        <w:t xml:space="preserve"> (Notice ARC 2123C, IAB 9/2/15)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2698C</w:t>
      </w:r>
      <w:r>
        <w:rPr>
          <w:rFonts w:ascii="Times New Roman" w:hAnsi="Times New Roman"/>
          <w:b w:val="false"/>
          <w:i w:val="false"/>
          <w:color w:val="000000"/>
          <w:sz w:val="21"/>
        </w:rPr>
        <w:t xml:space="preserve"> (Notice ARC 2619C, IAB 7/6/16)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1"/>
        </w:rPr>
        <w:t>[Filed ARC 3146C</w:t>
      </w:r>
      <w:r>
        <w:rPr>
          <w:rFonts w:ascii="Times New Roman" w:hAnsi="Times New Roman"/>
          <w:b w:val="false"/>
          <w:i w:val="false"/>
          <w:color w:val="000000"/>
          <w:sz w:val="21"/>
        </w:rPr>
        <w:t xml:space="preserve"> (Notice ARC 3036C, IAB 4/26/17)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4252C</w:t>
      </w:r>
      <w:r>
        <w:rPr>
          <w:rFonts w:ascii="Times New Roman" w:hAnsi="Times New Roman"/>
          <w:b w:val="false"/>
          <w:i w:val="false"/>
          <w:color w:val="000000"/>
          <w:sz w:val="21"/>
        </w:rPr>
        <w:t xml:space="preserve"> (Notice ARC 4133C, IAB 11/21/18)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4585C</w:t>
      </w:r>
      <w:r>
        <w:rPr>
          <w:rFonts w:ascii="Times New Roman" w:hAnsi="Times New Roman"/>
          <w:b w:val="false"/>
          <w:i w:val="false"/>
          <w:color w:val="000000"/>
          <w:sz w:val="21"/>
        </w:rPr>
        <w:t xml:space="preserve"> (Notice ARC 4381C,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5842C</w:t>
      </w:r>
      <w:r>
        <w:rPr>
          <w:rFonts w:ascii="Times New Roman" w:hAnsi="Times New Roman"/>
          <w:b w:val="false"/>
          <w:i w:val="false"/>
          <w:color w:val="000000"/>
          <w:sz w:val="21"/>
        </w:rPr>
        <w:t xml:space="preserve"> (Notice ARC 5710C,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6393C</w:t>
      </w:r>
      <w:r>
        <w:rPr>
          <w:rFonts w:ascii="Times New Roman" w:hAnsi="Times New Roman"/>
          <w:b w:val="false"/>
          <w:i w:val="false"/>
          <w:color w:val="000000"/>
          <w:sz w:val="21"/>
        </w:rPr>
        <w:t xml:space="preserve"> (Notice ARC 6315C, IAB 5/4/22)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7019C</w:t>
      </w:r>
      <w:r>
        <w:rPr>
          <w:rFonts w:ascii="Times New Roman" w:hAnsi="Times New Roman"/>
          <w:b w:val="false"/>
          <w:i w:val="false"/>
          <w:color w:val="000000"/>
          <w:sz w:val="21"/>
        </w:rPr>
        <w:t xml:space="preserve"> (Notice ARC 6921C, IAB 2/22/23)</w:t>
      </w:r>
      <w:r>
        <w:rPr>
          <w:rFonts w:ascii="Times New Roman" w:hAnsi="Times New Roman"/>
          <w:b w:val="false"/>
          <w:i w:val="false"/>
          <w:color w:val="000000"/>
          <w:sz w:val="21"/>
        </w:rPr>
        <w:t>, IAB 5/17/23, effective 7/1/23]</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259.1.pdf" Type="http://schemas.openxmlformats.org/officeDocument/2006/relationships/hyperlink" Id="rId5"/>
    <Relationship TargetMode="External" Target="https://www.legis.iowa.gov/docs/ico/chapter/452A.3.pdf" Type="http://schemas.openxmlformats.org/officeDocument/2006/relationships/hyperlink" Id="rId6"/>
    <Relationship TargetMode="External" Target="https://www.legis.iowa.gov/docs/ico/chapter/452A.33.pdf" Type="http://schemas.openxmlformats.org/officeDocument/2006/relationships/hyperlink" Id="rId7"/>
    <Relationship TargetMode="External" Target="https://www.legis.iowa.gov/docs/ico/chapter/452A.3.pdf" Type="http://schemas.openxmlformats.org/officeDocument/2006/relationships/hyperlink" Id="rId8"/>
    <Relationship TargetMode="External" Target="https://www.legis.iowa.gov/docs/ico/chapter/452A.33.pdf" Type="http://schemas.openxmlformats.org/officeDocument/2006/relationships/hyperlink" Id="rId9"/>
    <Relationship TargetMode="External" Target="https://www.legis.iowa.gov/docs/ico/chapter/452A.3.pdf" Type="http://schemas.openxmlformats.org/officeDocument/2006/relationships/hyperlink" Id="rId10"/>
    <Relationship TargetMode="External" Target="https://www.legis.iowa.gov/docs/ico/chapter/452A.8.pdf" Type="http://schemas.openxmlformats.org/officeDocument/2006/relationships/hyperlink" Id="rId11"/>
    <Relationship TargetMode="External" Target="https://www.legis.iowa.gov/docs/ico/chapter/452A.85.pdf" Type="http://schemas.openxmlformats.org/officeDocument/2006/relationships/hyperlink" Id="rId12"/>
    <Relationship TargetMode="External" Target="https://www.legis.iowa.gov/docs/iac/rule/701.220.2.pdf" Type="http://schemas.openxmlformats.org/officeDocument/2006/relationships/hyperlink" Id="rId13"/>
    <Relationship TargetMode="External" Target="https://www.legis.iowa.gov/docs/ico/chapter/452A.17.pdf" Type="http://schemas.openxmlformats.org/officeDocument/2006/relationships/hyperlink" Id="rId14"/>
    <Relationship TargetMode="External" Target="https://www.legis.iowa.gov/docs/ico/chapter/452A.3.pdf" Type="http://schemas.openxmlformats.org/officeDocument/2006/relationships/hyperlink" Id="rId15"/>
    <Relationship TargetMode="External" Target="https://www.legis.iowa.gov/docs/iac/rule/701.260.2.pdf" Type="http://schemas.openxmlformats.org/officeDocument/2006/relationships/hyperlink" Id="rId16"/>
    <Relationship TargetMode="External" Target="https://www.legis.iowa.gov/docs/iac/rule/701.260.2.pdf" Type="http://schemas.openxmlformats.org/officeDocument/2006/relationships/hyperlink" Id="rId17"/>
    <Relationship TargetMode="External" Target="https://www.legis.iowa.gov/docs/iac/rule/701.260.2.pdf" Type="http://schemas.openxmlformats.org/officeDocument/2006/relationships/hyperlink" Id="rId18"/>
    <Relationship TargetMode="External" Target="https://www.legis.iowa.gov/docs/iac/rule/701.260.2.pdf" Type="http://schemas.openxmlformats.org/officeDocument/2006/relationships/hyperlink" Id="rId19"/>
    <Relationship TargetMode="External" Target="https://www.legis.iowa.gov/docs/iac/rule/701.260.2.pdf" Type="http://schemas.openxmlformats.org/officeDocument/2006/relationships/hyperlink" Id="rId20"/>
    <Relationship TargetMode="External" Target="https://www.legis.iowa.gov/docs/iac/rule/701.260.4.pdf" Type="http://schemas.openxmlformats.org/officeDocument/2006/relationships/hyperlink" Id="rId21"/>
    <Relationship TargetMode="External" Target="https://www.legis.iowa.gov/docs/iac/rule/701.260.4.pdf" Type="http://schemas.openxmlformats.org/officeDocument/2006/relationships/hyperlink" Id="rId22"/>
    <Relationship TargetMode="External" Target="https://www.legis.iowa.gov/docs/iac/rule/701.260.2.pdf" Type="http://schemas.openxmlformats.org/officeDocument/2006/relationships/hyperlink" Id="rId23"/>
    <Relationship TargetMode="External" Target="https://www.legis.iowa.gov/docs/iac/rule/701.260.2.pdf" Type="http://schemas.openxmlformats.org/officeDocument/2006/relationships/hyperlink" Id="rId24"/>
    <Relationship TargetMode="External" Target="https://www.legis.iowa.gov/docs/iac/rule/701.259.1.pdf" Type="http://schemas.openxmlformats.org/officeDocument/2006/relationships/hyperlink" Id="rId25"/>
    <Relationship TargetMode="External" Target="https://www.legis.iowa.gov/docs/iac/rule/701.260.2.pdf" Type="http://schemas.openxmlformats.org/officeDocument/2006/relationships/hyperlink" Id="rId26"/>
    <Relationship TargetMode="External" Target="https://www.legis.iowa.gov/docs/iac/rule/701.260.4.pdf" Type="http://schemas.openxmlformats.org/officeDocument/2006/relationships/hyperlink" Id="rId27"/>
    <Relationship TargetMode="External" Target="https://www.legis.iowa.gov/docs/iac/rule/701.260.4.pdf" Type="http://schemas.openxmlformats.org/officeDocument/2006/relationships/hyperlink" Id="rId28"/>
    <Relationship TargetMode="External" Target="https://www.legis.iowa.gov/docs/iac/rule/701.260.4.pdf" Type="http://schemas.openxmlformats.org/officeDocument/2006/relationships/hyperlink" Id="rId29"/>
    <Relationship TargetMode="External" Target="https://www.legis.iowa.gov/docs/ico/chapter/452A.8.pdf" Type="http://schemas.openxmlformats.org/officeDocument/2006/relationships/hyperlink" Id="rId30"/>
    <Relationship TargetMode="External" Target="https://www.legis.iowa.gov/docs/ico/chapter/452A.5.pdf" Type="http://schemas.openxmlformats.org/officeDocument/2006/relationships/hyperlink" Id="rId31"/>
    <Relationship TargetMode="External" Target="https://www.legis.iowa.gov/docs/ico/chapter/452A.3.pdf" Type="http://schemas.openxmlformats.org/officeDocument/2006/relationships/hyperlink" Id="rId32"/>
    <Relationship TargetMode="External" Target="https://www.legis.iowa.gov/docs/ico/chapter/452A.5.pdf" Type="http://schemas.openxmlformats.org/officeDocument/2006/relationships/hyperlink" Id="rId33"/>
    <Relationship TargetMode="External" Target="https://www.legis.iowa.gov/docs/ico/chapter/452A.8.pdf" Type="http://schemas.openxmlformats.org/officeDocument/2006/relationships/hyperlink" Id="rId34"/>
    <Relationship TargetMode="External" Target="https://www.legis.iowa.gov/docs/ico/chapter/452A.9.pdf" Type="http://schemas.openxmlformats.org/officeDocument/2006/relationships/hyperlink" Id="rId35"/>
    <Relationship TargetMode="External" Target="https://www.legis.iowa.gov/docs/ico/chapter/452A.5.pdf" Type="http://schemas.openxmlformats.org/officeDocument/2006/relationships/hyperlink" Id="rId36"/>
    <Relationship TargetMode="External" Target="https://www.legis.iowa.gov/docs/ico/chapter/452A.8.pdf" Type="http://schemas.openxmlformats.org/officeDocument/2006/relationships/hyperlink" Id="rId37"/>
    <Relationship TargetMode="External" Target="https://www.legis.iowa.gov/docs/iac/rule/701.259.21.pdf" Type="http://schemas.openxmlformats.org/officeDocument/2006/relationships/hyperlink" Id="rId38"/>
    <Relationship TargetMode="External" Target="https://www.legis.iowa.gov/docs/iac/rule/701.259.23.pdf" Type="http://schemas.openxmlformats.org/officeDocument/2006/relationships/hyperlink" Id="rId39"/>
    <Relationship TargetMode="External" Target="https://www.legis.iowa.gov/docs/ico/chapter/452A.8.pdf" Type="http://schemas.openxmlformats.org/officeDocument/2006/relationships/hyperlink" Id="rId40"/>
    <Relationship TargetMode="External" Target="https://www.legis.iowa.gov/docs/iac/rule/701.259.1.pdf" Type="http://schemas.openxmlformats.org/officeDocument/2006/relationships/hyperlink" Id="rId41"/>
    <Relationship TargetMode="External" Target="https://www.legis.iowa.gov/docs/ico/chapter/452A.57.pdf" Type="http://schemas.openxmlformats.org/officeDocument/2006/relationships/hyperlink" Id="rId42"/>
    <Relationship TargetMode="External" Target="https://www.legis.iowa.gov/docs/iac/rule/701.259.1.pdf" Type="http://schemas.openxmlformats.org/officeDocument/2006/relationships/hyperlink" Id="rId43"/>
    <Relationship TargetMode="External" Target="https://www.legis.iowa.gov/docs/ico/chapter/452A.57.pdf" Type="http://schemas.openxmlformats.org/officeDocument/2006/relationships/hyperlink" Id="rId44"/>
    <Relationship TargetMode="External" Target="https://www.legis.iowa.gov/docs/ico/chapter/285.5.pdf" Type="http://schemas.openxmlformats.org/officeDocument/2006/relationships/hyperlink" Id="rId45"/>
    <Relationship TargetMode="External" Target="https://www.legis.iowa.gov/docs/ico/chapter/482.4.pdf" Type="http://schemas.openxmlformats.org/officeDocument/2006/relationships/hyperlink" Id="rId46"/>
    <Relationship TargetMode="External" Target="https://www.legis.iowa.gov/docs/iac/rule/701.259.12.pdf" Type="http://schemas.openxmlformats.org/officeDocument/2006/relationships/hyperlink" Id="rId47"/>
    <Relationship TargetMode="External" Target="https://www.legis.iowa.gov/docs/iac/rule/701.261.10.pdf" Type="http://schemas.openxmlformats.org/officeDocument/2006/relationships/hyperlink" Id="rId48"/>
    <Relationship TargetMode="External" Target="https://www.legis.iowa.gov/docs/iac/rule/701.259.3.pdf" Type="http://schemas.openxmlformats.org/officeDocument/2006/relationships/hyperlink" Id="rId49"/>
    <Relationship TargetMode="External" Target="https://www.legis.iowa.gov/docs/ico/chapter/452A.pdf" Type="http://schemas.openxmlformats.org/officeDocument/2006/relationships/hyperlink" Id="rId50"/>
    <Relationship TargetMode="External" Target="https://www.legis.iowa.gov/docs/ico/chapter/452A.17.pdf" Type="http://schemas.openxmlformats.org/officeDocument/2006/relationships/hyperlink" Id="rId51"/>
    <Relationship TargetMode="External" Target="https://www.legis.iowa.gov/docs/ico/chapter/452A.71.pdf" Type="http://schemas.openxmlformats.org/officeDocument/2006/relationships/hyperlink" Id="rId52"/>
    <Relationship TargetMode="External" Target="https://www.legis.iowa.gov/docs/ico/chapter/452A.17.pdf" Type="http://schemas.openxmlformats.org/officeDocument/2006/relationships/hyperlink" Id="rId53"/>
    <Relationship TargetMode="External" Target="https://www.legis.iowa.gov/docs/ico/chapter/452A.17.pdf" Type="http://schemas.openxmlformats.org/officeDocument/2006/relationships/hyperlink" Id="rId54"/>
    <Relationship TargetMode="External" Target="https://www.legis.iowa.gov/docs/ico/chapter/452A.19.pdf" Type="http://schemas.openxmlformats.org/officeDocument/2006/relationships/hyperlink" Id="rId55"/>
    <Relationship TargetMode="External" Target="https://www.legis.iowa.gov/docs/ico/chapter/452A.21.pdf" Type="http://schemas.openxmlformats.org/officeDocument/2006/relationships/hyperlink" Id="rId56"/>
    <Relationship TargetMode="External" Target="https://www.legis.iowa.gov/docs/ico/chapter/452A.72.pdf" Type="http://schemas.openxmlformats.org/officeDocument/2006/relationships/hyperlink" Id="rId57"/>
    <Relationship TargetMode="External" Target="https://www.legis.iowa.gov/docs/ico/chapter/452A.pdf" Type="http://schemas.openxmlformats.org/officeDocument/2006/relationships/hyperlink" Id="rId58"/>
    <Relationship TargetMode="External" Target="https://www.legis.iowa.gov/docs/iac/rule/701.260.8.pdf" Type="http://schemas.openxmlformats.org/officeDocument/2006/relationships/hyperlink" Id="rId59"/>
    <Relationship TargetMode="External" Target="https://www.legis.iowa.gov/docs/ico/chapter/452A.18.pdf" Type="http://schemas.openxmlformats.org/officeDocument/2006/relationships/hyperlink" Id="rId60"/>
    <Relationship TargetMode="External" Target="https://www.legis.iowa.gov/docs/iac/rule/701.7.23.pdf" Type="http://schemas.openxmlformats.org/officeDocument/2006/relationships/hyperlink" Id="rId61"/>
    <Relationship TargetMode="External" Target="https://www.legis.iowa.gov/docs/ico/chapter/452A.19.pdf" Type="http://schemas.openxmlformats.org/officeDocument/2006/relationships/hyperlink" Id="rId62"/>
    <Relationship TargetMode="External" Target="https://www.legis.iowa.gov/docs/ico/chapter/452A.17.pdf" Type="http://schemas.openxmlformats.org/officeDocument/2006/relationships/hyperlink" Id="rId63"/>
    <Relationship TargetMode="External" Target="https://www.legis.iowa.gov/docs/ico/chapter/422.110.pdf" Type="http://schemas.openxmlformats.org/officeDocument/2006/relationships/hyperlink" Id="rId64"/>
    <Relationship TargetMode="External" Target="https://www.legis.iowa.gov/docs/ico/chapter/452A.17.pdf" Type="http://schemas.openxmlformats.org/officeDocument/2006/relationships/hyperlink" Id="rId65"/>
    <Relationship TargetMode="External" Target="https://www.legis.iowa.gov/docs/ico/chapter/452A.21.pdf" Type="http://schemas.openxmlformats.org/officeDocument/2006/relationships/hyperlink" Id="rId66"/>
    <Relationship TargetMode="External" Target="https://www.legis.iowa.gov/docs/ico/chapter/423.3.pdf" Type="http://schemas.openxmlformats.org/officeDocument/2006/relationships/hyperlink" Id="rId67"/>
    <Relationship TargetMode="External" Target="https://www.legis.iowa.gov/docs/ico/chapter/423.3.pdf" Type="http://schemas.openxmlformats.org/officeDocument/2006/relationships/hyperlink" Id="rId68"/>
    <Relationship TargetMode="External" Target="https://www.legis.iowa.gov/docs/iac/rule/701.220.2.pdf" Type="http://schemas.openxmlformats.org/officeDocument/2006/relationships/hyperlink" Id="rId69"/>
    <Relationship TargetMode="External" Target="https://www.legis.iowa.gov/docs/ico/chapter/452A.17.pdf" Type="http://schemas.openxmlformats.org/officeDocument/2006/relationships/hyperlink" Id="rId70"/>
    <Relationship TargetMode="External" Target="https://www.legis.iowa.gov/docs/ico/chapter/452A.2.pdf" Type="http://schemas.openxmlformats.org/officeDocument/2006/relationships/hyperlink" Id="rId71"/>
    <Relationship TargetMode="External" Target="https://www.legis.iowa.gov/docs/ico/chapter/452A.8.pdf" Type="http://schemas.openxmlformats.org/officeDocument/2006/relationships/hyperlink" Id="rId72"/>
    <Relationship TargetMode="External" Target="https://www.legis.iowa.gov/docs/ico/chapter/452A.15.pdf" Type="http://schemas.openxmlformats.org/officeDocument/2006/relationships/hyperlink" Id="rId73"/>
    <Relationship TargetMode="External" Target="https://www.legis.iowa.gov/docs/ico/chapter/452A.59.pdf" Type="http://schemas.openxmlformats.org/officeDocument/2006/relationships/hyperlink" Id="rId74"/>
    <Relationship TargetMode="External" Target="https://www.legis.iowa.gov/docs/ico/chapter/452A.15.pdf" Type="http://schemas.openxmlformats.org/officeDocument/2006/relationships/hyperlink" Id="rId75"/>
    <Relationship TargetMode="External" Target="https://www.legis.iowa.gov/docs/ico/chapter/452A.8.pdf" Type="http://schemas.openxmlformats.org/officeDocument/2006/relationships/hyperlink" Id="rId76"/>
    <Relationship TargetMode="External" Target="https://www.legis.iowa.gov/docs/ico/chapter/452A.15.pdf" Type="http://schemas.openxmlformats.org/officeDocument/2006/relationships/hyperlink" Id="rId77"/>
    <Relationship TargetMode="External" Target="https://www.legis.iowa.gov/docs/ico/chapter/452A.15.pdf" Type="http://schemas.openxmlformats.org/officeDocument/2006/relationships/hyperlink" Id="rId78"/>
    <Relationship TargetMode="External" Target="https://www.legis.iowa.gov/docs/ico/chapter/214A.2.pdf" Type="http://schemas.openxmlformats.org/officeDocument/2006/relationships/hyperlink" Id="rId79"/>
    <Relationship TargetMode="External" Target="https://www.legis.iowa.gov/docs/ico/chapter/452A.10.pdf" Type="http://schemas.openxmlformats.org/officeDocument/2006/relationships/hyperlink" Id="rId80"/>
    <Relationship TargetMode="External" Target="https://www.legis.iowa.gov/docs/ico/chapter/452A.12.pdf" Type="http://schemas.openxmlformats.org/officeDocument/2006/relationships/hyperlink" Id="rId81"/>
    <Relationship TargetMode="External" Target="https://www.legis.iowa.gov/docs/ico/chapter/452A.60.pdf" Type="http://schemas.openxmlformats.org/officeDocument/2006/relationships/hyperlink" Id="rId82"/>
    <Relationship TargetMode="External" Target="https://www.legis.iowa.gov/docs/ico/chapter/452A.76.pdf" Type="http://schemas.openxmlformats.org/officeDocument/2006/relationships/hyperlink" Id="rId83"/>
    <Relationship TargetMode="External" Target="https://www.legis.iowa.gov/docs/ico/chapter/452A.6.pdf" Type="http://schemas.openxmlformats.org/officeDocument/2006/relationships/hyperlink" Id="rId84"/>
    <Relationship TargetMode="External" Target="https://www.legis.iowa.gov/docs/iac/rule/701.10.71.pdf" Type="http://schemas.openxmlformats.org/officeDocument/2006/relationships/hyperlink" Id="rId85"/>
    <Relationship TargetMode="External" Target="https://www.legis.iowa.gov/docs/ico/chapter/452A.6A.pdf" Type="http://schemas.openxmlformats.org/officeDocument/2006/relationships/hyperlink" Id="rId8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