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8.3.11 (Apache licensed) using REFERENCE JAXB in Temurin Java 1.8.0_382 on Windows Server 2016 -->
    <w:p>
      <w:pPr>
        <w:spacing w:before="0" w:after="0"/>
        <w:ind w:left="120"/>
        <w:jc w:val="center"/>
      </w:pPr>
      <w:r>
        <w:rPr>
          <w:rFonts w:ascii="Times New Roman" w:hAnsi="Times New Roman"/>
          <w:b w:val="false"/>
          <w:i w:val="false"/>
          <w:color w:val="000000"/>
          <w:sz w:val="21"/>
        </w:rPr>
        <w:t xml:space="preserve">CHAPTER </w:t>
      </w:r>
      <w:r>
        <w:rPr>
          <w:rFonts w:ascii="Times New Roman" w:hAnsi="Times New Roman"/>
          <w:b w:val="false"/>
          <w:i w:val="false"/>
          <w:color w:val="000000"/>
          <w:sz w:val="21"/>
        </w:rPr>
        <w:t>257</w:t>
      </w:r>
    </w:p>
    <w:p>
      <w:pPr>
        <w:spacing w:before="0" w:after="0"/>
        <w:ind w:left="120"/>
        <w:jc w:val="center"/>
      </w:pPr>
      <w:r>
        <w:rPr>
          <w:rFonts w:ascii="Times New Roman" w:hAnsi="Times New Roman"/>
          <w:b w:val="false"/>
          <w:i w:val="false"/>
          <w:color w:val="000000"/>
          <w:sz w:val="21"/>
        </w:rPr>
        <w:t>UNFAIR CIGARETTE SALES</w:t>
      </w:r>
    </w:p>
    <w:p>
      <w:pPr>
        <w:spacing w:before="0" w:after="0"/>
        <w:ind w:left="120"/>
        <w:jc w:val="center"/>
      </w:pPr>
      <w:r>
        <w:rPr>
          <w:rFonts w:ascii="Times New Roman" w:hAnsi="Times New Roman"/>
          <w:b w:val="false"/>
          <w:i w:val="false"/>
          <w:color w:val="000000"/>
          <w:sz w:val="14"/>
        </w:rPr>
        <w:t>[Prior to 12/17/86, Revenue Department[730]]</w:t>
      </w:r>
    </w:p>
    <w:p>
      <w:pPr>
        <w:spacing w:before="0" w:after="0"/>
        <w:ind w:left="120"/>
        <w:jc w:val="center"/>
      </w:pPr>
      <w:r>
        <w:rPr>
          <w:rFonts w:ascii="Times New Roman" w:hAnsi="Times New Roman"/>
          <w:b w:val="false"/>
          <w:i w:val="false"/>
          <w:color w:val="000000"/>
          <w:sz w:val="14"/>
        </w:rPr>
        <w:t>[Prior to 9/7/22, see Revenue Department[701] Ch 84]</w:t>
      </w:r>
    </w:p>
    <w:p>
      <w:pPr>
        <w:pBdr>
          <w:top w:space="10"/>
        </w:pBdr>
        <w:spacing w:before="0" w:after="0"/>
        <w:ind w:left="120"/>
        <w:jc w:val="center"/>
      </w:pPr>
      <w:r>
        <w:rPr>
          <w:rFonts w:ascii="Times New Roman" w:hAnsi="Times New Roman"/>
          <w:b w:val="false"/>
          <w:i w:val="false"/>
          <w:color w:val="000000"/>
          <w:sz w:val="22"/>
        </w:rPr>
        <w:t xml:space="preserve">Chapter rescission date pursuant to Iowa Code section </w:t>
      </w:r>
      <w:hyperlink r:id="rId4">
        <w:r>
          <w:rPr>
            <w:rStyle w:val="Hyperlink"/>
            <w:rFonts w:ascii="Times New Roman" w:hAnsi="Times New Roman"/>
            <w:b w:val="false"/>
            <w:i w:val="false"/>
            <w:color w:val="000000"/>
            <w:sz w:val="22"/>
          </w:rPr>
          <w:t>17A.7</w:t>
        </w:r>
      </w:hyperlink>
      <w:r>
        <w:rPr>
          <w:rFonts w:ascii="Times New Roman" w:hAnsi="Times New Roman"/>
          <w:b w:val="false"/>
          <w:i w:val="false"/>
          <w:color w:val="000000"/>
          <w:sz w:val="22"/>
        </w:rPr>
        <w:t xml:space="preserve">: </w:t>
      </w:r>
      <w:r>
        <w:rPr>
          <w:rFonts w:ascii="Times New Roman" w:hAnsi="Times New Roman"/>
          <w:b w:val="false"/>
          <w:i w:val="false"/>
          <w:color w:val="000000"/>
          <w:sz w:val="22"/>
        </w:rPr>
        <w:t>1/1/28</w:t>
      </w:r>
    </w:p>
    <w:p>
      <w:pPr>
        <w:spacing w:before="0" w:after="0"/>
        <w:ind w:left="120"/>
        <w:jc w:val="both"/>
      </w:pPr>
      <w:r>
        <w:rPr>
          <w:rFonts w:ascii="Times New Roman" w:hAnsi="Times New Roman"/>
          <w:b/>
          <w:i w:val="false"/>
          <w:color w:val="000000"/>
          <w:sz w:val="22"/>
        </w:rPr>
        <w:t>701—257.1</w:t>
      </w:r>
      <w:r>
        <w:rPr>
          <w:rFonts w:ascii="Times New Roman" w:hAnsi="Times New Roman"/>
          <w:b/>
          <w:i w:val="false"/>
          <w:color w:val="000000"/>
          <w:sz w:val="22"/>
        </w:rPr>
        <w:t xml:space="preserve">(421B) </w:t>
      </w:r>
      <w:r>
        <w:rPr>
          <w:rFonts w:ascii="Times New Roman" w:hAnsi="Times New Roman"/>
          <w:b/>
          <w:i w:val="false"/>
          <w:color w:val="000000"/>
          <w:sz w:val="22"/>
        </w:rPr>
        <w:t xml:space="preserve">Definitions. </w:t>
      </w:r>
      <w:r>
        <w:rPr>
          <w:rFonts w:ascii="Times New Roman" w:hAnsi="Times New Roman"/>
          <w:b w:val="false"/>
          <w:i w:val="false"/>
          <w:color w:val="000000"/>
          <w:sz w:val="22"/>
        </w:rPr>
        <w:t xml:space="preserve">For purposes of this chapter “wholesaler” and “retailer” mean a cigarette wholesaler and cigarette retailer as defined in Iowa Code section </w:t>
      </w:r>
      <w:hyperlink r:id="rId5">
        <w:r>
          <w:rPr>
            <w:rStyle w:val="Hyperlink"/>
            <w:rFonts w:ascii="Times New Roman" w:hAnsi="Times New Roman"/>
            <w:b w:val="false"/>
            <w:i w:val="false"/>
            <w:color w:val="000000"/>
            <w:sz w:val="22"/>
          </w:rPr>
          <w:t>421B.2</w:t>
        </w:r>
      </w:hyperlink>
      <w:r>
        <w:rPr>
          <w:rFonts w:ascii="Times New Roman" w:hAnsi="Times New Roman"/>
          <w:b w:val="false"/>
          <w:i w:val="false"/>
          <w:color w:val="000000"/>
          <w:sz w:val="22"/>
        </w:rPr>
        <w:t>. See opinion of the Attorney General, Griger to Bair, Director, Iowa Department of Revenue, 80-1-15. “Sale” or “sales” shall include an offer for sale.</w:t>
      </w:r>
    </w:p>
    <w:p>
      <w:pPr>
        <w:spacing w:before="0" w:after="0"/>
        <w:ind w:left="120"/>
        <w:jc w:val="both"/>
      </w:pPr>
      <w:r>
        <w:rPr>
          <w:rFonts w:ascii="Times New Roman" w:hAnsi="Times New Roman"/>
          <w:b w:val="false"/>
          <w:i w:val="false"/>
          <w:color w:val="000000"/>
          <w:sz w:val="22"/>
        </w:rPr>
        <w:t xml:space="preserve">This rule is intended to implement Iowa Code section </w:t>
      </w:r>
      <w:hyperlink r:id="rId6">
        <w:r>
          <w:rPr>
            <w:rStyle w:val="Hyperlink"/>
            <w:rFonts w:ascii="Times New Roman" w:hAnsi="Times New Roman"/>
            <w:b w:val="false"/>
            <w:i w:val="false"/>
            <w:color w:val="000000"/>
            <w:sz w:val="22"/>
          </w:rPr>
          <w:t>421B.2</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6508C</w:t>
      </w:r>
      <w:r>
        <w:rPr>
          <w:rFonts w:ascii="Times New Roman" w:hAnsi="Times New Roman"/>
          <w:b w:val="false"/>
          <w:i w:val="false"/>
          <w:color w:val="000000"/>
          <w:sz w:val="16"/>
        </w:rPr>
        <w:t>, IAB 9/7/22, effective 10/12/22</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701—257.2</w:t>
      </w:r>
      <w:r>
        <w:rPr>
          <w:rFonts w:ascii="Times New Roman" w:hAnsi="Times New Roman"/>
          <w:b/>
          <w:i w:val="false"/>
          <w:color w:val="000000"/>
          <w:sz w:val="22"/>
        </w:rPr>
        <w:t xml:space="preserve">(421B) </w:t>
      </w:r>
      <w:r>
        <w:rPr>
          <w:rFonts w:ascii="Times New Roman" w:hAnsi="Times New Roman"/>
          <w:b/>
          <w:i w:val="false"/>
          <w:color w:val="000000"/>
          <w:sz w:val="22"/>
        </w:rPr>
        <w:t xml:space="preserve">Minimum price. </w:t>
      </w:r>
      <w:r>
        <w:rPr>
          <w:rFonts w:ascii="Times New Roman" w:hAnsi="Times New Roman"/>
          <w:b w:val="false"/>
          <w:i w:val="false"/>
          <w:color w:val="000000"/>
          <w:sz w:val="22"/>
        </w:rPr>
        <w:t xml:space="preserve">The formula for determining the “cost” to a wholesaler or retailer as defined in Iowa Code section </w:t>
      </w:r>
      <w:hyperlink r:id="rId7">
        <w:r>
          <w:rPr>
            <w:rStyle w:val="Hyperlink"/>
            <w:rFonts w:ascii="Times New Roman" w:hAnsi="Times New Roman"/>
            <w:b w:val="false"/>
            <w:i w:val="false"/>
            <w:color w:val="000000"/>
            <w:sz w:val="22"/>
          </w:rPr>
          <w:t>421B.2</w:t>
        </w:r>
      </w:hyperlink>
      <w:r>
        <w:rPr>
          <w:rFonts w:ascii="Times New Roman" w:hAnsi="Times New Roman"/>
          <w:b w:val="false"/>
          <w:i w:val="false"/>
          <w:color w:val="000000"/>
          <w:sz w:val="22"/>
        </w:rPr>
        <w:t xml:space="preserve"> is not conclusive. The retailer, wholesaler or the department may prove that the “cost” is either higher or lower.</w:t>
      </w:r>
    </w:p>
    <w:p>
      <w:pPr>
        <w:spacing w:before="0" w:after="0"/>
        <w:ind w:left="120"/>
        <w:jc w:val="both"/>
      </w:pPr>
      <w:r>
        <w:rPr>
          <w:rFonts w:ascii="Times New Roman" w:hAnsi="Times New Roman"/>
          <w:b w:val="false"/>
          <w:i w:val="false"/>
          <w:color w:val="000000"/>
          <w:sz w:val="22"/>
        </w:rPr>
        <w:t xml:space="preserve">Any wholesaler or retailer who desires to prove that the wholesaler’s or retailer’s cost is less than the statutory presumptive cost computed according to the Iowa unfair cigarette sales Act, Iowa Code chapter </w:t>
      </w:r>
      <w:hyperlink r:id="rId8">
        <w:r>
          <w:rPr>
            <w:rStyle w:val="Hyperlink"/>
            <w:rFonts w:ascii="Times New Roman" w:hAnsi="Times New Roman"/>
            <w:b w:val="false"/>
            <w:i w:val="false"/>
            <w:color w:val="000000"/>
            <w:sz w:val="22"/>
          </w:rPr>
          <w:t>421B</w:t>
        </w:r>
      </w:hyperlink>
      <w:r>
        <w:rPr>
          <w:rFonts w:ascii="Times New Roman" w:hAnsi="Times New Roman"/>
          <w:b w:val="false"/>
          <w:i w:val="false"/>
          <w:color w:val="000000"/>
          <w:sz w:val="22"/>
        </w:rPr>
        <w:t xml:space="preserve">, shall submit a petition for approval of a lower cost along with actual cost data to the department of revenue. The statutory presumptive cost must be used in determining minimum price until approval has been granted by the department. If the requester continues to sell cigarettes at less than the presumptive cost, the department may revoke the requester’s permit or seek an injunction pursuant to Iowa Code section </w:t>
      </w:r>
      <w:hyperlink r:id="rId9">
        <w:r>
          <w:rPr>
            <w:rStyle w:val="Hyperlink"/>
            <w:rFonts w:ascii="Times New Roman" w:hAnsi="Times New Roman"/>
            <w:b w:val="false"/>
            <w:i w:val="false"/>
            <w:color w:val="000000"/>
            <w:sz w:val="22"/>
          </w:rPr>
          <w:t>421B.10</w:t>
        </w:r>
      </w:hyperlink>
      <w:r>
        <w:rPr>
          <w:rFonts w:ascii="Times New Roman" w:hAnsi="Times New Roman"/>
          <w:b w:val="false"/>
          <w:i w:val="false"/>
          <w:color w:val="000000"/>
          <w:sz w:val="22"/>
        </w:rPr>
        <w:t xml:space="preserve"> to prevent such action.</w:t>
      </w:r>
    </w:p>
    <w:p>
      <w:pPr>
        <w:spacing w:before="0" w:after="0"/>
        <w:ind w:left="120"/>
        <w:jc w:val="both"/>
      </w:pPr>
      <w:r>
        <w:rPr>
          <w:rFonts w:ascii="Times New Roman" w:hAnsi="Times New Roman"/>
          <w:b w:val="false"/>
          <w:i w:val="false"/>
          <w:color w:val="000000"/>
          <w:sz w:val="22"/>
        </w:rPr>
        <w:t xml:space="preserve">Any requester making sales of cigarettes in or into Iowa for more than 12 months shall submit cost data for the 12-month period ending no more than 30 days prior to the submission of the petition. Any requester making sales of cigarettes in or into Iowa for less than 12 months shall submit cost data for the period beginning with the start of business and ending no more than 30 days prior to the submission of the petition. The department shall notify the wholesaler or retailer of the acceptance or rejection of the petition. If the requester disagrees with the department’s determination, the requester may file a protest within 60 days of the department’s decision in accordance with rule </w:t>
      </w:r>
      <w:hyperlink r:id="rId10">
        <w:r>
          <w:rPr>
            <w:rStyle w:val="Hyperlink"/>
            <w:rFonts w:ascii="Times New Roman" w:hAnsi="Times New Roman"/>
            <w:b w:val="false"/>
            <w:i w:val="false"/>
            <w:color w:val="000000"/>
            <w:sz w:val="22"/>
          </w:rPr>
          <w:t>701—7.9</w:t>
        </w:r>
      </w:hyperlink>
      <w:r>
        <w:rPr>
          <w:rFonts w:ascii="Times New Roman" w:hAnsi="Times New Roman"/>
          <w:b w:val="false"/>
          <w:i w:val="false"/>
          <w:color w:val="000000"/>
          <w:sz w:val="22"/>
        </w:rPr>
        <w:t>(17A).</w:t>
      </w:r>
    </w:p>
    <w:p>
      <w:pPr>
        <w:spacing w:before="0" w:after="0"/>
        <w:ind w:left="120"/>
        <w:jc w:val="both"/>
      </w:pPr>
      <w:r>
        <w:rPr>
          <w:rFonts w:ascii="Times New Roman" w:hAnsi="Times New Roman"/>
          <w:b w:val="false"/>
          <w:i w:val="false"/>
          <w:color w:val="000000"/>
          <w:sz w:val="22"/>
        </w:rPr>
        <w:t xml:space="preserve">Costs of doing business shall include, but are not limited to, freight charges, labor, and equipment costs to affix stamps, ink, glue, permit fees, management fees, labor costs (including salaries of officers), rents, depreciation, selling costs, maintenance expenses, interest expenses, delivery costs, taxes, insurance, advertising expenses, and any other operational and administrative costs. The requester shall set forth the basis for allocated costs. When the computed cost amounts to any fractional part of a cent, the cost must not be less than the next higher cent. However, sales made between wholesalers as provided for in Iowa Code section </w:t>
      </w:r>
      <w:hyperlink r:id="rId11">
        <w:r>
          <w:rPr>
            <w:rStyle w:val="Hyperlink"/>
            <w:rFonts w:ascii="Times New Roman" w:hAnsi="Times New Roman"/>
            <w:b w:val="false"/>
            <w:i w:val="false"/>
            <w:color w:val="000000"/>
            <w:sz w:val="22"/>
          </w:rPr>
          <w:t>421B.5</w:t>
        </w:r>
      </w:hyperlink>
      <w:r>
        <w:rPr>
          <w:rFonts w:ascii="Times New Roman" w:hAnsi="Times New Roman"/>
          <w:b w:val="false"/>
          <w:i w:val="false"/>
          <w:color w:val="000000"/>
          <w:sz w:val="22"/>
        </w:rPr>
        <w:t xml:space="preserve">, sales described in Iowa Code section </w:t>
      </w:r>
      <w:hyperlink r:id="rId12">
        <w:r>
          <w:rPr>
            <w:rStyle w:val="Hyperlink"/>
            <w:rFonts w:ascii="Times New Roman" w:hAnsi="Times New Roman"/>
            <w:b w:val="false"/>
            <w:i w:val="false"/>
            <w:color w:val="000000"/>
            <w:sz w:val="22"/>
          </w:rPr>
          <w:t>421B.6</w:t>
        </w:r>
      </w:hyperlink>
      <w:r>
        <w:rPr>
          <w:rFonts w:ascii="Times New Roman" w:hAnsi="Times New Roman"/>
          <w:b w:val="false"/>
          <w:i w:val="false"/>
          <w:color w:val="000000"/>
          <w:sz w:val="22"/>
        </w:rPr>
        <w:t xml:space="preserve">, and sales outside of the ordinary channels of trade as provided in Iowa Code section </w:t>
      </w:r>
      <w:hyperlink r:id="rId13">
        <w:r>
          <w:rPr>
            <w:rStyle w:val="Hyperlink"/>
            <w:rFonts w:ascii="Times New Roman" w:hAnsi="Times New Roman"/>
            <w:b w:val="false"/>
            <w:i w:val="false"/>
            <w:color w:val="000000"/>
            <w:sz w:val="22"/>
          </w:rPr>
          <w:t>421B.9</w:t>
        </w:r>
      </w:hyperlink>
      <w:r>
        <w:rPr>
          <w:rFonts w:ascii="Times New Roman" w:hAnsi="Times New Roman"/>
          <w:b w:val="false"/>
          <w:i w:val="false"/>
          <w:color w:val="000000"/>
          <w:sz w:val="22"/>
        </w:rPr>
        <w:t xml:space="preserve"> shall not be required to adhere to the minimum pricing requirements set forth in Iowa Code section </w:t>
      </w:r>
      <w:hyperlink r:id="rId14">
        <w:r>
          <w:rPr>
            <w:rStyle w:val="Hyperlink"/>
            <w:rFonts w:ascii="Times New Roman" w:hAnsi="Times New Roman"/>
            <w:b w:val="false"/>
            <w:i w:val="false"/>
            <w:color w:val="000000"/>
            <w:sz w:val="22"/>
          </w:rPr>
          <w:t>421B.3</w:t>
        </w:r>
      </w:hyperlink>
      <w:r>
        <w:rPr>
          <w:rFonts w:ascii="Times New Roman" w:hAnsi="Times New Roman"/>
          <w:b w:val="false"/>
          <w:i w:val="false"/>
          <w:color w:val="000000"/>
          <w:sz w:val="22"/>
        </w:rPr>
        <w:t xml:space="preserve"> and this rule. See rule </w:t>
      </w:r>
      <w:hyperlink r:id="rId15">
        <w:r>
          <w:rPr>
            <w:rStyle w:val="Hyperlink"/>
            <w:rFonts w:ascii="Times New Roman" w:hAnsi="Times New Roman"/>
            <w:b w:val="false"/>
            <w:i w:val="false"/>
            <w:color w:val="000000"/>
            <w:sz w:val="22"/>
          </w:rPr>
          <w:t>701—257.5</w:t>
        </w:r>
      </w:hyperlink>
      <w:r>
        <w:rPr>
          <w:rFonts w:ascii="Times New Roman" w:hAnsi="Times New Roman"/>
          <w:b w:val="false"/>
          <w:i w:val="false"/>
          <w:color w:val="000000"/>
          <w:sz w:val="22"/>
        </w:rPr>
        <w:t>(421B).</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257.2(1)</w:t>
      </w:r>
      <w:r>
        <w:rPr>
          <w:rFonts w:ascii="Times New Roman" w:hAnsi="Times New Roman"/>
          <w:b w:val="false"/>
          <w:i w:val="false"/>
          <w:color w:val="000000"/>
          <w:sz w:val="22"/>
        </w:rPr>
        <w:t> </w:t>
      </w:r>
      <w:r>
        <w:rPr>
          <w:rFonts w:ascii="Times New Roman" w:hAnsi="Times New Roman"/>
          <w:b w:val="false"/>
          <w:i/>
          <w:color w:val="000000"/>
          <w:sz w:val="22"/>
        </w:rPr>
        <w:t xml:space="preserve">Wholesaler’s cost of cigarettes. </w:t>
      </w:r>
      <w:r>
        <w:rPr>
          <w:rFonts w:ascii="Times New Roman" w:hAnsi="Times New Roman"/>
          <w:b w:val="false"/>
          <w:i w:val="false"/>
          <w:color w:val="000000"/>
          <w:sz w:val="22"/>
        </w:rPr>
        <w:t>The statutory method for determining the wholesaler’s cost of cigarettes is as follows: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color w:val="000000"/>
          <w:sz w:val="22"/>
        </w:rPr>
        <w:t xml:space="preserve">“Basic cost of cigarettes” </w:t>
      </w:r>
      <w:r>
        <w:rPr>
          <w:rFonts w:ascii="Times New Roman" w:hAnsi="Times New Roman"/>
          <w:b w:val="false"/>
          <w:i w:val="false"/>
          <w:color w:val="000000"/>
          <w:sz w:val="22"/>
        </w:rPr>
        <w:t>equals the lowest of true invoice cost, or lowest replacement cost, less trade or cash discounts plus one half of the state cigarette tax.</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color w:val="000000"/>
          <w:sz w:val="22"/>
        </w:rPr>
        <w:t xml:space="preserve">“Cost to wholesaler” </w:t>
      </w:r>
      <w:r>
        <w:rPr>
          <w:rFonts w:ascii="Times New Roman" w:hAnsi="Times New Roman"/>
          <w:b w:val="false"/>
          <w:i w:val="false"/>
          <w:color w:val="000000"/>
          <w:sz w:val="22"/>
        </w:rPr>
        <w:t>equals the basic cost of cigarettes plus 3 percent of the basic cost plus the one half of the state cigarette tax not already included.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257.2(2)</w:t>
      </w:r>
      <w:r>
        <w:rPr>
          <w:rFonts w:ascii="Times New Roman" w:hAnsi="Times New Roman"/>
          <w:b w:val="false"/>
          <w:i w:val="false"/>
          <w:color w:val="000000"/>
          <w:sz w:val="22"/>
        </w:rPr>
        <w:t> </w:t>
      </w:r>
      <w:r>
        <w:rPr>
          <w:rFonts w:ascii="Times New Roman" w:hAnsi="Times New Roman"/>
          <w:b w:val="false"/>
          <w:i/>
          <w:color w:val="000000"/>
          <w:sz w:val="22"/>
        </w:rPr>
        <w:t xml:space="preserve">Retailer’s cost of cigarettes. </w:t>
      </w:r>
      <w:r>
        <w:rPr>
          <w:rFonts w:ascii="Times New Roman" w:hAnsi="Times New Roman"/>
          <w:b w:val="false"/>
          <w:i w:val="false"/>
          <w:color w:val="000000"/>
          <w:sz w:val="22"/>
        </w:rPr>
        <w:t>The statutory method for determining the retailer’s cost of cigarettes is as follows: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“Basic cost of cigarettes” equals the lower of either true invoice cost exclusive of state cigarette tax or lowest replacement cost exclusive of state cigarette tax, minus trade or cash discounts plus one half of the state cigarette tax.</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“Cost to retailers” equals the basic cost plus 3 percent of the basic cost, to the extent the retailer is allowed discounts ordinarily allowed wholesalers, plus 6 percent of the basic cost, plus the one half of the state cigarette tax not already included.</w:t>
      </w:r>
    </w:p>
    <w:p>
      <w:pPr>
        <w:spacing w:before="0" w:after="0"/>
        <w:ind w:left="120"/>
        <w:jc w:val="both"/>
      </w:pPr>
      <w:r>
        <w:rPr>
          <w:rFonts w:ascii="Times New Roman" w:hAnsi="Times New Roman"/>
          <w:b w:val="false"/>
          <w:i w:val="false"/>
          <w:color w:val="000000"/>
          <w:sz w:val="22"/>
        </w:rPr>
        <w:t>For purposes of determining the basic cost of cigarettes for wholesalers or retailers, trade or cash discounts may be deducted, if available, even though not taken. The discount taken or available must be clearly specified on the invoice or it will not be allowed as a reduction in the basic cost of cigarettes. Any financial incentive given to a wholesaler or retailer by a manufacturer at a later date will not reduce the basic cost of cigarettes.</w:t>
      </w:r>
    </w:p>
    <w:p>
      <w:pPr>
        <w:spacing w:before="0" w:after="0"/>
        <w:ind w:left="120"/>
        <w:jc w:val="both"/>
      </w:pPr>
      <w:r>
        <w:rPr>
          <w:rFonts w:ascii="Times New Roman" w:hAnsi="Times New Roman"/>
          <w:b w:val="false"/>
          <w:i w:val="false"/>
          <w:color w:val="000000"/>
          <w:sz w:val="22"/>
        </w:rPr>
        <w:t>The following example will demonstrate the application of this rule.</w:t>
      </w:r>
    </w:p>
    <w:tbl>
      <w:tblPr>
        <w:tblW w:w="5000" w:type="pct"/>
        <w:tblCellSpacing w:w="0" w:type="auto"/>
        <w:tblBorders>
          <w:top w:val="none"/>
          <w:left w:val="none"/>
          <w:bottom w:val="none"/>
          <w:right w:val="none"/>
          <w:insideH w:val="none"/>
          <w:insideV w:val="none"/>
        </w:tblBorders>
        <w:tblLayout w:type="fixed"/>
      </w:tblPr>
      <w:tblGrid>
        <w:gridCol w:w="2222"/>
        <w:gridCol w:w="5588"/>
        <w:gridCol w:w="1549"/>
        <w:gridCol w:w="1831"/>
      </w:tblGrid>
      <w:tr>
        <w:trPr>
          <w:trHeight w:val="210" w:hRule="atLeast"/>
        </w:trPr>
        <w:tc>
          <w:tcPr>
            <w:tcW w:w="2222"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5588" w:type="dxa"/>
            <w:tcBorders/>
            <w:tcMar>
              <w:top w:w="30" w:type="dxa"/>
              <w:left w:w="30" w:type="dxa"/>
              <w:bottom w:w="15" w:type="dxa"/>
              <w:right w:w="30" w:type="dxa"/>
            </w:tcMar>
            <w:vAlign w:val="bottom"/>
          </w:tcPr>
          <w:p>
            <w:pPr>
              <w:spacing w:before="0" w:after="0"/>
              <w:ind w:left="0"/>
              <w:jc w:val="left"/>
            </w:pPr>
            <w:r>
              <w:rPr>
                <w:rFonts w:ascii="Times New Roman" w:hAnsi="Times New Roman"/>
                <w:b w:val="false"/>
                <w:i w:val="false"/>
                <w:color w:val="000000"/>
                <w:sz w:val="16"/>
              </w:rPr>
              <w:t>Manufacturer’s list price per 1000 cigarettes</w:t>
            </w:r>
          </w:p>
        </w:tc>
        <w:tc>
          <w:tcPr>
            <w:tcW w:w="1549" w:type="dxa"/>
            <w:tcBorders/>
            <w:tcMar>
              <w:top w:w="30" w:type="dxa"/>
              <w:left w:w="30" w:type="dxa"/>
              <w:bottom w:w="15" w:type="dxa"/>
              <w:right w:w="30" w:type="dxa"/>
            </w:tcMar>
            <w:vAlign w:val="bottom"/>
          </w:tcPr>
          <w:p>
            <w:pPr>
              <w:spacing w:before="0" w:after="0"/>
              <w:ind w:left="0"/>
              <w:jc w:val="right"/>
            </w:pPr>
            <w:r>
              <w:rPr>
                <w:rFonts w:ascii="Times New Roman" w:hAnsi="Times New Roman"/>
                <w:b w:val="false"/>
                <w:i w:val="false"/>
                <w:color w:val="000000"/>
                <w:sz w:val="16"/>
              </w:rPr>
              <w:t>$115.70</w:t>
            </w:r>
          </w:p>
        </w:tc>
        <w:tc>
          <w:tcPr>
            <w:tcW w:w="1831"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r>
      <w:tr>
        <w:trPr>
          <w:trHeight w:val="210" w:hRule="atLeast"/>
        </w:trPr>
        <w:tc>
          <w:tcPr>
            <w:tcW w:w="2222"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5588" w:type="dxa"/>
            <w:tcBorders/>
            <w:tcMar>
              <w:top w:w="30" w:type="dxa"/>
              <w:left w:w="30" w:type="dxa"/>
              <w:bottom w:w="15" w:type="dxa"/>
              <w:right w:w="30" w:type="dxa"/>
            </w:tcMar>
            <w:vAlign w:val="bottom"/>
          </w:tcPr>
          <w:p>
            <w:pPr>
              <w:spacing w:before="0" w:after="0"/>
              <w:ind w:left="0"/>
              <w:jc w:val="left"/>
            </w:pPr>
            <w:r>
              <w:rPr>
                <w:rFonts w:ascii="Times New Roman" w:hAnsi="Times New Roman"/>
                <w:b w:val="false"/>
                <w:i w:val="false"/>
                <w:color w:val="000000"/>
                <w:sz w:val="16"/>
              </w:rPr>
              <w:t>Invoice price to wholesaler</w:t>
            </w:r>
          </w:p>
        </w:tc>
        <w:tc>
          <w:tcPr>
            <w:tcW w:w="1549" w:type="dxa"/>
            <w:tcBorders/>
            <w:tcMar>
              <w:top w:w="30" w:type="dxa"/>
              <w:left w:w="30" w:type="dxa"/>
              <w:bottom w:w="15" w:type="dxa"/>
              <w:right w:w="30" w:type="dxa"/>
            </w:tcMar>
            <w:vAlign w:val="bottom"/>
          </w:tcPr>
          <w:p>
            <w:pPr>
              <w:spacing w:before="0" w:after="0"/>
              <w:ind w:left="0"/>
              <w:jc w:val="right"/>
            </w:pPr>
            <w:r>
              <w:rPr>
                <w:rFonts w:ascii="Times New Roman" w:hAnsi="Times New Roman"/>
                <w:b w:val="false"/>
                <w:i w:val="false"/>
                <w:color w:val="000000"/>
                <w:sz w:val="16"/>
              </w:rPr>
              <w:t>$115.70</w:t>
            </w:r>
          </w:p>
        </w:tc>
        <w:tc>
          <w:tcPr>
            <w:tcW w:w="1831"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r>
      <w:tr>
        <w:trPr>
          <w:trHeight w:val="210" w:hRule="atLeast"/>
        </w:trPr>
        <w:tc>
          <w:tcPr>
            <w:tcW w:w="2222"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5588" w:type="dxa"/>
            <w:tcBorders/>
            <w:tcMar>
              <w:top w:w="30" w:type="dxa"/>
              <w:left w:w="30" w:type="dxa"/>
              <w:bottom w:w="15" w:type="dxa"/>
              <w:right w:w="30" w:type="dxa"/>
            </w:tcMar>
            <w:vAlign w:val="bottom"/>
          </w:tcPr>
          <w:p>
            <w:pPr>
              <w:spacing w:before="0" w:after="0"/>
              <w:ind w:left="0"/>
              <w:jc w:val="left"/>
            </w:pPr>
            <w:r>
              <w:rPr>
                <w:rFonts w:ascii="Times New Roman" w:hAnsi="Times New Roman"/>
                <w:b w:val="false"/>
                <w:i w:val="false"/>
                <w:color w:val="000000"/>
                <w:sz w:val="16"/>
              </w:rPr>
              <w:t>Less 2% discount</w:t>
            </w:r>
          </w:p>
        </w:tc>
        <w:tc>
          <w:tcPr>
            <w:tcW w:w="1549" w:type="dxa"/>
            <w:tcBorders/>
            <w:tcMar>
              <w:top w:w="30" w:type="dxa"/>
              <w:left w:w="30" w:type="dxa"/>
              <w:bottom w:w="15" w:type="dxa"/>
              <w:right w:w="30" w:type="dxa"/>
            </w:tcMar>
            <w:vAlign w:val="bottom"/>
          </w:tcPr>
          <w:p>
            <w:pPr>
              <w:spacing w:before="0" w:after="0"/>
              <w:ind w:left="0"/>
              <w:jc w:val="right"/>
            </w:pPr>
            <w:r>
              <w:rPr>
                <w:rFonts w:ascii="Times New Roman" w:hAnsi="Times New Roman"/>
                <w:b w:val="false"/>
                <w:i w:val="false"/>
                <w:color w:val="000000"/>
                <w:sz w:val="16"/>
              </w:rPr>
              <w:t>2.31</w:t>
            </w:r>
          </w:p>
        </w:tc>
        <w:tc>
          <w:tcPr>
            <w:tcW w:w="1831"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r>
      <w:tr>
        <w:trPr>
          <w:trHeight w:val="210" w:hRule="atLeast"/>
        </w:trPr>
        <w:tc>
          <w:tcPr>
            <w:tcW w:w="2222"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5588" w:type="dxa"/>
            <w:tcBorders/>
            <w:tcMar>
              <w:top w:w="30" w:type="dxa"/>
              <w:left w:w="30" w:type="dxa"/>
              <w:bottom w:w="15" w:type="dxa"/>
              <w:right w:w="30" w:type="dxa"/>
            </w:tcMar>
            <w:vAlign w:val="bottom"/>
          </w:tcPr>
          <w:p>
            <w:pPr>
              <w:spacing w:before="0" w:after="0"/>
              <w:ind w:left="0"/>
              <w:jc w:val="left"/>
            </w:pPr>
            <w:r>
              <w:rPr>
                <w:rFonts w:ascii="Times New Roman" w:hAnsi="Times New Roman"/>
                <w:b w:val="false"/>
                <w:i w:val="false"/>
                <w:color w:val="000000"/>
                <w:sz w:val="16"/>
              </w:rPr>
              <w:t>Plus ½ of the tax</w:t>
            </w:r>
          </w:p>
        </w:tc>
        <w:tc>
          <w:tcPr>
            <w:tcW w:w="1549" w:type="dxa"/>
            <w:tcBorders/>
            <w:tcMar>
              <w:top w:w="30" w:type="dxa"/>
              <w:left w:w="30" w:type="dxa"/>
              <w:bottom w:w="15" w:type="dxa"/>
              <w:right w:w="30" w:type="dxa"/>
            </w:tcMar>
            <w:vAlign w:val="bottom"/>
          </w:tcPr>
          <w:p>
            <w:pPr>
              <w:spacing w:before="0" w:after="0"/>
              <w:ind w:left="0"/>
              <w:jc w:val="right"/>
            </w:pPr>
            <w:r>
              <w:rPr>
                <w:rFonts w:ascii="Times New Roman" w:hAnsi="Times New Roman"/>
                <w:b w:val="false"/>
                <w:i w:val="false"/>
                <w:color w:val="000000"/>
                <w:sz w:val="16"/>
                <w:u w:val="single"/>
              </w:rPr>
              <w:t>9.00</w:t>
            </w:r>
          </w:p>
        </w:tc>
        <w:tc>
          <w:tcPr>
            <w:tcW w:w="1831"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r>
      <w:tr>
        <w:trPr>
          <w:trHeight w:val="210" w:hRule="atLeast"/>
        </w:trPr>
        <w:tc>
          <w:tcPr>
            <w:tcW w:w="2222"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5588" w:type="dxa"/>
            <w:tcBorders/>
            <w:tcMar>
              <w:top w:w="30" w:type="dxa"/>
              <w:left w:w="30" w:type="dxa"/>
              <w:bottom w:w="15" w:type="dxa"/>
              <w:right w:w="30" w:type="dxa"/>
            </w:tcMar>
            <w:vAlign w:val="bottom"/>
          </w:tcPr>
          <w:p>
            <w:pPr>
              <w:spacing w:before="0" w:after="0"/>
              <w:ind w:left="0"/>
              <w:jc w:val="left"/>
            </w:pPr>
            <w:r>
              <w:rPr>
                <w:rFonts w:ascii="Times New Roman" w:hAnsi="Times New Roman"/>
                <w:b w:val="false"/>
                <w:i w:val="false"/>
                <w:color w:val="000000"/>
                <w:sz w:val="16"/>
              </w:rPr>
              <w:t>Basic cost of cigarettes</w:t>
            </w:r>
          </w:p>
        </w:tc>
        <w:tc>
          <w:tcPr>
            <w:tcW w:w="1549" w:type="dxa"/>
            <w:tcBorders/>
            <w:tcMar>
              <w:top w:w="30" w:type="dxa"/>
              <w:left w:w="30" w:type="dxa"/>
              <w:bottom w:w="15" w:type="dxa"/>
              <w:right w:w="30" w:type="dxa"/>
            </w:tcMar>
            <w:vAlign w:val="bottom"/>
          </w:tcPr>
          <w:p>
            <w:pPr>
              <w:spacing w:before="0" w:after="0"/>
              <w:ind w:left="0"/>
              <w:jc w:val="right"/>
            </w:pPr>
            <w:r>
              <w:rPr>
                <w:rFonts w:ascii="Times New Roman" w:hAnsi="Times New Roman"/>
                <w:b w:val="false"/>
                <w:i w:val="false"/>
                <w:color w:val="000000"/>
                <w:sz w:val="16"/>
              </w:rPr>
              <w:t>$122.39</w:t>
            </w:r>
          </w:p>
        </w:tc>
        <w:tc>
          <w:tcPr>
            <w:tcW w:w="1831"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r>
      <w:tr>
        <w:trPr>
          <w:trHeight w:val="210" w:hRule="atLeast"/>
        </w:trPr>
        <w:tc>
          <w:tcPr>
            <w:tcW w:w="2222"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5588" w:type="dxa"/>
            <w:tcBorders/>
            <w:tcMar>
              <w:top w:w="30" w:type="dxa"/>
              <w:left w:w="30" w:type="dxa"/>
              <w:bottom w:w="15" w:type="dxa"/>
              <w:right w:w="30" w:type="dxa"/>
            </w:tcMar>
            <w:vAlign w:val="bottom"/>
          </w:tcPr>
          <w:p>
            <w:pPr>
              <w:spacing w:before="0" w:after="0"/>
              <w:ind w:left="0"/>
              <w:jc w:val="left"/>
            </w:pPr>
            <w:r>
              <w:rPr>
                <w:rFonts w:ascii="Times New Roman" w:hAnsi="Times New Roman"/>
                <w:b w:val="false"/>
                <w:i w:val="false"/>
                <w:color w:val="000000"/>
                <w:sz w:val="16"/>
              </w:rPr>
              <w:t>Plus 3% of basic cost</w:t>
            </w:r>
          </w:p>
        </w:tc>
        <w:tc>
          <w:tcPr>
            <w:tcW w:w="1549" w:type="dxa"/>
            <w:tcBorders/>
            <w:tcMar>
              <w:top w:w="30" w:type="dxa"/>
              <w:left w:w="30" w:type="dxa"/>
              <w:bottom w:w="15" w:type="dxa"/>
              <w:right w:w="30" w:type="dxa"/>
            </w:tcMar>
            <w:vAlign w:val="bottom"/>
          </w:tcPr>
          <w:p>
            <w:pPr>
              <w:spacing w:before="0" w:after="0"/>
              <w:ind w:left="0"/>
              <w:jc w:val="right"/>
            </w:pPr>
            <w:r>
              <w:rPr>
                <w:rFonts w:ascii="Times New Roman" w:hAnsi="Times New Roman"/>
                <w:b w:val="false"/>
                <w:i w:val="false"/>
                <w:color w:val="000000"/>
                <w:sz w:val="16"/>
                <w:u w:val="single"/>
              </w:rPr>
              <w:t>3.67</w:t>
            </w:r>
          </w:p>
        </w:tc>
        <w:tc>
          <w:tcPr>
            <w:tcW w:w="1831"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r>
      <w:tr>
        <w:trPr>
          <w:trHeight w:val="210" w:hRule="atLeast"/>
        </w:trPr>
        <w:tc>
          <w:tcPr>
            <w:tcW w:w="2222"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5588" w:type="dxa"/>
            <w:tcBorders/>
            <w:tcMar>
              <w:top w:w="30" w:type="dxa"/>
              <w:left w:w="30" w:type="dxa"/>
              <w:bottom w:w="15" w:type="dxa"/>
              <w:right w:w="30" w:type="dxa"/>
            </w:tcMar>
            <w:vAlign w:val="bottom"/>
          </w:tcPr>
          <w:p>
            <w:pPr>
              <w:spacing w:before="0" w:after="0"/>
              <w:ind w:left="0"/>
              <w:jc w:val="left"/>
            </w:pPr>
            <w:r>
              <w:rPr>
                <w:rFonts w:ascii="Times New Roman" w:hAnsi="Times New Roman"/>
                <w:b w:val="false"/>
                <w:i w:val="false"/>
                <w:color w:val="000000"/>
                <w:sz w:val="16"/>
              </w:rPr>
              <w:t>Retailer’s basic cost</w:t>
            </w:r>
          </w:p>
        </w:tc>
        <w:tc>
          <w:tcPr>
            <w:tcW w:w="1549" w:type="dxa"/>
            <w:tcBorders/>
            <w:tcMar>
              <w:top w:w="30" w:type="dxa"/>
              <w:left w:w="30" w:type="dxa"/>
              <w:bottom w:w="15" w:type="dxa"/>
              <w:right w:w="30" w:type="dxa"/>
            </w:tcMar>
            <w:vAlign w:val="bottom"/>
          </w:tcPr>
          <w:p>
            <w:pPr>
              <w:spacing w:before="0" w:after="0"/>
              <w:ind w:left="0"/>
              <w:jc w:val="right"/>
            </w:pPr>
            <w:r>
              <w:rPr>
                <w:rFonts w:ascii="Times New Roman" w:hAnsi="Times New Roman"/>
                <w:b w:val="false"/>
                <w:i w:val="false"/>
                <w:color w:val="000000"/>
                <w:sz w:val="16"/>
              </w:rPr>
              <w:t>$126.06</w:t>
            </w:r>
          </w:p>
        </w:tc>
        <w:tc>
          <w:tcPr>
            <w:tcW w:w="1831"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r>
      <w:tr>
        <w:trPr>
          <w:trHeight w:val="210" w:hRule="atLeast"/>
        </w:trPr>
        <w:tc>
          <w:tcPr>
            <w:tcW w:w="2222"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5588" w:type="dxa"/>
            <w:tcBorders/>
            <w:tcMar>
              <w:top w:w="30" w:type="dxa"/>
              <w:left w:w="30" w:type="dxa"/>
              <w:bottom w:w="15" w:type="dxa"/>
              <w:right w:w="30" w:type="dxa"/>
            </w:tcMar>
            <w:vAlign w:val="bottom"/>
          </w:tcPr>
          <w:p>
            <w:pPr>
              <w:spacing w:before="0" w:after="0"/>
              <w:ind w:left="0"/>
              <w:jc w:val="left"/>
            </w:pPr>
            <w:r>
              <w:rPr>
                <w:rFonts w:ascii="Times New Roman" w:hAnsi="Times New Roman"/>
                <w:b w:val="false"/>
                <w:i w:val="false"/>
                <w:color w:val="000000"/>
                <w:sz w:val="16"/>
              </w:rPr>
              <w:t>Plus ½ of the tax</w:t>
            </w:r>
          </w:p>
        </w:tc>
        <w:tc>
          <w:tcPr>
            <w:tcW w:w="1549" w:type="dxa"/>
            <w:tcBorders/>
            <w:tcMar>
              <w:top w:w="30" w:type="dxa"/>
              <w:left w:w="30" w:type="dxa"/>
              <w:bottom w:w="15" w:type="dxa"/>
              <w:right w:w="30" w:type="dxa"/>
            </w:tcMar>
            <w:vAlign w:val="bottom"/>
          </w:tcPr>
          <w:p>
            <w:pPr>
              <w:spacing w:before="0" w:after="0"/>
              <w:ind w:left="0"/>
              <w:jc w:val="right"/>
            </w:pPr>
            <w:r>
              <w:rPr>
                <w:rFonts w:ascii="Times New Roman" w:hAnsi="Times New Roman"/>
                <w:b w:val="false"/>
                <w:i w:val="false"/>
                <w:color w:val="000000"/>
                <w:sz w:val="16"/>
                <w:u w:val="single"/>
              </w:rPr>
              <w:t>9.00</w:t>
            </w:r>
          </w:p>
        </w:tc>
        <w:tc>
          <w:tcPr>
            <w:tcW w:w="1831"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r>
      <w:tr>
        <w:trPr>
          <w:trHeight w:val="210" w:hRule="atLeast"/>
        </w:trPr>
        <w:tc>
          <w:tcPr>
            <w:tcW w:w="2222"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5588" w:type="dxa"/>
            <w:tcBorders/>
            <w:tcMar>
              <w:top w:w="30" w:type="dxa"/>
              <w:left w:w="30" w:type="dxa"/>
              <w:bottom w:w="15" w:type="dxa"/>
              <w:right w:w="30" w:type="dxa"/>
            </w:tcMar>
            <w:vAlign w:val="bottom"/>
          </w:tcPr>
          <w:p>
            <w:pPr>
              <w:spacing w:before="0" w:after="0"/>
              <w:ind w:left="0"/>
              <w:jc w:val="left"/>
            </w:pPr>
            <w:r>
              <w:rPr>
                <w:rFonts w:ascii="Times New Roman" w:hAnsi="Times New Roman"/>
                <w:b w:val="false"/>
                <w:i w:val="false"/>
                <w:color w:val="000000"/>
                <w:sz w:val="16"/>
              </w:rPr>
              <w:t>Minimum cost to wholesaler per 1000 cigarettes</w:t>
            </w:r>
          </w:p>
        </w:tc>
        <w:tc>
          <w:tcPr>
            <w:tcW w:w="1549" w:type="dxa"/>
            <w:tcBorders/>
            <w:tcMar>
              <w:top w:w="30" w:type="dxa"/>
              <w:left w:w="30" w:type="dxa"/>
              <w:bottom w:w="15" w:type="dxa"/>
              <w:right w:w="30" w:type="dxa"/>
            </w:tcMar>
            <w:vAlign w:val="bottom"/>
          </w:tcPr>
          <w:p>
            <w:pPr>
              <w:spacing w:before="0" w:after="0"/>
              <w:ind w:left="0"/>
              <w:jc w:val="right"/>
            </w:pPr>
            <w:r>
              <w:rPr>
                <w:rFonts w:ascii="Times New Roman" w:hAnsi="Times New Roman"/>
                <w:b w:val="false"/>
                <w:i w:val="false"/>
                <w:color w:val="000000"/>
                <w:sz w:val="16"/>
              </w:rPr>
              <w:t>$135.06</w:t>
            </w:r>
          </w:p>
        </w:tc>
        <w:tc>
          <w:tcPr>
            <w:tcW w:w="1831"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r>
      <w:tr>
        <w:trPr>
          <w:trHeight w:val="210" w:hRule="atLeast"/>
        </w:trPr>
        <w:tc>
          <w:tcPr>
            <w:tcW w:w="2222"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5588" w:type="dxa"/>
            <w:tcBorders/>
            <w:tcMar>
              <w:top w:w="30" w:type="dxa"/>
              <w:left w:w="30" w:type="dxa"/>
              <w:bottom w:w="15" w:type="dxa"/>
              <w:right w:w="30" w:type="dxa"/>
            </w:tcMar>
            <w:vAlign w:val="bottom"/>
          </w:tcPr>
          <w:p>
            <w:pPr>
              <w:spacing w:before="0" w:after="0"/>
              <w:ind w:left="304"/>
              <w:jc w:val="left"/>
            </w:pPr>
            <w:r>
              <w:rPr>
                <w:rFonts w:ascii="Times New Roman" w:hAnsi="Times New Roman"/>
                <w:b w:val="false"/>
                <w:i w:val="false"/>
                <w:color w:val="000000"/>
                <w:sz w:val="16"/>
              </w:rPr>
              <w:t>Per carton</w:t>
            </w:r>
          </w:p>
        </w:tc>
        <w:tc>
          <w:tcPr>
            <w:tcW w:w="1549" w:type="dxa"/>
            <w:tcBorders/>
            <w:tcMar>
              <w:top w:w="30" w:type="dxa"/>
              <w:left w:w="30" w:type="dxa"/>
              <w:bottom w:w="15" w:type="dxa"/>
              <w:right w:w="30" w:type="dxa"/>
            </w:tcMar>
            <w:vAlign w:val="bottom"/>
          </w:tcPr>
          <w:p>
            <w:pPr>
              <w:spacing w:before="0" w:after="0"/>
              <w:ind w:left="0"/>
              <w:jc w:val="right"/>
            </w:pPr>
            <w:r>
              <w:rPr>
                <w:rFonts w:ascii="Times New Roman" w:hAnsi="Times New Roman"/>
                <w:b w:val="false"/>
                <w:i w:val="false"/>
                <w:color w:val="000000"/>
                <w:sz w:val="16"/>
              </w:rPr>
              <w:t>$27.01</w:t>
            </w:r>
          </w:p>
        </w:tc>
        <w:tc>
          <w:tcPr>
            <w:tcW w:w="1831"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r>
      <w:tr>
        <w:trPr>
          <w:trHeight w:val="210" w:hRule="atLeast"/>
        </w:trPr>
        <w:tc>
          <w:tcPr>
            <w:tcW w:w="2222"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5588" w:type="dxa"/>
            <w:tcBorders/>
            <w:tcMar>
              <w:top w:w="30" w:type="dxa"/>
              <w:left w:w="30" w:type="dxa"/>
              <w:bottom w:w="15" w:type="dxa"/>
              <w:right w:w="30" w:type="dxa"/>
            </w:tcMar>
            <w:vAlign w:val="bottom"/>
          </w:tcPr>
          <w:p>
            <w:pPr>
              <w:spacing w:before="0" w:after="0"/>
              <w:ind w:left="0"/>
              <w:jc w:val="left"/>
            </w:pPr>
            <w:r>
              <w:rPr>
                <w:rFonts w:ascii="Times New Roman" w:hAnsi="Times New Roman"/>
                <w:b w:val="false"/>
                <w:i w:val="false"/>
                <w:color w:val="000000"/>
                <w:sz w:val="16"/>
              </w:rPr>
              <w:t>Less ½ state tax</w:t>
            </w:r>
          </w:p>
        </w:tc>
        <w:tc>
          <w:tcPr>
            <w:tcW w:w="1549" w:type="dxa"/>
            <w:tcBorders/>
            <w:tcMar>
              <w:top w:w="30" w:type="dxa"/>
              <w:left w:w="30" w:type="dxa"/>
              <w:bottom w:w="15" w:type="dxa"/>
              <w:right w:w="30" w:type="dxa"/>
            </w:tcMar>
            <w:vAlign w:val="bottom"/>
          </w:tcPr>
          <w:p>
            <w:pPr>
              <w:spacing w:before="0" w:after="0"/>
              <w:ind w:left="0"/>
              <w:jc w:val="right"/>
            </w:pPr>
            <w:r>
              <w:rPr>
                <w:rFonts w:ascii="Times New Roman" w:hAnsi="Times New Roman"/>
                <w:b w:val="false"/>
                <w:i w:val="false"/>
                <w:color w:val="000000"/>
                <w:sz w:val="16"/>
                <w:u w:val="single"/>
              </w:rPr>
              <w:t>1.80</w:t>
            </w:r>
          </w:p>
        </w:tc>
        <w:tc>
          <w:tcPr>
            <w:tcW w:w="1831"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r>
      <w:tr>
        <w:trPr>
          <w:trHeight w:val="210" w:hRule="atLeast"/>
        </w:trPr>
        <w:tc>
          <w:tcPr>
            <w:tcW w:w="2222"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5588" w:type="dxa"/>
            <w:tcBorders/>
            <w:tcMar>
              <w:top w:w="30" w:type="dxa"/>
              <w:left w:w="30" w:type="dxa"/>
              <w:bottom w:w="15" w:type="dxa"/>
              <w:right w:w="30" w:type="dxa"/>
            </w:tcMar>
            <w:vAlign w:val="bottom"/>
          </w:tcPr>
          <w:p>
            <w:pPr>
              <w:spacing w:before="0" w:after="0"/>
              <w:ind w:left="0"/>
              <w:jc w:val="left"/>
            </w:pPr>
            <w:r>
              <w:rPr>
                <w:rFonts w:ascii="Times New Roman" w:hAnsi="Times New Roman"/>
                <w:b w:val="false"/>
                <w:i w:val="false"/>
                <w:color w:val="000000"/>
                <w:sz w:val="16"/>
              </w:rPr>
              <w:t>Retailer’s basic cost</w:t>
            </w:r>
          </w:p>
        </w:tc>
        <w:tc>
          <w:tcPr>
            <w:tcW w:w="1549" w:type="dxa"/>
            <w:tcBorders/>
            <w:tcMar>
              <w:top w:w="30" w:type="dxa"/>
              <w:left w:w="30" w:type="dxa"/>
              <w:bottom w:w="15" w:type="dxa"/>
              <w:right w:w="30" w:type="dxa"/>
            </w:tcMar>
            <w:vAlign w:val="bottom"/>
          </w:tcPr>
          <w:p>
            <w:pPr>
              <w:spacing w:before="0" w:after="0"/>
              <w:ind w:left="0"/>
              <w:jc w:val="right"/>
            </w:pPr>
            <w:r>
              <w:rPr>
                <w:rFonts w:ascii="Times New Roman" w:hAnsi="Times New Roman"/>
                <w:b w:val="false"/>
                <w:i w:val="false"/>
                <w:color w:val="000000"/>
                <w:sz w:val="16"/>
              </w:rPr>
              <w:t>$25.21</w:t>
            </w:r>
          </w:p>
        </w:tc>
        <w:tc>
          <w:tcPr>
            <w:tcW w:w="1831"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r>
      <w:tr>
        <w:trPr>
          <w:trHeight w:val="210" w:hRule="atLeast"/>
        </w:trPr>
        <w:tc>
          <w:tcPr>
            <w:tcW w:w="2222"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5588" w:type="dxa"/>
            <w:tcBorders/>
            <w:tcMar>
              <w:top w:w="30" w:type="dxa"/>
              <w:left w:w="30" w:type="dxa"/>
              <w:bottom w:w="15" w:type="dxa"/>
              <w:right w:w="30" w:type="dxa"/>
            </w:tcMar>
            <w:vAlign w:val="bottom"/>
          </w:tcPr>
          <w:p>
            <w:pPr>
              <w:spacing w:before="0" w:after="0"/>
              <w:ind w:left="0"/>
              <w:jc w:val="left"/>
            </w:pPr>
            <w:r>
              <w:rPr>
                <w:rFonts w:ascii="Times New Roman" w:hAnsi="Times New Roman"/>
                <w:b w:val="false"/>
                <w:i w:val="false"/>
                <w:color w:val="000000"/>
                <w:sz w:val="16"/>
              </w:rPr>
              <w:t>Plus 6% of basic cost</w:t>
            </w:r>
          </w:p>
        </w:tc>
        <w:tc>
          <w:tcPr>
            <w:tcW w:w="1549" w:type="dxa"/>
            <w:tcBorders/>
            <w:tcMar>
              <w:top w:w="30" w:type="dxa"/>
              <w:left w:w="30" w:type="dxa"/>
              <w:bottom w:w="15" w:type="dxa"/>
              <w:right w:w="30" w:type="dxa"/>
            </w:tcMar>
            <w:vAlign w:val="bottom"/>
          </w:tcPr>
          <w:p>
            <w:pPr>
              <w:spacing w:before="0" w:after="0"/>
              <w:ind w:left="0"/>
              <w:jc w:val="right"/>
            </w:pPr>
            <w:r>
              <w:rPr>
                <w:rFonts w:ascii="Times New Roman" w:hAnsi="Times New Roman"/>
                <w:b w:val="false"/>
                <w:i w:val="false"/>
                <w:color w:val="000000"/>
                <w:sz w:val="16"/>
              </w:rPr>
              <w:t>1.51</w:t>
            </w:r>
          </w:p>
        </w:tc>
        <w:tc>
          <w:tcPr>
            <w:tcW w:w="1831"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r>
      <w:tr>
        <w:trPr>
          <w:trHeight w:val="210" w:hRule="atLeast"/>
        </w:trPr>
        <w:tc>
          <w:tcPr>
            <w:tcW w:w="2222"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5588" w:type="dxa"/>
            <w:tcBorders/>
            <w:tcMar>
              <w:top w:w="30" w:type="dxa"/>
              <w:left w:w="30" w:type="dxa"/>
              <w:bottom w:w="15" w:type="dxa"/>
              <w:right w:w="30" w:type="dxa"/>
            </w:tcMar>
            <w:vAlign w:val="bottom"/>
          </w:tcPr>
          <w:p>
            <w:pPr>
              <w:spacing w:before="0" w:after="0"/>
              <w:ind w:left="0"/>
              <w:jc w:val="left"/>
            </w:pPr>
            <w:r>
              <w:rPr>
                <w:rFonts w:ascii="Times New Roman" w:hAnsi="Times New Roman"/>
                <w:b w:val="false"/>
                <w:i w:val="false"/>
                <w:color w:val="000000"/>
                <w:sz w:val="16"/>
              </w:rPr>
              <w:t>Plus ½ of state tax</w:t>
            </w:r>
          </w:p>
        </w:tc>
        <w:tc>
          <w:tcPr>
            <w:tcW w:w="1549" w:type="dxa"/>
            <w:tcBorders/>
            <w:tcMar>
              <w:top w:w="30" w:type="dxa"/>
              <w:left w:w="30" w:type="dxa"/>
              <w:bottom w:w="15" w:type="dxa"/>
              <w:right w:w="30" w:type="dxa"/>
            </w:tcMar>
            <w:vAlign w:val="bottom"/>
          </w:tcPr>
          <w:p>
            <w:pPr>
              <w:spacing w:before="0" w:after="0"/>
              <w:ind w:left="0"/>
              <w:jc w:val="right"/>
            </w:pPr>
            <w:r>
              <w:rPr>
                <w:rFonts w:ascii="Times New Roman" w:hAnsi="Times New Roman"/>
                <w:b w:val="false"/>
                <w:i w:val="false"/>
                <w:color w:val="000000"/>
                <w:sz w:val="16"/>
                <w:u w:val="single"/>
              </w:rPr>
              <w:t>1.80</w:t>
            </w:r>
          </w:p>
        </w:tc>
        <w:tc>
          <w:tcPr>
            <w:tcW w:w="1831"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r>
      <w:tr>
        <w:trPr>
          <w:trHeight w:val="210" w:hRule="atLeast"/>
        </w:trPr>
        <w:tc>
          <w:tcPr>
            <w:tcW w:w="2222"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5588" w:type="dxa"/>
            <w:tcBorders/>
            <w:tcMar>
              <w:top w:w="30" w:type="dxa"/>
              <w:left w:w="30" w:type="dxa"/>
              <w:bottom w:w="15" w:type="dxa"/>
              <w:right w:w="30" w:type="dxa"/>
            </w:tcMar>
            <w:vAlign w:val="bottom"/>
          </w:tcPr>
          <w:p>
            <w:pPr>
              <w:spacing w:before="0" w:after="0"/>
              <w:ind w:left="0"/>
              <w:jc w:val="left"/>
            </w:pPr>
            <w:r>
              <w:rPr>
                <w:rFonts w:ascii="Times New Roman" w:hAnsi="Times New Roman"/>
                <w:b w:val="false"/>
                <w:i w:val="false"/>
                <w:color w:val="000000"/>
                <w:sz w:val="16"/>
              </w:rPr>
              <w:t>Minimum cost to retailer</w:t>
            </w:r>
          </w:p>
        </w:tc>
        <w:tc>
          <w:tcPr>
            <w:tcW w:w="1549" w:type="dxa"/>
            <w:tcBorders/>
            <w:tcMar>
              <w:top w:w="30" w:type="dxa"/>
              <w:left w:w="30" w:type="dxa"/>
              <w:bottom w:w="15" w:type="dxa"/>
              <w:right w:w="30" w:type="dxa"/>
            </w:tcMar>
            <w:vAlign w:val="bottom"/>
          </w:tcPr>
          <w:p>
            <w:pPr>
              <w:spacing w:before="0" w:after="0"/>
              <w:ind w:left="0"/>
              <w:jc w:val="right"/>
            </w:pPr>
            <w:r>
              <w:rPr>
                <w:rFonts w:ascii="Times New Roman" w:hAnsi="Times New Roman"/>
                <w:b w:val="false"/>
                <w:i w:val="false"/>
                <w:color w:val="000000"/>
                <w:sz w:val="16"/>
              </w:rPr>
              <w:t>$28.52</w:t>
            </w:r>
          </w:p>
        </w:tc>
        <w:tc>
          <w:tcPr>
            <w:tcW w:w="1831"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r>
      <w:tr>
        <w:trPr>
          <w:trHeight w:val="210" w:hRule="atLeast"/>
        </w:trPr>
        <w:tc>
          <w:tcPr>
            <w:tcW w:w="2222"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5588" w:type="dxa"/>
            <w:tcBorders/>
            <w:tcMar>
              <w:top w:w="30" w:type="dxa"/>
              <w:left w:w="30" w:type="dxa"/>
              <w:bottom w:w="15" w:type="dxa"/>
              <w:right w:w="30" w:type="dxa"/>
            </w:tcMar>
            <w:vAlign w:val="bottom"/>
          </w:tcPr>
          <w:p>
            <w:pPr>
              <w:spacing w:before="0" w:after="0"/>
              <w:ind w:left="304"/>
              <w:jc w:val="left"/>
            </w:pPr>
            <w:r>
              <w:rPr>
                <w:rFonts w:ascii="Times New Roman" w:hAnsi="Times New Roman"/>
                <w:b w:val="false"/>
                <w:i w:val="false"/>
                <w:color w:val="000000"/>
                <w:sz w:val="16"/>
              </w:rPr>
              <w:t>Per pack</w:t>
            </w:r>
          </w:p>
        </w:tc>
        <w:tc>
          <w:tcPr>
            <w:tcW w:w="1549" w:type="dxa"/>
            <w:tcBorders/>
            <w:tcMar>
              <w:top w:w="30" w:type="dxa"/>
              <w:left w:w="30" w:type="dxa"/>
              <w:bottom w:w="15" w:type="dxa"/>
              <w:right w:w="30" w:type="dxa"/>
            </w:tcMar>
            <w:vAlign w:val="bottom"/>
          </w:tcPr>
          <w:p>
            <w:pPr>
              <w:spacing w:before="0" w:after="0"/>
              <w:ind w:left="0"/>
              <w:jc w:val="right"/>
            </w:pPr>
            <w:r>
              <w:rPr>
                <w:rFonts w:ascii="Times New Roman" w:hAnsi="Times New Roman"/>
                <w:b w:val="false"/>
                <w:i w:val="false"/>
                <w:color w:val="000000"/>
                <w:sz w:val="16"/>
              </w:rPr>
              <w:t>2.86/pack</w:t>
            </w:r>
          </w:p>
        </w:tc>
        <w:tc>
          <w:tcPr>
            <w:tcW w:w="1831"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r>
    </w:tbl>
    <w:p>
      <w:pPr>
        <w:spacing w:before="0" w:after="0"/>
        <w:ind w:left="120"/>
        <w:jc w:val="both"/>
      </w:pPr>
      <w:r>
        <w:rPr>
          <w:rFonts w:ascii="Times New Roman" w:hAnsi="Times New Roman"/>
          <w:b w:val="false"/>
          <w:i w:val="false"/>
          <w:color w:val="000000"/>
          <w:sz w:val="22"/>
        </w:rPr>
        <w:t xml:space="preserve">This rule is intended to implement Iowa Code sections </w:t>
      </w:r>
      <w:hyperlink r:id="rId16">
        <w:r>
          <w:rPr>
            <w:rStyle w:val="Hyperlink"/>
            <w:rFonts w:ascii="Times New Roman" w:hAnsi="Times New Roman"/>
            <w:b w:val="false"/>
            <w:i w:val="false"/>
            <w:color w:val="000000"/>
            <w:sz w:val="22"/>
          </w:rPr>
          <w:t>421B.2</w:t>
        </w:r>
      </w:hyperlink>
      <w:r>
        <w:rPr>
          <w:rFonts w:ascii="Times New Roman" w:hAnsi="Times New Roman"/>
          <w:b w:val="false"/>
          <w:i w:val="false"/>
          <w:color w:val="000000"/>
          <w:sz w:val="22"/>
        </w:rPr>
        <w:t xml:space="preserve">, </w:t>
      </w:r>
      <w:hyperlink r:id="rId17">
        <w:r>
          <w:rPr>
            <w:rStyle w:val="Hyperlink"/>
            <w:rFonts w:ascii="Times New Roman" w:hAnsi="Times New Roman"/>
            <w:b w:val="false"/>
            <w:i w:val="false"/>
            <w:color w:val="000000"/>
            <w:sz w:val="22"/>
          </w:rPr>
          <w:t>421B.3</w:t>
        </w:r>
      </w:hyperlink>
      <w:r>
        <w:rPr>
          <w:rFonts w:ascii="Times New Roman" w:hAnsi="Times New Roman"/>
          <w:b w:val="false"/>
          <w:i w:val="false"/>
          <w:color w:val="000000"/>
          <w:sz w:val="22"/>
        </w:rPr>
        <w:t xml:space="preserve">, </w:t>
      </w:r>
      <w:hyperlink r:id="rId18">
        <w:r>
          <w:rPr>
            <w:rStyle w:val="Hyperlink"/>
            <w:rFonts w:ascii="Times New Roman" w:hAnsi="Times New Roman"/>
            <w:b w:val="false"/>
            <w:i w:val="false"/>
            <w:color w:val="000000"/>
            <w:sz w:val="22"/>
          </w:rPr>
          <w:t>421B.5</w:t>
        </w:r>
      </w:hyperlink>
      <w:r>
        <w:rPr>
          <w:rFonts w:ascii="Times New Roman" w:hAnsi="Times New Roman"/>
          <w:b w:val="false"/>
          <w:i w:val="false"/>
          <w:color w:val="000000"/>
          <w:sz w:val="22"/>
        </w:rPr>
        <w:t xml:space="preserve">, </w:t>
      </w:r>
      <w:hyperlink r:id="rId19">
        <w:r>
          <w:rPr>
            <w:rStyle w:val="Hyperlink"/>
            <w:rFonts w:ascii="Times New Roman" w:hAnsi="Times New Roman"/>
            <w:b w:val="false"/>
            <w:i w:val="false"/>
            <w:color w:val="000000"/>
            <w:sz w:val="22"/>
          </w:rPr>
          <w:t>421B.6</w:t>
        </w:r>
      </w:hyperlink>
      <w:r>
        <w:rPr>
          <w:rFonts w:ascii="Times New Roman" w:hAnsi="Times New Roman"/>
          <w:b w:val="false"/>
          <w:i w:val="false"/>
          <w:color w:val="000000"/>
          <w:sz w:val="22"/>
        </w:rPr>
        <w:t xml:space="preserve"> and </w:t>
      </w:r>
      <w:hyperlink r:id="rId20">
        <w:r>
          <w:rPr>
            <w:rStyle w:val="Hyperlink"/>
            <w:rFonts w:ascii="Times New Roman" w:hAnsi="Times New Roman"/>
            <w:b w:val="false"/>
            <w:i w:val="false"/>
            <w:color w:val="000000"/>
            <w:sz w:val="22"/>
          </w:rPr>
          <w:t>421B.9</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0251C</w:t>
      </w:r>
      <w:r>
        <w:rPr>
          <w:rFonts w:ascii="Times New Roman" w:hAnsi="Times New Roman"/>
          <w:b w:val="false"/>
          <w:i w:val="false"/>
          <w:color w:val="000000"/>
          <w:sz w:val="16"/>
        </w:rPr>
        <w:t>, IAB 8/8/12, effective 9/12/12</w:t>
      </w:r>
      <w:r>
        <w:rPr>
          <w:rFonts w:ascii="Times New Roman" w:hAnsi="Times New Roman"/>
          <w:b w:val="false"/>
          <w:i w:val="false"/>
          <w:color w:val="000000"/>
          <w:sz w:val="16"/>
        </w:rPr>
        <w:t xml:space="preserve">; </w:t>
      </w:r>
      <w:r>
        <w:rPr>
          <w:rFonts w:ascii="Times New Roman" w:hAnsi="Times New Roman"/>
          <w:b/>
          <w:i w:val="false"/>
          <w:color w:val="000000"/>
          <w:sz w:val="16"/>
        </w:rPr>
        <w:t>ARC 6508C</w:t>
      </w:r>
      <w:r>
        <w:rPr>
          <w:rFonts w:ascii="Times New Roman" w:hAnsi="Times New Roman"/>
          <w:b w:val="false"/>
          <w:i w:val="false"/>
          <w:color w:val="000000"/>
          <w:sz w:val="16"/>
        </w:rPr>
        <w:t>, IAB 9/7/22, effective 10/12/22</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10/18/23</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701—257.3</w:t>
      </w:r>
      <w:r>
        <w:rPr>
          <w:rFonts w:ascii="Times New Roman" w:hAnsi="Times New Roman"/>
          <w:b/>
          <w:i w:val="false"/>
          <w:color w:val="000000"/>
          <w:sz w:val="22"/>
        </w:rPr>
        <w:t xml:space="preserve">(421B) </w:t>
      </w:r>
      <w:r>
        <w:rPr>
          <w:rFonts w:ascii="Times New Roman" w:hAnsi="Times New Roman"/>
          <w:b/>
          <w:i w:val="false"/>
          <w:color w:val="000000"/>
          <w:sz w:val="22"/>
        </w:rPr>
        <w:t xml:space="preserve">Combination sales. </w:t>
      </w:r>
      <w:r>
        <w:rPr>
          <w:rFonts w:ascii="Times New Roman" w:hAnsi="Times New Roman"/>
          <w:b w:val="false"/>
          <w:i w:val="false"/>
          <w:color w:val="000000"/>
          <w:sz w:val="22"/>
        </w:rPr>
        <w:t xml:space="preserve">Whenever cigarettes and another item are offered for sale at a total combined price, the sales price shall not be lower than the “cost to the wholesaler or retailer” of all articles sold. The “cost to the wholesaler or retailer” of all of the articles sold on a combined basis shall be determined under Iowa Code section </w:t>
      </w:r>
      <w:hyperlink r:id="rId21">
        <w:r>
          <w:rPr>
            <w:rStyle w:val="Hyperlink"/>
            <w:rFonts w:ascii="Times New Roman" w:hAnsi="Times New Roman"/>
            <w:b w:val="false"/>
            <w:i w:val="false"/>
            <w:color w:val="000000"/>
            <w:sz w:val="22"/>
          </w:rPr>
          <w:t>421B.2, subsections (1), (3), and (4)</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If a promotional gift is given to the wholesaler or retailer by a cigarette manufacturer at no cost, which gift is to be given to consumers at no cost upon the sale of cigarettes, the minimum sales price will not be affected. The invoice cost of the promotional gift is zero, and therefore, the “cost to the wholesaler” or “cost to the retailer” of the promotional gift is zero. If, however, the wholesaler or retailer were to purchase items to be given away with the purchase of cigarettes by consumers, the minimum sales price would increase. The “cost to the wholesaler” or the “cost to the retailer” of the promotional item would be based upon the lower of invoice cost or replacement cost. (See 1958 O.A.G. 22.)</w:t>
      </w:r>
    </w:p>
    <w:p>
      <w:pPr>
        <w:spacing w:before="0" w:after="0"/>
        <w:ind w:left="120"/>
        <w:jc w:val="both"/>
      </w:pPr>
      <w:r>
        <w:rPr>
          <w:rFonts w:ascii="Times New Roman" w:hAnsi="Times New Roman"/>
          <w:b w:val="false"/>
          <w:i w:val="false"/>
          <w:color w:val="000000"/>
          <w:sz w:val="22"/>
        </w:rPr>
        <w:t xml:space="preserve">This rule is intended to implement Iowa Code section </w:t>
      </w:r>
      <w:hyperlink r:id="rId22">
        <w:r>
          <w:rPr>
            <w:rStyle w:val="Hyperlink"/>
            <w:rFonts w:ascii="Times New Roman" w:hAnsi="Times New Roman"/>
            <w:b w:val="false"/>
            <w:i w:val="false"/>
            <w:color w:val="000000"/>
            <w:sz w:val="22"/>
          </w:rPr>
          <w:t>421B.4</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6508C</w:t>
      </w:r>
      <w:r>
        <w:rPr>
          <w:rFonts w:ascii="Times New Roman" w:hAnsi="Times New Roman"/>
          <w:b w:val="false"/>
          <w:i w:val="false"/>
          <w:color w:val="000000"/>
          <w:sz w:val="16"/>
        </w:rPr>
        <w:t>, IAB 9/7/22, effective 10/12/22</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701—257.4</w:t>
      </w:r>
      <w:r>
        <w:rPr>
          <w:rFonts w:ascii="Times New Roman" w:hAnsi="Times New Roman"/>
          <w:b/>
          <w:i w:val="false"/>
          <w:color w:val="000000"/>
          <w:sz w:val="22"/>
        </w:rPr>
        <w:t xml:space="preserve">(421B) </w:t>
      </w:r>
      <w:r>
        <w:rPr>
          <w:rFonts w:ascii="Times New Roman" w:hAnsi="Times New Roman"/>
          <w:b/>
          <w:i w:val="false"/>
          <w:color w:val="000000"/>
          <w:sz w:val="22"/>
        </w:rPr>
        <w:t xml:space="preserve">Retail redemption of coupons. </w:t>
      </w:r>
      <w:r>
        <w:rPr>
          <w:rFonts w:ascii="Times New Roman" w:hAnsi="Times New Roman"/>
          <w:b w:val="false"/>
          <w:i w:val="false"/>
          <w:color w:val="000000"/>
          <w:sz w:val="22"/>
        </w:rPr>
        <w:t>The redemption of coupons by retailers, which coupons were supplied to consumers by manufacturers and will be redeemed from the retailers by the manufacturers, does not affect the minimum sales price of cigarettes. The retailer is still receiving the statutory minimum price even though that price is paid by two different persons, the consumer and the manufacturer. (See 1986 O.A.G. 68.) Manufacturer incentives to the consumer in lieu of a coupon which reduce the cost of the cigarettes to the consumer do not affect the minimum sales price of cigarettes when the manufacturer absorbs the loss for the incentive.</w:t>
      </w:r>
    </w:p>
    <w:p>
      <w:pPr>
        <w:spacing w:before="0" w:after="0"/>
        <w:ind w:left="120"/>
        <w:jc w:val="both"/>
      </w:pPr>
      <w:r>
        <w:rPr>
          <w:rFonts w:ascii="Times New Roman" w:hAnsi="Times New Roman"/>
          <w:b w:val="false"/>
          <w:i w:val="false"/>
          <w:color w:val="000000"/>
          <w:sz w:val="22"/>
        </w:rPr>
        <w:t xml:space="preserve">This rule is intended to implement Iowa Code section </w:t>
      </w:r>
      <w:hyperlink r:id="rId23">
        <w:r>
          <w:rPr>
            <w:rStyle w:val="Hyperlink"/>
            <w:rFonts w:ascii="Times New Roman" w:hAnsi="Times New Roman"/>
            <w:b w:val="false"/>
            <w:i w:val="false"/>
            <w:color w:val="000000"/>
            <w:sz w:val="22"/>
          </w:rPr>
          <w:t>421B.3</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6508C</w:t>
      </w:r>
      <w:r>
        <w:rPr>
          <w:rFonts w:ascii="Times New Roman" w:hAnsi="Times New Roman"/>
          <w:b w:val="false"/>
          <w:i w:val="false"/>
          <w:color w:val="000000"/>
          <w:sz w:val="16"/>
        </w:rPr>
        <w:t>, IAB 9/7/22, effective 10/12/22</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701—257.5</w:t>
      </w:r>
      <w:r>
        <w:rPr>
          <w:rFonts w:ascii="Times New Roman" w:hAnsi="Times New Roman"/>
          <w:b/>
          <w:i w:val="false"/>
          <w:color w:val="000000"/>
          <w:sz w:val="22"/>
        </w:rPr>
        <w:t xml:space="preserve">(421B) </w:t>
      </w:r>
      <w:r>
        <w:rPr>
          <w:rFonts w:ascii="Times New Roman" w:hAnsi="Times New Roman"/>
          <w:b/>
          <w:i w:val="false"/>
          <w:color w:val="000000"/>
          <w:sz w:val="22"/>
        </w:rPr>
        <w:t xml:space="preserve">Exempt sales.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257.5(1)</w:t>
      </w:r>
      <w:r>
        <w:rPr>
          <w:rFonts w:ascii="Times New Roman" w:hAnsi="Times New Roman"/>
          <w:b w:val="false"/>
          <w:i w:val="false"/>
          <w:color w:val="000000"/>
          <w:sz w:val="22"/>
        </w:rPr>
        <w:t> </w:t>
      </w:r>
      <w:r>
        <w:rPr>
          <w:rFonts w:ascii="Times New Roman" w:hAnsi="Times New Roman"/>
          <w:b w:val="false"/>
          <w:i/>
          <w:color w:val="000000"/>
          <w:sz w:val="22"/>
        </w:rPr>
        <w:t xml:space="preserve">Sales between wholesalers. </w:t>
      </w:r>
      <w:r>
        <w:rPr>
          <w:rFonts w:ascii="Times New Roman" w:hAnsi="Times New Roman"/>
          <w:b w:val="false"/>
          <w:i w:val="false"/>
          <w:color w:val="000000"/>
          <w:sz w:val="22"/>
        </w:rPr>
        <w:t xml:space="preserve">The sale price of cigarettes from one wholesaler to another wholesaler is not required to have included therein the “cost to the wholesaler” as defined in Iowa Code section </w:t>
      </w:r>
      <w:hyperlink r:id="rId24">
        <w:r>
          <w:rPr>
            <w:rStyle w:val="Hyperlink"/>
            <w:rFonts w:ascii="Times New Roman" w:hAnsi="Times New Roman"/>
            <w:b w:val="false"/>
            <w:i w:val="false"/>
            <w:color w:val="000000"/>
            <w:sz w:val="22"/>
          </w:rPr>
          <w:t>421B.2(4)</w:t>
        </w:r>
      </w:hyperlink>
      <w:r>
        <w:rPr>
          <w:rFonts w:ascii="Times New Roman" w:hAnsi="Times New Roman"/>
          <w:b w:val="false"/>
          <w:i w:val="false"/>
          <w:color w:val="000000"/>
          <w:sz w:val="22"/>
        </w:rPr>
        <w:t xml:space="preserve">. All of the provisions of Iowa Code section </w:t>
      </w:r>
      <w:hyperlink r:id="rId25">
        <w:r>
          <w:rPr>
            <w:rStyle w:val="Hyperlink"/>
            <w:rFonts w:ascii="Times New Roman" w:hAnsi="Times New Roman"/>
            <w:b w:val="false"/>
            <w:i w:val="false"/>
            <w:color w:val="000000"/>
            <w:sz w:val="22"/>
          </w:rPr>
          <w:t>421B.3</w:t>
        </w:r>
      </w:hyperlink>
      <w:r>
        <w:rPr>
          <w:rFonts w:ascii="Times New Roman" w:hAnsi="Times New Roman"/>
          <w:b w:val="false"/>
          <w:i w:val="false"/>
          <w:color w:val="000000"/>
          <w:sz w:val="22"/>
        </w:rPr>
        <w:t xml:space="preserve"> shall apply to the subsequent sale by the purchasing wholesaler to any other person except another wholesaler.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257.5(2)</w:t>
      </w:r>
      <w:r>
        <w:rPr>
          <w:rFonts w:ascii="Times New Roman" w:hAnsi="Times New Roman"/>
          <w:b w:val="false"/>
          <w:i w:val="false"/>
          <w:color w:val="000000"/>
          <w:sz w:val="22"/>
        </w:rPr>
        <w:t> </w:t>
      </w:r>
      <w:r>
        <w:rPr>
          <w:rFonts w:ascii="Times New Roman" w:hAnsi="Times New Roman"/>
          <w:b w:val="false"/>
          <w:i/>
          <w:color w:val="000000"/>
          <w:sz w:val="22"/>
        </w:rPr>
        <w:t xml:space="preserve">Exempt sales. </w:t>
      </w:r>
      <w:r>
        <w:rPr>
          <w:rFonts w:ascii="Times New Roman" w:hAnsi="Times New Roman"/>
          <w:b w:val="false"/>
          <w:i w:val="false"/>
          <w:color w:val="000000"/>
          <w:sz w:val="22"/>
        </w:rPr>
        <w:t xml:space="preserve">The provisions of Iowa Code chapter </w:t>
      </w:r>
      <w:hyperlink r:id="rId26">
        <w:r>
          <w:rPr>
            <w:rStyle w:val="Hyperlink"/>
            <w:rFonts w:ascii="Times New Roman" w:hAnsi="Times New Roman"/>
            <w:b w:val="false"/>
            <w:i w:val="false"/>
            <w:color w:val="000000"/>
            <w:sz w:val="22"/>
          </w:rPr>
          <w:t>421B</w:t>
        </w:r>
      </w:hyperlink>
      <w:r>
        <w:rPr>
          <w:rFonts w:ascii="Times New Roman" w:hAnsi="Times New Roman"/>
          <w:b w:val="false"/>
          <w:i w:val="false"/>
          <w:color w:val="000000"/>
          <w:sz w:val="22"/>
        </w:rPr>
        <w:t xml:space="preserve"> do not apply to the following sales transactions: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An isolated sale, 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A bona fide clearance sale for the purpose of discontinuing trade in cigarettes as long as the sale states the reason for the sale and the quantity of cigarettes to be sold, 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The sale of damaged or imperfect cigarettes as long as the sale states the reason for the sale and the quantity of cigarettes to be sold.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257.5(3)</w:t>
      </w:r>
      <w:r>
        <w:rPr>
          <w:rFonts w:ascii="Times New Roman" w:hAnsi="Times New Roman"/>
          <w:b w:val="false"/>
          <w:i w:val="false"/>
          <w:color w:val="000000"/>
          <w:sz w:val="22"/>
        </w:rPr>
        <w:t> </w:t>
      </w:r>
      <w:r>
        <w:rPr>
          <w:rFonts w:ascii="Times New Roman" w:hAnsi="Times New Roman"/>
          <w:b w:val="false"/>
          <w:i/>
          <w:color w:val="000000"/>
          <w:sz w:val="22"/>
        </w:rPr>
        <w:t xml:space="preserve">Sales to meet lawful competition. </w:t>
      </w:r>
      <w:r>
        <w:rPr>
          <w:rFonts w:ascii="Times New Roman" w:hAnsi="Times New Roman"/>
          <w:b w:val="false"/>
          <w:i w:val="false"/>
          <w:color w:val="000000"/>
          <w:sz w:val="22"/>
        </w:rPr>
        <w:t xml:space="preserve">A wholesaler or retailer may sell cigarettes below cost in good faith in order to meet the price of a competitor who is selling the same article at the cost to the competitor as defined in chapter </w:t>
      </w:r>
      <w:hyperlink r:id="rId27">
        <w:r>
          <w:rPr>
            <w:rStyle w:val="Hyperlink"/>
            <w:rFonts w:ascii="Times New Roman" w:hAnsi="Times New Roman"/>
            <w:b w:val="false"/>
            <w:i w:val="false"/>
            <w:color w:val="000000"/>
            <w:sz w:val="22"/>
          </w:rPr>
          <w:t>421B</w:t>
        </w:r>
      </w:hyperlink>
      <w:r>
        <w:rPr>
          <w:rFonts w:ascii="Times New Roman" w:hAnsi="Times New Roman"/>
          <w:b w:val="false"/>
          <w:i w:val="false"/>
          <w:color w:val="000000"/>
          <w:sz w:val="22"/>
        </w:rPr>
        <w:t xml:space="preserve">. Sales made under the exemptions contained in Iowa Code section </w:t>
      </w:r>
      <w:hyperlink r:id="rId28">
        <w:r>
          <w:rPr>
            <w:rStyle w:val="Hyperlink"/>
            <w:rFonts w:ascii="Times New Roman" w:hAnsi="Times New Roman"/>
            <w:b w:val="false"/>
            <w:i w:val="false"/>
            <w:color w:val="000000"/>
            <w:sz w:val="22"/>
          </w:rPr>
          <w:t>421B.6</w:t>
        </w:r>
      </w:hyperlink>
      <w:r>
        <w:rPr>
          <w:rFonts w:ascii="Times New Roman" w:hAnsi="Times New Roman"/>
          <w:b w:val="false"/>
          <w:i w:val="false"/>
          <w:color w:val="000000"/>
          <w:sz w:val="22"/>
        </w:rPr>
        <w:t xml:space="preserve"> and subrules </w:t>
      </w:r>
      <w:hyperlink r:id="rId29">
        <w:r>
          <w:rPr>
            <w:rStyle w:val="Hyperlink"/>
            <w:rFonts w:ascii="Times New Roman" w:hAnsi="Times New Roman"/>
            <w:b w:val="false"/>
            <w:i w:val="false"/>
            <w:color w:val="000000"/>
            <w:sz w:val="22"/>
          </w:rPr>
          <w:t>257.5(1)</w:t>
        </w:r>
      </w:hyperlink>
      <w:r>
        <w:rPr>
          <w:rFonts w:ascii="Times New Roman" w:hAnsi="Times New Roman"/>
          <w:b w:val="false"/>
          <w:i w:val="false"/>
          <w:color w:val="000000"/>
          <w:sz w:val="22"/>
        </w:rPr>
        <w:t xml:space="preserve"> and </w:t>
      </w:r>
      <w:hyperlink r:id="rId30">
        <w:r>
          <w:rPr>
            <w:rStyle w:val="Hyperlink"/>
            <w:rFonts w:ascii="Times New Roman" w:hAnsi="Times New Roman"/>
            <w:b w:val="false"/>
            <w:i w:val="false"/>
            <w:color w:val="000000"/>
            <w:sz w:val="22"/>
          </w:rPr>
          <w:t>257.5(2)</w:t>
        </w:r>
      </w:hyperlink>
      <w:r>
        <w:rPr>
          <w:rFonts w:ascii="Times New Roman" w:hAnsi="Times New Roman"/>
          <w:b w:val="false"/>
          <w:i w:val="false"/>
          <w:color w:val="000000"/>
          <w:sz w:val="22"/>
        </w:rPr>
        <w:t xml:space="preserve"> and sales of a bankrupt or forced sale shall not be considered in determining the cost to a competitor.</w:t>
      </w:r>
    </w:p>
    <w:p>
      <w:pPr>
        <w:spacing w:before="0" w:after="0"/>
        <w:ind w:left="120"/>
        <w:jc w:val="both"/>
      </w:pPr>
      <w:r>
        <w:rPr>
          <w:rFonts w:ascii="Times New Roman" w:hAnsi="Times New Roman"/>
          <w:b w:val="false"/>
          <w:i w:val="false"/>
          <w:color w:val="000000"/>
          <w:sz w:val="22"/>
        </w:rPr>
        <w:t xml:space="preserve">This rule is intended to implement Iowa Code sections </w:t>
      </w:r>
      <w:hyperlink r:id="rId31">
        <w:r>
          <w:rPr>
            <w:rStyle w:val="Hyperlink"/>
            <w:rFonts w:ascii="Times New Roman" w:hAnsi="Times New Roman"/>
            <w:b w:val="false"/>
            <w:i w:val="false"/>
            <w:color w:val="000000"/>
            <w:sz w:val="22"/>
          </w:rPr>
          <w:t>421B.5 to 421B.7</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6508C</w:t>
      </w:r>
      <w:r>
        <w:rPr>
          <w:rFonts w:ascii="Times New Roman" w:hAnsi="Times New Roman"/>
          <w:b w:val="false"/>
          <w:i w:val="false"/>
          <w:color w:val="000000"/>
          <w:sz w:val="16"/>
        </w:rPr>
        <w:t>, IAB 9/7/22, effective 10/12/22</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10/18/23</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701—257.6</w:t>
      </w:r>
      <w:r>
        <w:rPr>
          <w:rFonts w:ascii="Times New Roman" w:hAnsi="Times New Roman"/>
          <w:b/>
          <w:i w:val="false"/>
          <w:color w:val="000000"/>
          <w:sz w:val="22"/>
        </w:rPr>
        <w:t xml:space="preserve">(421B) </w:t>
      </w:r>
      <w:r>
        <w:rPr>
          <w:rFonts w:ascii="Times New Roman" w:hAnsi="Times New Roman"/>
          <w:b/>
          <w:i w:val="false"/>
          <w:color w:val="000000"/>
          <w:sz w:val="22"/>
        </w:rPr>
        <w:t xml:space="preserve">Notification of manufacturer’s price increase. </w:t>
      </w:r>
      <w:r>
        <w:rPr>
          <w:rFonts w:ascii="Times New Roman" w:hAnsi="Times New Roman"/>
          <w:b w:val="false"/>
          <w:i w:val="false"/>
          <w:color w:val="000000"/>
          <w:sz w:val="22"/>
        </w:rPr>
        <w:t>For purposes of determining the minimum cost of cigarettes to wholesalers or retailers, all manufacturers dealing with Iowa permittees shall notify the department in writing or by telegram within five working days of the effective date of any change in the manufacturer’s list price for cigarettes.</w:t>
      </w:r>
    </w:p>
    <w:p>
      <w:pPr>
        <w:spacing w:before="0" w:after="0"/>
        <w:ind w:left="120"/>
        <w:jc w:val="both"/>
      </w:pPr>
      <w:r>
        <w:rPr>
          <w:rFonts w:ascii="Times New Roman" w:hAnsi="Times New Roman"/>
          <w:b w:val="false"/>
          <w:i w:val="false"/>
          <w:color w:val="000000"/>
          <w:sz w:val="22"/>
        </w:rPr>
        <w:t xml:space="preserve">This rule is intended to implement Iowa Code sections </w:t>
      </w:r>
      <w:hyperlink r:id="rId32">
        <w:r>
          <w:rPr>
            <w:rStyle w:val="Hyperlink"/>
            <w:rFonts w:ascii="Times New Roman" w:hAnsi="Times New Roman"/>
            <w:b w:val="false"/>
            <w:i w:val="false"/>
            <w:color w:val="000000"/>
            <w:sz w:val="22"/>
          </w:rPr>
          <w:t>421B.8</w:t>
        </w:r>
      </w:hyperlink>
      <w:r>
        <w:rPr>
          <w:rFonts w:ascii="Times New Roman" w:hAnsi="Times New Roman"/>
          <w:b w:val="false"/>
          <w:i w:val="false"/>
          <w:color w:val="000000"/>
          <w:sz w:val="22"/>
        </w:rPr>
        <w:t xml:space="preserve"> and </w:t>
      </w:r>
      <w:hyperlink r:id="rId33">
        <w:r>
          <w:rPr>
            <w:rStyle w:val="Hyperlink"/>
            <w:rFonts w:ascii="Times New Roman" w:hAnsi="Times New Roman"/>
            <w:b w:val="false"/>
            <w:i w:val="false"/>
            <w:color w:val="000000"/>
            <w:sz w:val="22"/>
          </w:rPr>
          <w:t>421B.11</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6508C</w:t>
      </w:r>
      <w:r>
        <w:rPr>
          <w:rFonts w:ascii="Times New Roman" w:hAnsi="Times New Roman"/>
          <w:b w:val="false"/>
          <w:i w:val="false"/>
          <w:color w:val="000000"/>
          <w:sz w:val="16"/>
        </w:rPr>
        <w:t>, IAB 9/7/22, effective 10/12/22</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701—257.7</w:t>
      </w:r>
      <w:r>
        <w:rPr>
          <w:rFonts w:ascii="Times New Roman" w:hAnsi="Times New Roman"/>
          <w:b/>
          <w:i w:val="false"/>
          <w:color w:val="000000"/>
          <w:sz w:val="22"/>
        </w:rPr>
        <w:t xml:space="preserve">(421B) </w:t>
      </w:r>
      <w:r>
        <w:rPr>
          <w:rFonts w:ascii="Times New Roman" w:hAnsi="Times New Roman"/>
          <w:b/>
          <w:i w:val="false"/>
          <w:color w:val="000000"/>
          <w:sz w:val="22"/>
        </w:rPr>
        <w:t xml:space="preserve">Permit revocation. </w:t>
      </w:r>
      <w:r>
        <w:rPr>
          <w:rFonts w:ascii="Times New Roman" w:hAnsi="Times New Roman"/>
          <w:b w:val="false"/>
          <w:i w:val="false"/>
          <w:color w:val="000000"/>
          <w:sz w:val="22"/>
        </w:rPr>
        <w:t xml:space="preserve">The department may revoke any permit issued under division I of Iowa Code chapter </w:t>
      </w:r>
      <w:hyperlink r:id="rId34">
        <w:r>
          <w:rPr>
            <w:rStyle w:val="Hyperlink"/>
            <w:rFonts w:ascii="Times New Roman" w:hAnsi="Times New Roman"/>
            <w:b w:val="false"/>
            <w:i w:val="false"/>
            <w:color w:val="000000"/>
            <w:sz w:val="22"/>
          </w:rPr>
          <w:t>453A</w:t>
        </w:r>
      </w:hyperlink>
      <w:r>
        <w:rPr>
          <w:rFonts w:ascii="Times New Roman" w:hAnsi="Times New Roman"/>
          <w:b w:val="false"/>
          <w:i w:val="false"/>
          <w:color w:val="000000"/>
          <w:sz w:val="22"/>
        </w:rPr>
        <w:t xml:space="preserve"> for any violation of Iowa Code chapter </w:t>
      </w:r>
      <w:hyperlink r:id="rId35">
        <w:r>
          <w:rPr>
            <w:rStyle w:val="Hyperlink"/>
            <w:rFonts w:ascii="Times New Roman" w:hAnsi="Times New Roman"/>
            <w:b w:val="false"/>
            <w:i w:val="false"/>
            <w:color w:val="000000"/>
            <w:sz w:val="22"/>
          </w:rPr>
          <w:t>421B</w:t>
        </w:r>
      </w:hyperlink>
      <w:r>
        <w:rPr>
          <w:rFonts w:ascii="Times New Roman" w:hAnsi="Times New Roman"/>
          <w:b w:val="false"/>
          <w:i w:val="false"/>
          <w:color w:val="000000"/>
          <w:sz w:val="22"/>
        </w:rPr>
        <w:t xml:space="preserve">. The authority to revoke a retail cigarette permit for a violation of Iowa Code chapter </w:t>
      </w:r>
      <w:hyperlink r:id="rId36">
        <w:r>
          <w:rPr>
            <w:rStyle w:val="Hyperlink"/>
            <w:rFonts w:ascii="Times New Roman" w:hAnsi="Times New Roman"/>
            <w:b w:val="false"/>
            <w:i w:val="false"/>
            <w:color w:val="000000"/>
            <w:sz w:val="22"/>
          </w:rPr>
          <w:t>421B</w:t>
        </w:r>
      </w:hyperlink>
      <w:r>
        <w:rPr>
          <w:rFonts w:ascii="Times New Roman" w:hAnsi="Times New Roman"/>
          <w:b w:val="false"/>
          <w:i w:val="false"/>
          <w:color w:val="000000"/>
          <w:sz w:val="22"/>
        </w:rPr>
        <w:t xml:space="preserve"> rests in the department even though the permit was issued by a city or county. The revocation shall be effectuated under the provisions of rule </w:t>
      </w:r>
      <w:hyperlink r:id="rId37">
        <w:r>
          <w:rPr>
            <w:rStyle w:val="Hyperlink"/>
            <w:rFonts w:ascii="Times New Roman" w:hAnsi="Times New Roman"/>
            <w:b w:val="false"/>
            <w:i w:val="false"/>
            <w:color w:val="000000"/>
            <w:sz w:val="22"/>
          </w:rPr>
          <w:t>701—254.12</w:t>
        </w:r>
      </w:hyperlink>
      <w:r>
        <w:rPr>
          <w:rFonts w:ascii="Times New Roman" w:hAnsi="Times New Roman"/>
          <w:b w:val="false"/>
          <w:i w:val="false"/>
          <w:color w:val="000000"/>
          <w:sz w:val="22"/>
        </w:rPr>
        <w:t>(453A).</w:t>
      </w:r>
    </w:p>
    <w:p>
      <w:pPr>
        <w:spacing w:before="0" w:after="0"/>
        <w:ind w:left="120"/>
        <w:jc w:val="both"/>
      </w:pPr>
      <w:r>
        <w:rPr>
          <w:rFonts w:ascii="Times New Roman" w:hAnsi="Times New Roman"/>
          <w:b w:val="false"/>
          <w:i w:val="false"/>
          <w:color w:val="000000"/>
          <w:sz w:val="22"/>
        </w:rPr>
        <w:t>Once the permit is revoked, the permittee cannot obtain another cigarette permit, nor may a permit be issued for the location covered by the revoked permit regardless of the identity of the applicant, for a period of at least six months.</w:t>
      </w:r>
    </w:p>
    <w:p>
      <w:pPr>
        <w:spacing w:before="0" w:after="0"/>
        <w:ind w:left="120"/>
        <w:jc w:val="both"/>
      </w:pPr>
      <w:r>
        <w:rPr>
          <w:rFonts w:ascii="Times New Roman" w:hAnsi="Times New Roman"/>
          <w:b w:val="false"/>
          <w:i w:val="false"/>
          <w:color w:val="000000"/>
          <w:sz w:val="22"/>
        </w:rPr>
        <w:t xml:space="preserve">This rule is intended to implement Iowa Code section </w:t>
      </w:r>
      <w:hyperlink r:id="rId38">
        <w:r>
          <w:rPr>
            <w:rStyle w:val="Hyperlink"/>
            <w:rFonts w:ascii="Times New Roman" w:hAnsi="Times New Roman"/>
            <w:b w:val="false"/>
            <w:i w:val="false"/>
            <w:color w:val="000000"/>
            <w:sz w:val="22"/>
          </w:rPr>
          <w:t>421B.11</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6508C</w:t>
      </w:r>
      <w:r>
        <w:rPr>
          <w:rFonts w:ascii="Times New Roman" w:hAnsi="Times New Roman"/>
          <w:b w:val="false"/>
          <w:i w:val="false"/>
          <w:color w:val="000000"/>
          <w:sz w:val="16"/>
        </w:rPr>
        <w:t>, IAB 9/7/22, effective 10/12/22</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10/18/23</w:t>
      </w:r>
      <w:r>
        <w:rPr>
          <w:rFonts w:ascii="Times New Roman" w:hAnsi="Times New Roman"/>
          <w:b w:val="false"/>
          <w:i w:val="false"/>
          <w:color w:val="000000"/>
          <w:sz w:val="16"/>
        </w:rPr>
        <w:t>]</w:t>
      </w:r>
    </w:p>
    <w:p>
      <w:pPr>
        <w:spacing w:before="0" w:after="0"/>
        <w:ind w:left="120"/>
        <w:jc w:val="center"/>
      </w:pPr>
      <w:r>
        <w:rPr>
          <w:rFonts w:ascii="Times New Roman" w:hAnsi="Times New Roman"/>
          <w:b w:val="false"/>
          <w:i w:val="false"/>
          <w:color w:val="000000"/>
          <w:sz w:val="21"/>
        </w:rPr>
        <w:t>[Filed 3/14/80, Notice 2/6/80—published 4/2/80, effective 5/7/80]</w:t>
      </w:r>
    </w:p>
    <w:p>
      <w:pPr>
        <w:spacing w:before="0" w:after="0"/>
        <w:ind w:left="120"/>
        <w:jc w:val="center"/>
      </w:pPr>
      <w:r>
        <w:rPr>
          <w:rFonts w:ascii="Times New Roman" w:hAnsi="Times New Roman"/>
          <w:b w:val="false"/>
          <w:i w:val="false"/>
          <w:color w:val="000000"/>
          <w:sz w:val="21"/>
        </w:rPr>
        <w:t>[Filed without Notice 6/5/81—published 6/24/81, effective 7/29/81]</w:t>
      </w:r>
    </w:p>
    <w:p>
      <w:pPr>
        <w:spacing w:before="0" w:after="0"/>
        <w:ind w:left="120"/>
        <w:jc w:val="center"/>
      </w:pPr>
      <w:r>
        <w:rPr>
          <w:rFonts w:ascii="Times New Roman" w:hAnsi="Times New Roman"/>
          <w:b w:val="false"/>
          <w:i w:val="false"/>
          <w:color w:val="000000"/>
          <w:sz w:val="21"/>
        </w:rPr>
        <w:t>[Filed 9/9/83, Notice 8/3/83—published 9/28/83, effective 11/2/83]</w:t>
      </w:r>
    </w:p>
    <w:p>
      <w:pPr>
        <w:spacing w:before="0" w:after="0"/>
        <w:ind w:left="120"/>
        <w:jc w:val="center"/>
      </w:pPr>
      <w:r>
        <w:rPr>
          <w:rFonts w:ascii="Times New Roman" w:hAnsi="Times New Roman"/>
          <w:b w:val="false"/>
          <w:i w:val="false"/>
          <w:color w:val="000000"/>
          <w:sz w:val="21"/>
        </w:rPr>
        <w:t>[Filed emergency 11/14/86—published 12/17/86, effective 11/14/86]</w:t>
      </w:r>
    </w:p>
    <w:p>
      <w:pPr>
        <w:spacing w:before="0" w:after="0"/>
        <w:ind w:left="120"/>
        <w:jc w:val="center"/>
      </w:pPr>
      <w:r>
        <w:rPr>
          <w:rFonts w:ascii="Times New Roman" w:hAnsi="Times New Roman"/>
          <w:b w:val="false"/>
          <w:i w:val="false"/>
          <w:color w:val="000000"/>
          <w:sz w:val="21"/>
        </w:rPr>
        <w:t>[Filed 10/27/00, Notice 5/17/00—published 11/15/00, effective 12/20/00]</w:t>
      </w:r>
    </w:p>
    <w:p>
      <w:pPr>
        <w:spacing w:before="0" w:after="0"/>
        <w:ind w:left="120"/>
        <w:jc w:val="center"/>
      </w:pPr>
      <w:r>
        <w:rPr>
          <w:rFonts w:ascii="Times New Roman" w:hAnsi="Times New Roman"/>
          <w:b w:val="false"/>
          <w:i w:val="false"/>
          <w:color w:val="000000"/>
          <w:sz w:val="21"/>
        </w:rPr>
        <w:t>[Filed 5/11/01, Notice 2/21/01—published 5/30/01, effective 7/4/01]</w:t>
      </w:r>
    </w:p>
    <w:p>
      <w:pPr>
        <w:spacing w:before="0" w:after="0"/>
        <w:ind w:left="120"/>
        <w:jc w:val="center"/>
      </w:pPr>
      <w:r>
        <w:rPr>
          <w:rFonts w:ascii="Times New Roman" w:hAnsi="Times New Roman"/>
          <w:b w:val="false"/>
          <w:i w:val="false"/>
          <w:color w:val="000000"/>
          <w:sz w:val="21"/>
        </w:rPr>
        <w:t>[Filed 12/19/01, Notice 11/14/01—published 1/9/02, effective 2/13/02]</w:t>
      </w:r>
    </w:p>
    <w:p>
      <w:pPr>
        <w:spacing w:before="0" w:after="0"/>
        <w:ind w:left="120"/>
        <w:jc w:val="center"/>
      </w:pPr>
      <w:r>
        <w:rPr>
          <w:rFonts w:ascii="Times New Roman" w:hAnsi="Times New Roman"/>
          <w:b w:val="false"/>
          <w:i w:val="false"/>
          <w:color w:val="000000"/>
          <w:sz w:val="21"/>
        </w:rPr>
        <w:t>[Filed 11/16/05, Notice 10/12/05—published 12/7/05, effective 1/11/06]</w:t>
      </w:r>
    </w:p>
    <w:p>
      <w:pPr>
        <w:spacing w:before="0" w:after="0"/>
        <w:ind w:left="120"/>
        <w:jc w:val="center"/>
      </w:pPr>
      <w:r>
        <w:rPr>
          <w:rFonts w:ascii="Times New Roman" w:hAnsi="Times New Roman"/>
          <w:b w:val="false"/>
          <w:i w:val="false"/>
          <w:color w:val="000000"/>
          <w:sz w:val="21"/>
        </w:rPr>
        <w:t>[Filed ARC 0251C</w:t>
      </w:r>
      <w:r>
        <w:rPr>
          <w:rFonts w:ascii="Times New Roman" w:hAnsi="Times New Roman"/>
          <w:b w:val="false"/>
          <w:i w:val="false"/>
          <w:color w:val="000000"/>
          <w:sz w:val="21"/>
        </w:rPr>
        <w:t xml:space="preserve"> (Notice ARC 0145C, IAB 5/30/12)</w:t>
      </w:r>
      <w:r>
        <w:rPr>
          <w:rFonts w:ascii="Times New Roman" w:hAnsi="Times New Roman"/>
          <w:b w:val="false"/>
          <w:i w:val="false"/>
          <w:color w:val="000000"/>
          <w:sz w:val="21"/>
        </w:rPr>
        <w:t>, IAB 8/8/12, effective 9/12/12]</w:t>
      </w:r>
    </w:p>
    <w:p>
      <w:pPr>
        <w:spacing w:before="0" w:after="0"/>
        <w:ind w:left="120"/>
        <w:jc w:val="center"/>
      </w:pPr>
      <w:r>
        <w:rPr>
          <w:rFonts w:ascii="Times New Roman" w:hAnsi="Times New Roman"/>
          <w:b w:val="false"/>
          <w:i w:val="false"/>
          <w:color w:val="000000"/>
          <w:sz w:val="21"/>
        </w:rPr>
        <w:t>[Filed ARC 6508C</w:t>
      </w:r>
      <w:r>
        <w:rPr>
          <w:rFonts w:ascii="Times New Roman" w:hAnsi="Times New Roman"/>
          <w:b w:val="false"/>
          <w:i w:val="false"/>
          <w:color w:val="000000"/>
          <w:sz w:val="21"/>
        </w:rPr>
        <w:t xml:space="preserve"> (Notice ARC 6400C, IAB 7/13/22)</w:t>
      </w:r>
      <w:r>
        <w:rPr>
          <w:rFonts w:ascii="Times New Roman" w:hAnsi="Times New Roman"/>
          <w:b w:val="false"/>
          <w:i w:val="false"/>
          <w:color w:val="000000"/>
          <w:sz w:val="21"/>
        </w:rPr>
        <w:t>, IAB 9/7/22, effective 10/12/22]</w:t>
      </w:r>
    </w:p>
    <w:p>
      <w:pPr>
        <w:spacing w:before="0" w:after="0"/>
        <w:ind w:left="120"/>
        <w:jc w:val="center"/>
      </w:pPr>
      <w:r>
        <w:rPr>
          <w:rFonts w:ascii="Times New Roman" w:hAnsi="Times New Roman"/>
          <w:b w:val="false"/>
          <w:i w:val="false"/>
          <w:color w:val="000000"/>
          <w:sz w:val="21"/>
        </w:rPr>
        <w:t>[Editorial change: IAC Supplement 10/18/23]</w:t>
      </w:r>
    </w:p>
    <w:sectPr>
      <w:pgSz w:w="11907" w:h="16839" w:code="9"/>
      <w:pgMar w:top="1440" w:right="1440" w:bottom="1440" w:left="1440"/>
    </w:sectPr>
  </w:body>
</w:document>
</file>

<file path=word/numbering.xml><?xml version="1.0" encoding="utf-8"?>
<w:numbering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abstractNum w:abstractNumId="0">
    <w:nsid w:val="16892FB7"/>
    <w:multiLevelType w:val="hybridMultilevel"/>
    <w:tmpl w:val="5A4EB96A"/>
    <w:lvl w:ilvl="0" w:tplc="0C090001">
      <w:start w:val="1"/>
      <w:numFmt w:val="bullet"/>
      <w:lvlText w:val=""/>
      <w:lvlJc w:val="left"/>
      <w:pPr>
        <w:ind w:left="720" w:hanging="360"/>
      </w:pPr>
      <w:rPr>
        <w:rFonts w:hint="default" w:ascii="Symbol" w:hAnsi="Symbol"/>
      </w:rPr>
    </w:lvl>
    <w:lvl w:ilvl="1" w:tplc="0C090003" w:tentative="true">
      <w:start w:val="1"/>
      <w:numFmt w:val="bullet"/>
      <w:lvlText w:val="o"/>
      <w:lvlJc w:val="left"/>
      <w:pPr>
        <w:ind w:left="1440" w:hanging="360"/>
      </w:pPr>
      <w:rPr>
        <w:rFonts w:hint="default" w:ascii="Courier New" w:hAnsi="Courier New" w:cs="Courier New"/>
      </w:rPr>
    </w:lvl>
    <w:lvl w:ilvl="2" w:tplc="0C090005" w:tentative="true">
      <w:start w:val="1"/>
      <w:numFmt w:val="bullet"/>
      <w:lvlText w:val=""/>
      <w:lvlJc w:val="left"/>
      <w:pPr>
        <w:ind w:left="2160" w:hanging="360"/>
      </w:pPr>
      <w:rPr>
        <w:rFonts w:hint="default" w:ascii="Wingdings" w:hAnsi="Wingdings"/>
      </w:rPr>
    </w:lvl>
    <w:lvl w:ilvl="3" w:tplc="0C090001" w:tentative="true">
      <w:start w:val="1"/>
      <w:numFmt w:val="bullet"/>
      <w:lvlText w:val=""/>
      <w:lvlJc w:val="left"/>
      <w:pPr>
        <w:ind w:left="2880" w:hanging="360"/>
      </w:pPr>
      <w:rPr>
        <w:rFonts w:hint="default" w:ascii="Symbol" w:hAnsi="Symbol"/>
      </w:rPr>
    </w:lvl>
    <w:lvl w:ilvl="4" w:tplc="0C090003" w:tentative="true">
      <w:start w:val="1"/>
      <w:numFmt w:val="bullet"/>
      <w:lvlText w:val="o"/>
      <w:lvlJc w:val="left"/>
      <w:pPr>
        <w:ind w:left="3600" w:hanging="360"/>
      </w:pPr>
      <w:rPr>
        <w:rFonts w:hint="default" w:ascii="Courier New" w:hAnsi="Courier New" w:cs="Courier New"/>
      </w:rPr>
    </w:lvl>
    <w:lvl w:ilvl="5" w:tplc="0C090005" w:tentative="true">
      <w:start w:val="1"/>
      <w:numFmt w:val="bullet"/>
      <w:lvlText w:val=""/>
      <w:lvlJc w:val="left"/>
      <w:pPr>
        <w:ind w:left="4320" w:hanging="360"/>
      </w:pPr>
      <w:rPr>
        <w:rFonts w:hint="default" w:ascii="Wingdings" w:hAnsi="Wingdings"/>
      </w:rPr>
    </w:lvl>
    <w:lvl w:ilvl="6" w:tplc="0C090001" w:tentative="true">
      <w:start w:val="1"/>
      <w:numFmt w:val="bullet"/>
      <w:lvlText w:val=""/>
      <w:lvlJc w:val="left"/>
      <w:pPr>
        <w:ind w:left="5040" w:hanging="360"/>
      </w:pPr>
      <w:rPr>
        <w:rFonts w:hint="default" w:ascii="Symbol" w:hAnsi="Symbol"/>
      </w:rPr>
    </w:lvl>
    <w:lvl w:ilvl="7" w:tplc="0C090003" w:tentative="true">
      <w:start w:val="1"/>
      <w:numFmt w:val="bullet"/>
      <w:lvlText w:val="o"/>
      <w:lvlJc w:val="left"/>
      <w:pPr>
        <w:ind w:left="5760" w:hanging="360"/>
      </w:pPr>
      <w:rPr>
        <w:rFonts w:hint="default" w:ascii="Courier New" w:hAnsi="Courier New" w:cs="Courier New"/>
      </w:rPr>
    </w:lvl>
    <w:lvl w:ilvl="8" w:tplc="0C090005" w:tentative="true">
      <w:start w:val="1"/>
      <w:numFmt w:val="bullet"/>
      <w:lvlText w:val=""/>
      <w:lvlJc w:val="left"/>
      <w:pPr>
        <w:ind w:left="6480" w:hanging="360"/>
      </w:pPr>
      <w:rPr>
        <w:rFonts w:hint="default" w:ascii="Wingdings" w:hAnsi="Wingdings"/>
      </w:rPr>
    </w:lvl>
  </w:abstractNum>
  <w:abstractNum w:abstractNumId="1">
    <w:nsid w:val="7E706046"/>
    <w:multiLevelType w:val="hybridMultilevel"/>
    <w:tmpl w:val="336E8F2C"/>
    <w:lvl w:ilvl="0" w:tplc="0C09000F">
      <w:start w:val="1"/>
      <w:numFmt w:val="decimal"/>
      <w:lvlText w:val="%1."/>
      <w:lvlJc w:val="left"/>
      <w:pPr>
        <w:ind w:left="720" w:hanging="360"/>
      </w:pPr>
    </w:lvl>
    <w:lvl w:ilvl="1" w:tplc="0C090019" w:tentative="true">
      <w:start w:val="1"/>
      <w:numFmt w:val="lowerLetter"/>
      <w:lvlText w:val="%2."/>
      <w:lvlJc w:val="left"/>
      <w:pPr>
        <w:ind w:left="1440" w:hanging="360"/>
      </w:pPr>
    </w:lvl>
    <w:lvl w:ilvl="2" w:tplc="0C09001B" w:tentative="true">
      <w:start w:val="1"/>
      <w:numFmt w:val="lowerRoman"/>
      <w:lvlText w:val="%3."/>
      <w:lvlJc w:val="right"/>
      <w:pPr>
        <w:ind w:left="2160" w:hanging="180"/>
      </w:pPr>
    </w:lvl>
    <w:lvl w:ilvl="3" w:tplc="0C09000F" w:tentative="true">
      <w:start w:val="1"/>
      <w:numFmt w:val="decimal"/>
      <w:lvlText w:val="%4."/>
      <w:lvlJc w:val="left"/>
      <w:pPr>
        <w:ind w:left="2880" w:hanging="360"/>
      </w:pPr>
    </w:lvl>
    <w:lvl w:ilvl="4" w:tplc="0C090019" w:tentative="true">
      <w:start w:val="1"/>
      <w:numFmt w:val="lowerLetter"/>
      <w:lvlText w:val="%5."/>
      <w:lvlJc w:val="left"/>
      <w:pPr>
        <w:ind w:left="3600" w:hanging="360"/>
      </w:pPr>
    </w:lvl>
    <w:lvl w:ilvl="5" w:tplc="0C09001B" w:tentative="true">
      <w:start w:val="1"/>
      <w:numFmt w:val="lowerRoman"/>
      <w:lvlText w:val="%6."/>
      <w:lvlJc w:val="right"/>
      <w:pPr>
        <w:ind w:left="4320" w:hanging="180"/>
      </w:pPr>
    </w:lvl>
    <w:lvl w:ilvl="6" w:tplc="0C09000F" w:tentative="true">
      <w:start w:val="1"/>
      <w:numFmt w:val="decimal"/>
      <w:lvlText w:val="%7."/>
      <w:lvlJc w:val="left"/>
      <w:pPr>
        <w:ind w:left="5040" w:hanging="360"/>
      </w:pPr>
    </w:lvl>
    <w:lvl w:ilvl="7" w:tplc="0C090019" w:tentative="true">
      <w:start w:val="1"/>
      <w:numFmt w:val="lowerLetter"/>
      <w:lvlText w:val="%8."/>
      <w:lvlJc w:val="left"/>
      <w:pPr>
        <w:ind w:left="5760" w:hanging="360"/>
      </w:pPr>
    </w:lvl>
    <w:lvl w:ilvl="8" w:tplc="0C09001B" w:tentative="true">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co/chapter/17A.7.pdf" Type="http://schemas.openxmlformats.org/officeDocument/2006/relationships/hyperlink" Id="rId4"/>
    <Relationship TargetMode="External" Target="https://www.legis.iowa.gov/docs/ico/chapter/421B.2.pdf" Type="http://schemas.openxmlformats.org/officeDocument/2006/relationships/hyperlink" Id="rId5"/>
    <Relationship TargetMode="External" Target="https://www.legis.iowa.gov/docs/ico/chapter/421B.2.pdf" Type="http://schemas.openxmlformats.org/officeDocument/2006/relationships/hyperlink" Id="rId6"/>
    <Relationship TargetMode="External" Target="https://www.legis.iowa.gov/docs/ico/chapter/421B.2.pdf" Type="http://schemas.openxmlformats.org/officeDocument/2006/relationships/hyperlink" Id="rId7"/>
    <Relationship TargetMode="External" Target="https://www.legis.iowa.gov/docs/ico/chapter/421B.pdf" Type="http://schemas.openxmlformats.org/officeDocument/2006/relationships/hyperlink" Id="rId8"/>
    <Relationship TargetMode="External" Target="https://www.legis.iowa.gov/docs/ico/chapter/421B.10.pdf" Type="http://schemas.openxmlformats.org/officeDocument/2006/relationships/hyperlink" Id="rId9"/>
    <Relationship TargetMode="External" Target="https://www.legis.iowa.gov/docs/iac/rule/701.7.9.pdf" Type="http://schemas.openxmlformats.org/officeDocument/2006/relationships/hyperlink" Id="rId10"/>
    <Relationship TargetMode="External" Target="https://www.legis.iowa.gov/docs/ico/chapter/421B.5.pdf" Type="http://schemas.openxmlformats.org/officeDocument/2006/relationships/hyperlink" Id="rId11"/>
    <Relationship TargetMode="External" Target="https://www.legis.iowa.gov/docs/ico/chapter/421B.6.pdf" Type="http://schemas.openxmlformats.org/officeDocument/2006/relationships/hyperlink" Id="rId12"/>
    <Relationship TargetMode="External" Target="https://www.legis.iowa.gov/docs/ico/chapter/421B.9.pdf" Type="http://schemas.openxmlformats.org/officeDocument/2006/relationships/hyperlink" Id="rId13"/>
    <Relationship TargetMode="External" Target="https://www.legis.iowa.gov/docs/ico/chapter/421B.3.pdf" Type="http://schemas.openxmlformats.org/officeDocument/2006/relationships/hyperlink" Id="rId14"/>
    <Relationship TargetMode="External" Target="https://www.legis.iowa.gov/docs/iac/rule/701.257.5.pdf" Type="http://schemas.openxmlformats.org/officeDocument/2006/relationships/hyperlink" Id="rId15"/>
    <Relationship TargetMode="External" Target="https://www.legis.iowa.gov/docs/ico/chapter/421B.2.pdf" Type="http://schemas.openxmlformats.org/officeDocument/2006/relationships/hyperlink" Id="rId16"/>
    <Relationship TargetMode="External" Target="https://www.legis.iowa.gov/docs/ico/chapter/421B.3.pdf" Type="http://schemas.openxmlformats.org/officeDocument/2006/relationships/hyperlink" Id="rId17"/>
    <Relationship TargetMode="External" Target="https://www.legis.iowa.gov/docs/ico/chapter/421B.5.pdf" Type="http://schemas.openxmlformats.org/officeDocument/2006/relationships/hyperlink" Id="rId18"/>
    <Relationship TargetMode="External" Target="https://www.legis.iowa.gov/docs/ico/chapter/421B.6.pdf" Type="http://schemas.openxmlformats.org/officeDocument/2006/relationships/hyperlink" Id="rId19"/>
    <Relationship TargetMode="External" Target="https://www.legis.iowa.gov/docs/ico/chapter/421B.9.pdf" Type="http://schemas.openxmlformats.org/officeDocument/2006/relationships/hyperlink" Id="rId20"/>
    <Relationship TargetMode="External" Target="https://www.legis.iowa.gov/docs/ico/chapter/421B.2.pdf" Type="http://schemas.openxmlformats.org/officeDocument/2006/relationships/hyperlink" Id="rId21"/>
    <Relationship TargetMode="External" Target="https://www.legis.iowa.gov/docs/ico/chapter/421B.4.pdf" Type="http://schemas.openxmlformats.org/officeDocument/2006/relationships/hyperlink" Id="rId22"/>
    <Relationship TargetMode="External" Target="https://www.legis.iowa.gov/docs/ico/chapter/421B.3.pdf" Type="http://schemas.openxmlformats.org/officeDocument/2006/relationships/hyperlink" Id="rId23"/>
    <Relationship TargetMode="External" Target="https://www.legis.iowa.gov/docs/ico/chapter/421B.2.pdf" Type="http://schemas.openxmlformats.org/officeDocument/2006/relationships/hyperlink" Id="rId24"/>
    <Relationship TargetMode="External" Target="https://www.legis.iowa.gov/docs/ico/chapter/421B.3.pdf" Type="http://schemas.openxmlformats.org/officeDocument/2006/relationships/hyperlink" Id="rId25"/>
    <Relationship TargetMode="External" Target="https://www.legis.iowa.gov/docs/ico/chapter/421B.pdf" Type="http://schemas.openxmlformats.org/officeDocument/2006/relationships/hyperlink" Id="rId26"/>
    <Relationship TargetMode="External" Target="https://www.legis.iowa.gov/docs/ico/chapter/421B.pdf" Type="http://schemas.openxmlformats.org/officeDocument/2006/relationships/hyperlink" Id="rId27"/>
    <Relationship TargetMode="External" Target="https://www.legis.iowa.gov/docs/ico/chapter/421B.6.pdf" Type="http://schemas.openxmlformats.org/officeDocument/2006/relationships/hyperlink" Id="rId28"/>
    <Relationship TargetMode="External" Target="https://www.legis.iowa.gov/docs/iac/rule/701.257.5.pdf" Type="http://schemas.openxmlformats.org/officeDocument/2006/relationships/hyperlink" Id="rId29"/>
    <Relationship TargetMode="External" Target="https://www.legis.iowa.gov/docs/iac/rule/701.257.5.pdf" Type="http://schemas.openxmlformats.org/officeDocument/2006/relationships/hyperlink" Id="rId30"/>
    <Relationship TargetMode="External" Target="https://www.legis.iowa.gov/docs/ico/chapter/421B.5-7.pdf" Type="http://schemas.openxmlformats.org/officeDocument/2006/relationships/hyperlink" Id="rId31"/>
    <Relationship TargetMode="External" Target="https://www.legis.iowa.gov/docs/ico/chapter/421B.8.pdf" Type="http://schemas.openxmlformats.org/officeDocument/2006/relationships/hyperlink" Id="rId32"/>
    <Relationship TargetMode="External" Target="https://www.legis.iowa.gov/docs/ico/chapter/421B.11.pdf" Type="http://schemas.openxmlformats.org/officeDocument/2006/relationships/hyperlink" Id="rId33"/>
    <Relationship TargetMode="External" Target="https://www.legis.iowa.gov/docs/ico/chapter/453A.pdf" Type="http://schemas.openxmlformats.org/officeDocument/2006/relationships/hyperlink" Id="rId34"/>
    <Relationship TargetMode="External" Target="https://www.legis.iowa.gov/docs/ico/chapter/421B.pdf" Type="http://schemas.openxmlformats.org/officeDocument/2006/relationships/hyperlink" Id="rId35"/>
    <Relationship TargetMode="External" Target="https://www.legis.iowa.gov/docs/ico/chapter/421B.pdf" Type="http://schemas.openxmlformats.org/officeDocument/2006/relationships/hyperlink" Id="rId36"/>
    <Relationship TargetMode="External" Target="https://www.legis.iowa.gov/docs/iac/rule/701.254.12.pdf" Type="http://schemas.openxmlformats.org/officeDocument/2006/relationships/hyperlink" Id="rId37"/>
    <Relationship TargetMode="External" Target="https://www.legis.iowa.gov/docs/ico/chapter/421B.11.pdf" Type="http://schemas.openxmlformats.org/officeDocument/2006/relationships/hyperlink" Id="rId38"/>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