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254</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9/7/22, see Revenue Department[701] Ch 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701—254.1</w:t>
      </w:r>
      <w:r>
        <w:rPr>
          <w:rFonts w:ascii="Times New Roman" w:hAnsi="Times New Roman"/>
          <w:b/>
          <w:i w:val="false"/>
          <w:color w:val="000000"/>
          <w:sz w:val="22"/>
        </w:rPr>
        <w:t xml:space="preserve">(453A)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title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 </w:t>
      </w:r>
      <w:r>
        <w:rPr>
          <w:rFonts w:ascii="Times New Roman" w:hAnsi="Times New Roman"/>
          <w:b w:val="false"/>
          <w:i w:val="false"/>
          <w:color w:val="000000"/>
          <w:sz w:val="22"/>
        </w:rPr>
        <w:t>means a bank designated and authorized by the director of revenue to sell cigarette stamps and set cigarette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“Carton” </w:t>
      </w:r>
      <w:r>
        <w:rPr>
          <w:rFonts w:ascii="Times New Roman" w:hAnsi="Times New Roman"/>
          <w:b w:val="false"/>
          <w:i w:val="false"/>
          <w:color w:val="000000"/>
          <w:sz w:val="22"/>
        </w:rPr>
        <w:t>means a box or container of any kind in which ten or more packages or packs of cigarettes or tobacco products are offered for sale, sold, or otherwise distributed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“Cigarette licensee” </w:t>
      </w:r>
      <w:r>
        <w:rPr>
          <w:rFonts w:ascii="Times New Roman" w:hAnsi="Times New Roman"/>
          <w:b w:val="false"/>
          <w:i w:val="false"/>
          <w:color w:val="000000"/>
          <w:sz w:val="22"/>
        </w:rPr>
        <w:t xml:space="preserve">means any person who has or is required to obtain a permit of any kind under Iowa Code chapter </w:t>
      </w:r>
      <w:hyperlink r:id="rId5">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division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“Counterfeit cigarettes” </w:t>
      </w:r>
      <w:r>
        <w:rPr>
          <w:rFonts w:ascii="Times New Roman" w:hAnsi="Times New Roman"/>
          <w:b w:val="false"/>
          <w:i w:val="false"/>
          <w:color w:val="000000"/>
          <w:sz w:val="22"/>
        </w:rPr>
        <w:t>means cigarettes, packages of cigarettes, cartons of cigarettes or other containers of cigarettes with a label, trademark, service mark, trade name, device, design, or word adopted or used by a cigarette manufacturer to identify its product that is false or used without authority of the cigarette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and </w:t>
      </w:r>
      <w:r>
        <w:rPr>
          <w:rFonts w:ascii="Times New Roman" w:hAnsi="Times New Roman"/>
          <w:b w:val="false"/>
          <w:i/>
          <w:color w:val="000000"/>
          <w:sz w:val="22"/>
        </w:rPr>
        <w:t>“permit”</w:t>
      </w:r>
      <w:r>
        <w:rPr>
          <w:rFonts w:ascii="Times New Roman" w:hAnsi="Times New Roman"/>
          <w:b w:val="false"/>
          <w:i w:val="false"/>
          <w:color w:val="000000"/>
          <w:sz w:val="22"/>
        </w:rPr>
        <w:t xml:space="preserve"> are used interchangeably.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holding or required to obtain a permit or license of any kind under Iowa Code chapter </w:t>
      </w:r>
      <w:hyperlink r:id="rId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 settings” </w:t>
      </w:r>
      <w:r>
        <w:rPr>
          <w:rFonts w:ascii="Times New Roman" w:hAnsi="Times New Roman"/>
          <w:b w:val="false"/>
          <w:i w:val="false"/>
          <w:color w:val="000000"/>
          <w:sz w:val="22"/>
        </w:rPr>
        <w:t>means Iowa cigarette meters which imprint indicia on cigarette packages.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“Package”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“pack” </w:t>
      </w:r>
      <w:r>
        <w:rPr>
          <w:rFonts w:ascii="Times New Roman" w:hAnsi="Times New Roman"/>
          <w:b w:val="false"/>
          <w:i w:val="false"/>
          <w:color w:val="000000"/>
          <w:sz w:val="22"/>
        </w:rPr>
        <w:t>means a container of any kind in which cigarettes or tobacco products are offered for sale, sold, or otherwise distributed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“Revenue” </w:t>
      </w:r>
      <w:r>
        <w:rPr>
          <w:rFonts w:ascii="Times New Roman" w:hAnsi="Times New Roman"/>
          <w:b w:val="false"/>
          <w:i w:val="false"/>
          <w:color w:val="000000"/>
          <w:sz w:val="22"/>
        </w:rPr>
        <w:t>means any evidence of tax on cigarettes required by the department to be affixed to individual packages of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“Stamps” </w:t>
      </w:r>
      <w:r>
        <w:rPr>
          <w:rFonts w:ascii="Times New Roman" w:hAnsi="Times New Roman"/>
          <w:b w:val="false"/>
          <w:i w:val="false"/>
          <w:color w:val="000000"/>
          <w:sz w:val="22"/>
        </w:rPr>
        <w:t>means Iowa Fuson stamps, 30,000 to a roll and Iowa hand stamps of any quantity authorized by the director to be applied to packages of cigarettes and little cigars.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“Supplier” </w:t>
      </w:r>
      <w:r>
        <w:rPr>
          <w:rFonts w:ascii="Times New Roman" w:hAnsi="Times New Roman"/>
          <w:b w:val="false"/>
          <w:i w:val="false"/>
          <w:color w:val="000000"/>
          <w:sz w:val="22"/>
        </w:rPr>
        <w:t>means any person or firm authorized to manufacture or supply cigarette stamps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means the tax imposed under Iowa Code chapter </w:t>
      </w:r>
      <w:hyperlink r:id="rId7">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on cigarettes or other tobacco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 xml:space="preserve">means any person required to collect or remit tax directly to the department or required to be licensed or to file any report or return or keep records under Iowa Code chapter </w:t>
      </w:r>
      <w:hyperlink r:id="rId8">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“Tobacco” </w:t>
      </w:r>
      <w:r>
        <w:rPr>
          <w:rFonts w:ascii="Times New Roman" w:hAnsi="Times New Roman"/>
          <w:b w:val="false"/>
          <w:i w:val="false"/>
          <w:color w:val="000000"/>
          <w:sz w:val="22"/>
        </w:rPr>
        <w:t xml:space="preserve">means the same as “tobacco products” as defined in Iowa Code section </w:t>
      </w:r>
      <w:hyperlink r:id="rId9">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“Tobacco licensee” </w:t>
      </w:r>
      <w:r>
        <w:rPr>
          <w:rFonts w:ascii="Times New Roman" w:hAnsi="Times New Roman"/>
          <w:b w:val="false"/>
          <w:i w:val="false"/>
          <w:color w:val="000000"/>
          <w:sz w:val="22"/>
        </w:rPr>
        <w:t xml:space="preserve">means any person who has or is required to obtain a permit of any kind under Iowa Code chapter </w:t>
      </w:r>
      <w:hyperlink r:id="rId10">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xml:space="preserve">In addition to these definitions, the definitions contained in Iowa Code sections </w:t>
      </w:r>
      <w:hyperlink r:id="rId11">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 xml:space="preserve"> apply to these rules.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Senate File 2296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701—254.2</w:t>
      </w:r>
      <w:r>
        <w:rPr>
          <w:rFonts w:ascii="Times New Roman" w:hAnsi="Times New Roman"/>
          <w:b/>
          <w:i w:val="false"/>
          <w:color w:val="000000"/>
          <w:sz w:val="22"/>
        </w:rPr>
        <w:t xml:space="preserve">(453A) </w:t>
      </w:r>
      <w:r>
        <w:rPr>
          <w:rFonts w:ascii="Times New Roman" w:hAnsi="Times New Roman"/>
          <w:b/>
          <w:i w:val="false"/>
          <w:color w:val="000000"/>
          <w:sz w:val="22"/>
        </w:rPr>
        <w:t xml:space="preserve">Credentials and receipts. </w:t>
      </w:r>
      <w:r>
        <w:rPr>
          <w:rFonts w:ascii="Times New Roman" w:hAnsi="Times New Roman"/>
          <w:b w:val="false"/>
          <w:i w:val="false"/>
          <w:color w:val="000000"/>
          <w:sz w:val="22"/>
        </w:rPr>
        <w:t>Employees of the department have official credentials and the taxpayer should require proof of the identity of any person claiming to represent the department. No charges shall be made nor gratuities of any kind accepted by an employee of the department for assistance given in or out of the office of the department.</w:t>
      </w:r>
    </w:p>
    <w:p>
      <w:pPr>
        <w:spacing w:before="0" w:after="0"/>
        <w:ind w:left="120"/>
        <w:jc w:val="both"/>
      </w:pPr>
      <w:r>
        <w:rPr>
          <w:rFonts w:ascii="Times New Roman" w:hAnsi="Times New Roman"/>
          <w:b w:val="false"/>
          <w:i w:val="false"/>
          <w:color w:val="000000"/>
          <w:sz w:val="22"/>
        </w:rPr>
        <w:t>All employees authorized to collect money are supplied with official receipt forms. When cash is paid to an employee, the taxpayer should require the employee to issue an official receipt. Such receipt shall show the taxpayer’s name, address and permit number; the purpose for the payment; and the amount of the payment. The taxpayer should retain all receipts, and only official receipts for a cash payment will be recognized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453A.25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701—254.3</w:t>
      </w:r>
      <w:r>
        <w:rPr>
          <w:rFonts w:ascii="Times New Roman" w:hAnsi="Times New Roman"/>
          <w:b/>
          <w:i w:val="false"/>
          <w:color w:val="000000"/>
          <w:sz w:val="22"/>
        </w:rPr>
        <w:t xml:space="preserve">(453A) </w:t>
      </w:r>
      <w:r>
        <w:rPr>
          <w:rFonts w:ascii="Times New Roman" w:hAnsi="Times New Roman"/>
          <w:b/>
          <w:i w:val="false"/>
          <w:color w:val="000000"/>
          <w:sz w:val="22"/>
        </w:rPr>
        <w:t xml:space="preserve">Examination of records. </w:t>
      </w:r>
      <w:r>
        <w:rPr>
          <w:rFonts w:ascii="Times New Roman" w:hAnsi="Times New Roman"/>
          <w:b w:val="false"/>
          <w:i w:val="false"/>
          <w:color w:val="000000"/>
          <w:sz w:val="22"/>
        </w:rPr>
        <w:t>Within three years after a return or report is filed or within three years after the report or return became due, whichever is later, the department shall examine it, determine the amount of cigarette or tobacco tax due, and give notice of assessment to the taxpayer. If no return or report has been filed, the department may determine the amount of tax due and give notice thereof. The period of examination and determination of the correct amount of tax is unlimited in the case of a false or fraudulent report or return made with the intent to evade tax, or in the case of a failure to file a report or return, or if a person purchases or is in possession of unstamped cigarettes. The three-year period of limitation may be extended by a taxpayer by signing a waiver agreement form provided by the department. The agreement must stipulate the period of extension and the tax period to which the extension applies and must provide that a claim for refund may be filed at any time during the period of extension.</w:t>
      </w:r>
    </w:p>
    <w:p>
      <w:pPr>
        <w:spacing w:before="0" w:after="0"/>
        <w:ind w:left="120"/>
        <w:jc w:val="both"/>
      </w:pPr>
      <w:r>
        <w:rPr>
          <w:rFonts w:ascii="Times New Roman" w:hAnsi="Times New Roman"/>
          <w:b w:val="false"/>
          <w:i w:val="false"/>
          <w:color w:val="000000"/>
          <w:sz w:val="22"/>
        </w:rPr>
        <w:t>Whenever books and records are examined by an employee designated by the director, whether to verify a return, report, or claim for refund or in making an audit, an assessment will be issued for any amount of tax due or a refund made for any amount of tax overpaid.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453A.28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Senate File 2296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701—254.4</w:t>
      </w:r>
      <w:r>
        <w:rPr>
          <w:rFonts w:ascii="Times New Roman" w:hAnsi="Times New Roman"/>
          <w:b/>
          <w:i w:val="false"/>
          <w:color w:val="000000"/>
          <w:sz w:val="22"/>
        </w:rPr>
        <w:t xml:space="preserve">(453A)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Every taxpayer subject to the provisions of Iowa Code chapter </w:t>
      </w:r>
      <w:hyperlink r:id="rId20">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shall keep, preserve, and make available to the department records for a period of three years. The following is a list of records subject to the provisions of this rule. For taxpayers using an electronic data interchange process or technology, also see </w:t>
      </w:r>
      <w:hyperlink r:id="rId21">
        <w:r>
          <w:rPr>
            <w:rStyle w:val="Hyperlink"/>
            <w:rFonts w:ascii="Times New Roman" w:hAnsi="Times New Roman"/>
            <w:b w:val="false"/>
            <w:i w:val="false"/>
            <w:color w:val="000000"/>
            <w:sz w:val="22"/>
          </w:rPr>
          <w:t>701—subrule 11.4(4)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w:t>
      </w:r>
      <w:r>
        <w:rPr>
          <w:rFonts w:ascii="Times New Roman" w:hAnsi="Times New Roman"/>
          <w:b w:val="false"/>
          <w:i w:val="false"/>
          <w:color w:val="000000"/>
          <w:sz w:val="22"/>
        </w:rPr>
        <w:t> </w:t>
      </w:r>
      <w:r>
        <w:rPr>
          <w:rFonts w:ascii="Times New Roman" w:hAnsi="Times New Roman"/>
          <w:b w:val="false"/>
          <w:i/>
          <w:color w:val="000000"/>
          <w:sz w:val="22"/>
        </w:rPr>
        <w:t xml:space="preserve">Cigarette manufacturer. </w:t>
      </w:r>
      <w:r>
        <w:rPr>
          <w:rFonts w:ascii="Times New Roman" w:hAnsi="Times New Roman"/>
          <w:b w:val="false"/>
          <w:i w:val="false"/>
          <w:color w:val="000000"/>
          <w:sz w:val="22"/>
        </w:rPr>
        <w:t>Licensed cigarette manufacturers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the sale of cigarettes in Iowa or the sale of cigarettes for shipment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evidencing the transportation of cigarettes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all sales of cigarettes to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all stamps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reports filed with the department.</w:t>
      </w:r>
    </w:p>
    <w:p>
      <w:pPr>
        <w:spacing w:before="0" w:after="0"/>
        <w:ind w:left="120"/>
        <w:jc w:val="both"/>
      </w:pPr>
      <w:r>
        <w:rPr>
          <w:rFonts w:ascii="Times New Roman" w:hAnsi="Times New Roman"/>
          <w:b w:val="false"/>
          <w:i w:val="false"/>
          <w:color w:val="000000"/>
          <w:sz w:val="22"/>
        </w:rPr>
        <w:t>Unlicensed cigarette manufacturers shipping cigarettes into Iowa are asked to keep records, including invoices, showing the sale of cigarettes in Iowa or the sale of cigarettes for shipment into Iowa.</w:t>
      </w:r>
    </w:p>
    <w:p>
      <w:pPr>
        <w:spacing w:before="0" w:after="0"/>
        <w:ind w:left="120"/>
        <w:jc w:val="both"/>
      </w:pPr>
      <w:r>
        <w:rPr>
          <w:rFonts w:ascii="Times New Roman" w:hAnsi="Times New Roman"/>
          <w:b w:val="false"/>
          <w:i w:val="false"/>
          <w:color w:val="000000"/>
          <w:sz w:val="22"/>
        </w:rPr>
        <w:t>Nothing in this rule shall be construed to affect the provisions of P.L. 95-575 (Contraband Cigarette Act, 18 U.S.C. Ch.</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 or P.L. 81-363 (Jenkins Act, 15 U.S.C., Sec.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254.4(2)</w:t>
      </w:r>
      <w:r>
        <w:rPr>
          <w:rFonts w:ascii="Times New Roman" w:hAnsi="Times New Roman"/>
          <w:b w:val="false"/>
          <w:i w:val="false"/>
          <w:color w:val="000000"/>
          <w:sz w:val="22"/>
        </w:rPr>
        <w:t> </w:t>
      </w:r>
      <w:r>
        <w:rPr>
          <w:rFonts w:ascii="Times New Roman" w:hAnsi="Times New Roman"/>
          <w:b w:val="false"/>
          <w:i/>
          <w:color w:val="000000"/>
          <w:sz w:val="22"/>
        </w:rPr>
        <w:t xml:space="preserve">Cigarette distributing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the receipt of all cigarettes showing the amount of cigarettes received and from whom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all distribution of cigarettes showing the amount of cigarettes shipped, to whom and at whose direction the cigarettes were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showing all exports of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all reports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Freight receiving and shipping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254.4(3)</w:t>
      </w:r>
      <w:r>
        <w:rPr>
          <w:rFonts w:ascii="Times New Roman" w:hAnsi="Times New Roman"/>
          <w:b w:val="false"/>
          <w:i w:val="false"/>
          <w:color w:val="000000"/>
          <w:sz w:val="22"/>
        </w:rPr>
        <w:t> </w:t>
      </w:r>
      <w:r>
        <w:rPr>
          <w:rFonts w:ascii="Times New Roman" w:hAnsi="Times New Roman"/>
          <w:b w:val="false"/>
          <w:i/>
          <w:color w:val="000000"/>
          <w:sz w:val="22"/>
        </w:rPr>
        <w:t xml:space="preserve">Cigarette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the purchase of all cigarettes sold, used or stored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the sale of cigarettes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Freight receiving and shipping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all stamps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reports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254.4(4)</w:t>
      </w:r>
      <w:r>
        <w:rPr>
          <w:rFonts w:ascii="Times New Roman" w:hAnsi="Times New Roman"/>
          <w:b w:val="false"/>
          <w:i w:val="false"/>
          <w:color w:val="000000"/>
          <w:sz w:val="22"/>
        </w:rPr>
        <w:t> </w:t>
      </w:r>
      <w:r>
        <w:rPr>
          <w:rFonts w:ascii="Times New Roman" w:hAnsi="Times New Roman"/>
          <w:b w:val="false"/>
          <w:i/>
          <w:color w:val="000000"/>
          <w:sz w:val="22"/>
        </w:rPr>
        <w:t xml:space="preserve">Wholesaler.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sale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254.4(5)</w:t>
      </w:r>
      <w:r>
        <w:rPr>
          <w:rFonts w:ascii="Times New Roman" w:hAnsi="Times New Roman"/>
          <w:b w:val="false"/>
          <w:i w:val="false"/>
          <w:color w:val="000000"/>
          <w:sz w:val="22"/>
        </w:rPr>
        <w:t> </w:t>
      </w:r>
      <w:r>
        <w:rPr>
          <w:rFonts w:ascii="Times New Roman" w:hAnsi="Times New Roman"/>
          <w:b w:val="false"/>
          <w:i/>
          <w:color w:val="000000"/>
          <w:sz w:val="22"/>
        </w:rPr>
        <w:t xml:space="preserve">Cigarette vendor.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evidencing the sale of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of all cigarette vending machines owned, furnished, installed, serviced, operated or maintained by the vendor and the location of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254.4(6)</w:t>
      </w:r>
      <w:r>
        <w:rPr>
          <w:rFonts w:ascii="Times New Roman" w:hAnsi="Times New Roman"/>
          <w:b w:val="false"/>
          <w:i w:val="false"/>
          <w:color w:val="000000"/>
          <w:sz w:val="22"/>
        </w:rPr>
        <w:t> </w:t>
      </w:r>
      <w:r>
        <w:rPr>
          <w:rFonts w:ascii="Times New Roman" w:hAnsi="Times New Roman"/>
          <w:b w:val="false"/>
          <w:i/>
          <w:color w:val="000000"/>
          <w:sz w:val="22"/>
        </w:rPr>
        <w:t xml:space="preserve">Cigarette retailer.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254.4(7)</w:t>
      </w:r>
      <w:r>
        <w:rPr>
          <w:rFonts w:ascii="Times New Roman" w:hAnsi="Times New Roman"/>
          <w:b w:val="false"/>
          <w:i w:val="false"/>
          <w:color w:val="000000"/>
          <w:sz w:val="22"/>
        </w:rPr>
        <w:t> </w:t>
      </w:r>
      <w:r>
        <w:rPr>
          <w:rFonts w:ascii="Times New Roman" w:hAnsi="Times New Roman"/>
          <w:b w:val="false"/>
          <w:i/>
          <w:color w:val="000000"/>
          <w:sz w:val="22"/>
        </w:rPr>
        <w:t xml:space="preserve">Tobacco distributor. </w:t>
      </w:r>
      <w:r>
        <w:rPr>
          <w:rFonts w:ascii="Times New Roman" w:hAnsi="Times New Roman"/>
          <w:b w:val="false"/>
          <w:i w:val="false"/>
          <w:color w:val="000000"/>
          <w:sz w:val="22"/>
        </w:rPr>
        <w:t xml:space="preserve">The same records as a cigarette distributor but with respect to tobacco, excluding records of stamps purchased. (See </w:t>
      </w:r>
      <w:hyperlink r:id="rId22">
        <w:r>
          <w:rPr>
            <w:rStyle w:val="Hyperlink"/>
            <w:rFonts w:ascii="Times New Roman" w:hAnsi="Times New Roman"/>
            <w:b w:val="false"/>
            <w:i w:val="false"/>
            <w:color w:val="000000"/>
            <w:sz w:val="22"/>
          </w:rPr>
          <w:t>254.4(3)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254.4(8)</w:t>
      </w:r>
      <w:r>
        <w:rPr>
          <w:rFonts w:ascii="Times New Roman" w:hAnsi="Times New Roman"/>
          <w:b w:val="false"/>
          <w:i w:val="false"/>
          <w:color w:val="000000"/>
          <w:sz w:val="22"/>
        </w:rPr>
        <w:t> </w:t>
      </w:r>
      <w:r>
        <w:rPr>
          <w:rFonts w:ascii="Times New Roman" w:hAnsi="Times New Roman"/>
          <w:b w:val="false"/>
          <w:i/>
          <w:color w:val="000000"/>
          <w:sz w:val="22"/>
        </w:rPr>
        <w:t xml:space="preserve">Tobacco subjobber. </w:t>
      </w:r>
      <w:r>
        <w:rPr>
          <w:rFonts w:ascii="Times New Roman" w:hAnsi="Times New Roman"/>
          <w:b w:val="false"/>
          <w:i w:val="false"/>
          <w:color w:val="000000"/>
          <w:sz w:val="22"/>
        </w:rPr>
        <w:t>The same records as a cigarette wholesaler but with respect to tobacco.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254.4(9)</w:t>
      </w:r>
      <w:r>
        <w:rPr>
          <w:rFonts w:ascii="Times New Roman" w:hAnsi="Times New Roman"/>
          <w:b w:val="false"/>
          <w:i w:val="false"/>
          <w:color w:val="000000"/>
          <w:sz w:val="22"/>
        </w:rPr>
        <w:t> </w:t>
      </w:r>
      <w:r>
        <w:rPr>
          <w:rFonts w:ascii="Times New Roman" w:hAnsi="Times New Roman"/>
          <w:b w:val="false"/>
          <w:i/>
          <w:color w:val="000000"/>
          <w:sz w:val="22"/>
        </w:rPr>
        <w:t xml:space="preserve">Tobacco retailer. </w:t>
      </w:r>
      <w:r>
        <w:rPr>
          <w:rFonts w:ascii="Times New Roman" w:hAnsi="Times New Roman"/>
          <w:b w:val="false"/>
          <w:i w:val="false"/>
          <w:color w:val="000000"/>
          <w:sz w:val="22"/>
        </w:rPr>
        <w:t>The same records as a cigarette retailer but with respect to tobacco.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254.4(10)</w:t>
      </w:r>
      <w:r>
        <w:rPr>
          <w:rFonts w:ascii="Times New Roman" w:hAnsi="Times New Roman"/>
          <w:b w:val="false"/>
          <w:i w:val="false"/>
          <w:color w:val="000000"/>
          <w:sz w:val="22"/>
        </w:rPr>
        <w:t> </w:t>
      </w:r>
      <w:r>
        <w:rPr>
          <w:rFonts w:ascii="Times New Roman" w:hAnsi="Times New Roman"/>
          <w:b w:val="false"/>
          <w:i/>
          <w:color w:val="000000"/>
          <w:sz w:val="22"/>
        </w:rPr>
        <w:t xml:space="preserve">Common carrier engaged in transporting cigarettes or tobacco products into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 as to each transportation of cigarettes or tobacco.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Log book or trip sheets.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254.4(11)</w:t>
      </w:r>
      <w:r>
        <w:rPr>
          <w:rFonts w:ascii="Times New Roman" w:hAnsi="Times New Roman"/>
          <w:b w:val="false"/>
          <w:i w:val="false"/>
          <w:color w:val="000000"/>
          <w:sz w:val="22"/>
        </w:rPr>
        <w:t> </w:t>
      </w:r>
      <w:r>
        <w:rPr>
          <w:rFonts w:ascii="Times New Roman" w:hAnsi="Times New Roman"/>
          <w:b w:val="false"/>
          <w:i/>
          <w:color w:val="000000"/>
          <w:sz w:val="22"/>
        </w:rPr>
        <w:t xml:space="preserve">Microfilm and related records system. </w:t>
      </w:r>
      <w:r>
        <w:rPr>
          <w:rFonts w:ascii="Times New Roman" w:hAnsi="Times New Roman"/>
          <w:b w:val="false"/>
          <w:i w:val="false"/>
          <w:color w:val="000000"/>
          <w:sz w:val="22"/>
        </w:rPr>
        <w:t>Microfilm, microfiche, COM (computer on machine) and other related reduction in storage systems will be referred to as “microfilm” in this rule.</w:t>
      </w:r>
    </w:p>
    <w:p>
      <w:pPr>
        <w:spacing w:before="0" w:after="0"/>
        <w:ind w:left="120"/>
        <w:jc w:val="both"/>
      </w:pPr>
      <w:r>
        <w:rPr>
          <w:rFonts w:ascii="Times New Roman" w:hAnsi="Times New Roman"/>
          <w:b w:val="false"/>
          <w:i w:val="false"/>
          <w:color w:val="000000"/>
          <w:sz w:val="22"/>
        </w:rPr>
        <w:t>Microfilm reproductions of general books of account, such as a cash book, journals, voucher registers, ledgers, etc., are not acceptable other than those that have been approved by the Internal Revenue Service under Revenue Procedure 76-43, Section 302. However, microfilm reproductions of supporting records of detail, such as sales invoices, purchase invoices, credit memoranda, etc., may be allowed providing all the following conditions are met and accepted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facilities are provided to ensure the preservation and readability of the films.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Microfilm rolls are indexed, cross-referenced, labeled to show beginning and ending numbers or beginning and ending alphabetical listing of documents included, and are systematically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taxpayer agrees to provide transcripts of any information contained on microfilm which may be required for purposes of verification of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 facilities are provided for the ready inspection and location of the particular records, including modern projectors for viewing and for the copying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audit of “detail” on microfilm may be subject to sample audit procedures, to be determined at the discretion of the director or the director’s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posting reference must be on each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Credit memoranda must carry a reference to the document evidencing the original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Documents necessary to support claimed exemptions from tax liability, such as bills of lading and purchase orders, must be maintained in an order by which they readily can be related to the transaction for which exemption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254.4(12)</w:t>
      </w:r>
      <w:r>
        <w:rPr>
          <w:rFonts w:ascii="Times New Roman" w:hAnsi="Times New Roman"/>
          <w:b w:val="false"/>
          <w:i w:val="false"/>
          <w:color w:val="000000"/>
          <w:sz w:val="22"/>
        </w:rPr>
        <w:t> </w:t>
      </w:r>
      <w:r>
        <w:rPr>
          <w:rFonts w:ascii="Times New Roman" w:hAnsi="Times New Roman"/>
          <w:b w:val="false"/>
          <w:i/>
          <w:color w:val="000000"/>
          <w:sz w:val="22"/>
        </w:rPr>
        <w:t xml:space="preserve">Automatic data processing records. </w:t>
      </w:r>
      <w:r>
        <w:rPr>
          <w:rFonts w:ascii="Times New Roman" w:hAnsi="Times New Roman"/>
          <w:b w:val="false"/>
          <w:i w:val="false"/>
          <w:color w:val="000000"/>
          <w:sz w:val="22"/>
        </w:rPr>
        <w:t>Automatic data processing is defined in this rule as including electronic data processing (EDP) and will be referred to as ADP.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ADP tax accounting system must have built into its program a method of producing visible and legible records which will provide the necessary information for verification of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ADP records must provide an opportunity to trace any transaction back to the original source or forwarded to a final total. If detail printouts are not made of transactions at the time they are processed, then the system must have the ability to reconstruct these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ledger with source references will be produced as hard copy to coincide with financial reports of tax reporting periods. In cases where subsidiary ledgers are used to support the general ledger accounts, the subsidiary ledgers should also be produced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Supporting documents and audit trail. The audit trail should be designed so that the details underlying the summary accounting data may be identified and made available to the director or the director’s designated representative upon request. The system should be so designed that the supporting documents, such as sales invoices, purchase invoices, credit memoranda, etc., are readily available. (An audit trail is defined as the condition of having sufficient documentary evidence to trace an item from source (invoice, check, etc.) to a financial statement or tax return; or the reverse; that is, to have an auditable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documentation. A description of the ADP portion of the accounting program should be available. The statements and illustrations as to the scope of operations should be sufficiently detailed to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employed in each application (which, for example, might be supported by flow charts, block diagrams or other satisfactory description of the input or output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controls used to ensure accurate and reliable processing. Program and systems changes, together with their effective dates should be noted in order to preserve an accurate chronological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of ADP output will be in appropriate facilities to ensure preservation and readability of output.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254.4(13)</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If a tax liability has been assessed and an appeal is pending to the department, district court or an appellate court, books, papers, records, memoranda or documents specified in this rule that relate to the period covered by the assessment shall be preserved until the final disposition of the appeal.</w:t>
      </w:r>
    </w:p>
    <w:p>
      <w:pPr>
        <w:spacing w:before="0" w:after="0"/>
        <w:ind w:left="120"/>
        <w:jc w:val="both"/>
      </w:pPr>
      <w:r>
        <w:rPr>
          <w:rFonts w:ascii="Times New Roman" w:hAnsi="Times New Roman"/>
          <w:b w:val="false"/>
          <w:i w:val="false"/>
          <w:color w:val="000000"/>
          <w:sz w:val="22"/>
        </w:rPr>
        <w:t>The records will be considered inadequate when the requirements of this rule are not met. The director may, by express order in certain cases, authorize permit holders to keep their records in a manner and upon forms other than those so prescribed (agreements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254.4(14)</w:t>
      </w:r>
      <w:r>
        <w:rPr>
          <w:rFonts w:ascii="Times New Roman" w:hAnsi="Times New Roman"/>
          <w:b w:val="false"/>
          <w:i w:val="false"/>
          <w:color w:val="000000"/>
          <w:sz w:val="22"/>
        </w:rPr>
        <w:t> </w:t>
      </w:r>
      <w:r>
        <w:rPr>
          <w:rFonts w:ascii="Times New Roman" w:hAnsi="Times New Roman"/>
          <w:b w:val="false"/>
          <w:i/>
          <w:color w:val="000000"/>
          <w:sz w:val="22"/>
        </w:rPr>
        <w:t xml:space="preserve">Other persons. </w:t>
      </w:r>
      <w:r>
        <w:rPr>
          <w:rFonts w:ascii="Times New Roman" w:hAnsi="Times New Roman"/>
          <w:b w:val="false"/>
          <w:i w:val="false"/>
          <w:color w:val="000000"/>
          <w:sz w:val="22"/>
        </w:rPr>
        <w:t>The director may require any person other than those previously listed in this rule to maintain books and records as deemed necessary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453A.45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Senate File 2296</w:t>
      </w:r>
      <w:r>
        <w:rPr>
          <w:rFonts w:ascii="Times New Roman" w:hAnsi="Times New Roman"/>
          <w:b w:val="false"/>
          <w:i w:val="false"/>
          <w:color w:val="000000"/>
          <w:sz w:val="22"/>
        </w:rPr>
        <w:t xml:space="preserve">, and Iowa Code sections </w:t>
      </w:r>
      <w:hyperlink r:id="rId25">
        <w:r>
          <w:rPr>
            <w:rStyle w:val="Hyperlink"/>
            <w:rFonts w:ascii="Times New Roman" w:hAnsi="Times New Roman"/>
            <w:b w:val="false"/>
            <w:i w:val="false"/>
            <w:color w:val="000000"/>
            <w:sz w:val="22"/>
          </w:rPr>
          <w:t>453A.18</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453A.19</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453A.24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701—254.5</w:t>
      </w:r>
      <w:r>
        <w:rPr>
          <w:rFonts w:ascii="Times New Roman" w:hAnsi="Times New Roman"/>
          <w:b/>
          <w:i w:val="false"/>
          <w:color w:val="000000"/>
          <w:sz w:val="22"/>
        </w:rPr>
        <w:t xml:space="preserve">(453A) </w:t>
      </w:r>
      <w:r>
        <w:rPr>
          <w:rFonts w:ascii="Times New Roman" w:hAnsi="Times New Roman"/>
          <w:b/>
          <w:i w:val="false"/>
          <w:color w:val="000000"/>
          <w:sz w:val="22"/>
        </w:rPr>
        <w:t xml:space="preserve">Form of invoice. </w:t>
      </w:r>
      <w:r>
        <w:rPr>
          <w:rFonts w:ascii="Times New Roman" w:hAnsi="Times New Roman"/>
          <w:b w:val="false"/>
          <w:i w:val="false"/>
          <w:color w:val="000000"/>
          <w:sz w:val="22"/>
        </w:rPr>
        <w:t xml:space="preserve">Whenever an invoice is required to be prepared or kept by Iowa Code chapter </w:t>
      </w:r>
      <w:hyperlink r:id="rId29">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these rules, it shall minimally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seller’s name,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purchaser’s name, address and permit number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of sale.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prices and discounts stated separately.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An indication as to whether cigarettes or tobacco products are being sold with or without tax stamps attached or tax included.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origination and destination points.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453A.25</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453A.45</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701—254.6</w:t>
      </w:r>
      <w:r>
        <w:rPr>
          <w:rFonts w:ascii="Times New Roman" w:hAnsi="Times New Roman"/>
          <w:b/>
          <w:i w:val="false"/>
          <w:color w:val="000000"/>
          <w:sz w:val="22"/>
        </w:rPr>
        <w:t xml:space="preserve">(453A) </w:t>
      </w:r>
      <w:r>
        <w:rPr>
          <w:rFonts w:ascii="Times New Roman" w:hAnsi="Times New Roman"/>
          <w:b/>
          <w:i w:val="false"/>
          <w:color w:val="000000"/>
          <w:sz w:val="22"/>
        </w:rPr>
        <w:t xml:space="preserve">Audit of records—cost, supplemental assessments and refund adjustments. </w:t>
      </w:r>
      <w:r>
        <w:rPr>
          <w:rFonts w:ascii="Times New Roman" w:hAnsi="Times New Roman"/>
          <w:b w:val="false"/>
          <w:i w:val="false"/>
          <w:color w:val="000000"/>
          <w:sz w:val="22"/>
        </w:rPr>
        <w:t xml:space="preserve">The department shall have the right and duty to examine or cause to be examined the books, records, memoranda or documents of a taxpayer for the purpose of verifying the correctness of a return or report filed or determining the tax liability of any taxpayer under Iowa Code chapter </w:t>
      </w:r>
      <w:hyperlink r:id="rId3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When it is determined, upon audit, that any person dealing in cigarettes owes additional tax, the costs of the audit are assessed against such person as additional penalty.</w:t>
      </w:r>
    </w:p>
    <w:p>
      <w:pPr>
        <w:spacing w:before="0" w:after="0"/>
        <w:ind w:left="120"/>
        <w:jc w:val="both"/>
      </w:pP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an assessment or refund adjustment is appealed (protested under rule </w:t>
      </w:r>
      <w:hyperlink r:id="rId35">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and is resolved whether by informal proceedings or by adjudication, the department and the taxpayer are precluded from making a supplemental assessment or refund adjustment concerning the same issue involved in such appeal for the same tax period unless there is a showing of mathematical or clerical error or a showing of fraud or misrepresentation.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453A.30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701—254.7</w:t>
      </w:r>
      <w:r>
        <w:rPr>
          <w:rFonts w:ascii="Times New Roman" w:hAnsi="Times New Roman"/>
          <w:b/>
          <w:i w:val="false"/>
          <w:color w:val="000000"/>
          <w:sz w:val="22"/>
        </w:rPr>
        <w:t xml:space="preserve">(453A) </w:t>
      </w:r>
      <w:r>
        <w:rPr>
          <w:rFonts w:ascii="Times New Roman" w:hAnsi="Times New Roman"/>
          <w:b/>
          <w:i w:val="false"/>
          <w:color w:val="000000"/>
          <w:sz w:val="22"/>
        </w:rPr>
        <w:t xml:space="preserve">Bonds. </w:t>
      </w:r>
      <w:r>
        <w:rPr>
          <w:rFonts w:ascii="Times New Roman" w:hAnsi="Times New Roman"/>
          <w:b w:val="false"/>
          <w:i w:val="false"/>
          <w:color w:val="000000"/>
          <w:sz w:val="22"/>
        </w:rPr>
        <w:t xml:space="preserve">When bonds are required by Iowa Code chapter </w:t>
      </w:r>
      <w:hyperlink r:id="rId37">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these rules, said bonds shall be in the form of cash, a certificate of deposit or a bond issued by a surety company licensed to do business in the state of Iowa, payable to the state of Iowa and in a form approved by the director. Bonds required by tobacco distributors must be issued by a surety company licensed to do business in Iowa. However, upon approval by the director, a cash bond or a certificate of deposit will be accepted by the department as a substitute for the surety bond. (See Iowa Code section </w:t>
      </w:r>
      <w:hyperlink r:id="rId38">
        <w:r>
          <w:rPr>
            <w:rStyle w:val="Hyperlink"/>
            <w:rFonts w:ascii="Times New Roman" w:hAnsi="Times New Roman"/>
            <w:b w:val="false"/>
            <w:i w:val="false"/>
            <w:color w:val="000000"/>
            <w:sz w:val="22"/>
          </w:rPr>
          <w:t>453A.44(4)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453A.14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701—254.8</w:t>
      </w:r>
      <w:r>
        <w:rPr>
          <w:rFonts w:ascii="Times New Roman" w:hAnsi="Times New Roman"/>
          <w:b w:val="false"/>
          <w:i w:val="false"/>
          <w:color w:val="000000"/>
          <w:sz w:val="22"/>
        </w:rPr>
        <w:t xml:space="preserve"> to </w:t>
      </w:r>
      <w:r>
        <w:rPr>
          <w:rFonts w:ascii="Times New Roman" w:hAnsi="Times New Roman"/>
          <w:b/>
          <w:i w:val="false"/>
          <w:color w:val="000000"/>
          <w:sz w:val="22"/>
        </w:rPr>
        <w:t>254.10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701—254.11</w:t>
      </w:r>
      <w:r>
        <w:rPr>
          <w:rFonts w:ascii="Times New Roman" w:hAnsi="Times New Roman"/>
          <w:b/>
          <w:i w:val="false"/>
          <w:color w:val="000000"/>
          <w:sz w:val="22"/>
        </w:rPr>
        <w:t xml:space="preserve">(453A) </w:t>
      </w:r>
      <w:r>
        <w:rPr>
          <w:rFonts w:ascii="Times New Roman" w:hAnsi="Times New Roman"/>
          <w:b/>
          <w:i w:val="false"/>
          <w:color w:val="000000"/>
          <w:sz w:val="22"/>
        </w:rPr>
        <w:t xml:space="preserve">Appeal—practice and procedure before the department.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7192C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12/13/23</w:t>
      </w:r>
      <w:r>
        <w:rPr>
          <w:rFonts w:ascii="Times New Roman" w:hAnsi="Times New Roman"/>
          <w:b w:val="false"/>
          <w:i w:val="false"/>
          <w:color w:val="000000"/>
          <w:sz w:val="22"/>
        </w:rPr>
        <w:t xml:space="preserve">, effective 1/17/24. </w:t>
      </w:r>
    </w:p>
    <w:p>
      <w:pPr>
        <w:spacing w:before="0" w:after="0"/>
        <w:ind w:left="120"/>
        <w:jc w:val="both"/>
      </w:pPr>
      <w:r>
        <w:rPr>
          <w:rFonts w:ascii="Times New Roman" w:hAnsi="Times New Roman"/>
          <w:b/>
          <w:i w:val="false"/>
          <w:color w:val="000000"/>
          <w:sz w:val="22"/>
        </w:rPr>
        <w:t>701—254.12</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Permit—license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254.12(1)</w:t>
      </w:r>
      <w:r>
        <w:rPr>
          <w:rFonts w:ascii="Times New Roman" w:hAnsi="Times New Roman"/>
          <w:b w:val="false"/>
          <w:i w:val="false"/>
          <w:color w:val="000000"/>
          <w:sz w:val="22"/>
        </w:rPr>
        <w:t> </w:t>
      </w:r>
      <w:r>
        <w:rPr>
          <w:rFonts w:ascii="Times New Roman" w:hAnsi="Times New Roman"/>
          <w:b w:val="false"/>
          <w:i/>
          <w:color w:val="000000"/>
          <w:sz w:val="22"/>
        </w:rPr>
        <w:t xml:space="preserve">Cigarette permits. </w:t>
      </w:r>
      <w:r>
        <w:rPr>
          <w:rFonts w:ascii="Times New Roman" w:hAnsi="Times New Roman"/>
          <w:b w:val="false"/>
          <w:i w:val="false"/>
          <w:color w:val="000000"/>
          <w:sz w:val="22"/>
        </w:rPr>
        <w:t xml:space="preserve">Cigarette permits issued by the department must be revoked if the permittee willfully violates the provisions of Iowa Code section </w:t>
      </w:r>
      <w:hyperlink r:id="rId41">
        <w:r>
          <w:rPr>
            <w:rStyle w:val="Hyperlink"/>
            <w:rFonts w:ascii="Times New Roman" w:hAnsi="Times New Roman"/>
            <w:b w:val="false"/>
            <w:i w:val="false"/>
            <w:color w:val="000000"/>
            <w:sz w:val="22"/>
          </w:rPr>
          <w:t>453A.2</w:t>
        </w:r>
      </w:hyperlink>
      <w:r>
        <w:rPr>
          <w:rFonts w:ascii="Times New Roman" w:hAnsi="Times New Roman"/>
          <w:b w:val="false"/>
          <w:i w:val="false"/>
          <w:color w:val="000000"/>
          <w:sz w:val="22"/>
        </w:rPr>
        <w:t xml:space="preserve"> (sale or gift to minors). The department may revoke permits issued by the department for violation of any other provision of division I of Iowa Code chapter </w:t>
      </w:r>
      <w:hyperlink r:id="rId4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the rules promulgated thereunder. (Also see Iowa Code chapter </w:t>
      </w:r>
      <w:hyperlink r:id="rId43">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and rule </w:t>
      </w:r>
      <w:hyperlink r:id="rId44">
        <w:r>
          <w:rPr>
            <w:rStyle w:val="Hyperlink"/>
            <w:rFonts w:ascii="Times New Roman" w:hAnsi="Times New Roman"/>
            <w:b w:val="false"/>
            <w:i w:val="false"/>
            <w:color w:val="000000"/>
            <w:sz w:val="22"/>
          </w:rPr>
          <w:t>701—257.7</w:t>
        </w:r>
      </w:hyperlink>
      <w:r>
        <w:rPr>
          <w:rFonts w:ascii="Times New Roman" w:hAnsi="Times New Roman"/>
          <w:b w:val="false"/>
          <w:i w:val="false"/>
          <w:color w:val="000000"/>
          <w:sz w:val="22"/>
        </w:rPr>
        <w:t xml:space="preserve">(421B).) The revocation shall be subject to the provisions of rules </w:t>
      </w:r>
      <w:hyperlink r:id="rId45">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 xml:space="preserve">(17A) and </w:t>
      </w:r>
      <w:hyperlink r:id="rId46">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The notice of revocation shall be given to the permittee at least ten days prior to the hearing provided therein. The department will revoke a permit of a permit holder, who is an individual, if the department has received a certificate of noncompliance from the child support unit in regard to the permit holder,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xml:space="preserve">If a retailer or employee of a retailer has violated Iowa Code section </w:t>
      </w:r>
      <w:hyperlink r:id="rId47">
        <w:r>
          <w:rPr>
            <w:rStyle w:val="Hyperlink"/>
            <w:rFonts w:ascii="Times New Roman" w:hAnsi="Times New Roman"/>
            <w:b w:val="false"/>
            <w:i w:val="false"/>
            <w:color w:val="000000"/>
            <w:sz w:val="22"/>
          </w:rPr>
          <w:t>453A.2</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453A.36(6)</w:t>
        </w:r>
      </w:hyperlink>
      <w:r>
        <w:rPr>
          <w:rFonts w:ascii="Times New Roman" w:hAnsi="Times New Roman"/>
          <w:b w:val="false"/>
          <w:i w:val="false"/>
          <w:color w:val="000000"/>
          <w:sz w:val="22"/>
        </w:rPr>
        <w:t xml:space="preserve">, the city council, county board of supervisors, or the Iowa department of public health shall assess a penalty as provided in Iowa Code section </w:t>
      </w:r>
      <w:hyperlink r:id="rId49">
        <w:r>
          <w:rPr>
            <w:rStyle w:val="Hyperlink"/>
            <w:rFonts w:ascii="Times New Roman" w:hAnsi="Times New Roman"/>
            <w:b w:val="false"/>
            <w:i w:val="false"/>
            <w:color w:val="000000"/>
            <w:sz w:val="22"/>
          </w:rPr>
          <w:t>453A.22(2)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chapter 26</w:t>
      </w:r>
      <w:r>
        <w:rPr>
          <w:rFonts w:ascii="Times New Roman" w:hAnsi="Times New Roman"/>
          <w:b w:val="false"/>
          <w:i w:val="false"/>
          <w:color w:val="000000"/>
          <w:sz w:val="22"/>
        </w:rPr>
        <w:t xml:space="preserve">. The penalty procedures are governed by Iowa Code section </w:t>
      </w:r>
      <w:hyperlink r:id="rId50">
        <w:r>
          <w:rPr>
            <w:rStyle w:val="Hyperlink"/>
            <w:rFonts w:ascii="Times New Roman" w:hAnsi="Times New Roman"/>
            <w:b w:val="false"/>
            <w:i w:val="false"/>
            <w:color w:val="000000"/>
            <w:sz w:val="22"/>
          </w:rPr>
          <w:t>453A.22(1)</w:t>
        </w:r>
      </w:hyperlink>
      <w:r>
        <w:rPr>
          <w:rFonts w:ascii="Times New Roman" w:hAnsi="Times New Roman"/>
          <w:b w:val="false"/>
          <w:i w:val="false"/>
          <w:color w:val="000000"/>
          <w:sz w:val="22"/>
        </w:rPr>
        <w:t xml:space="preserve"> and the individual council’s or board’s procedures. Iowa Code chapter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does not apply to boards of supervisors or city councils. (See rule </w:t>
      </w:r>
      <w:hyperlink r:id="rId52">
        <w:r>
          <w:rPr>
            <w:rStyle w:val="Hyperlink"/>
            <w:rFonts w:ascii="Times New Roman" w:hAnsi="Times New Roman"/>
            <w:b w:val="false"/>
            <w:i w:val="false"/>
            <w:color w:val="000000"/>
            <w:sz w:val="22"/>
          </w:rPr>
          <w:t>701—257.7</w:t>
        </w:r>
      </w:hyperlink>
      <w:r>
        <w:rPr>
          <w:rFonts w:ascii="Times New Roman" w:hAnsi="Times New Roman"/>
          <w:b w:val="false"/>
          <w:i w:val="false"/>
          <w:color w:val="000000"/>
          <w:sz w:val="22"/>
        </w:rPr>
        <w:t xml:space="preserve">(421B).) The board of supervisors or the city council that issued a retail permit is required by Iowa Code chapter </w:t>
      </w:r>
      <w:hyperlink r:id="rId5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to revoke the permit of any retailer who is an individual if the board or council has received a certificate of noncompliance from the child support recovery unit in regard to the retailer, unless the unit furnishes the board of supervisors or the city council with a withdrawal of the certificate of noncompliance.</w:t>
      </w:r>
    </w:p>
    <w:p>
      <w:pPr>
        <w:spacing w:before="0" w:after="0"/>
        <w:ind w:left="120"/>
        <w:jc w:val="both"/>
      </w:pPr>
      <w:r>
        <w:rPr>
          <w:rFonts w:ascii="Times New Roman" w:hAnsi="Times New Roman"/>
          <w:b w:val="false"/>
          <w:i w:val="false"/>
          <w:color w:val="000000"/>
          <w:sz w:val="22"/>
        </w:rPr>
        <w:t>If a permit is revoked under this subrule, except for the receipt of a certificate of noncompliance from the child support recovery unit, the permit holder cannot obtain a new cigarette permit of any kind nor may any other person obtain a permit for the location covered by the revoked permit for a period of one year unless good cause to the contrary is shown to the issuing authority. If a retail permit is suspended or revoked, the suspension or revocation applies only to the place of business where the violation occurred and not to any other place of business covered by the permit.</w:t>
      </w:r>
    </w:p>
    <w:p>
      <w:pPr>
        <w:spacing w:before="0" w:after="0"/>
        <w:ind w:left="120"/>
        <w:jc w:val="both"/>
      </w:pPr>
      <w:r>
        <w:rPr>
          <w:rFonts w:ascii="Times New Roman" w:hAnsi="Times New Roman"/>
          <w:b w:val="false"/>
          <w:i w:val="false"/>
          <w:color w:val="000000"/>
          <w:sz w:val="22"/>
        </w:rPr>
        <w:t>The department or local authority must report the suspension or revocation of a retail permit to the department of public health within 30 days of the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254.12(2)</w:t>
      </w:r>
      <w:r>
        <w:rPr>
          <w:rFonts w:ascii="Times New Roman" w:hAnsi="Times New Roman"/>
          <w:b w:val="false"/>
          <w:i w:val="false"/>
          <w:color w:val="000000"/>
          <w:sz w:val="22"/>
        </w:rPr>
        <w:t> </w:t>
      </w:r>
      <w:r>
        <w:rPr>
          <w:rFonts w:ascii="Times New Roman" w:hAnsi="Times New Roman"/>
          <w:b w:val="false"/>
          <w:i/>
          <w:color w:val="000000"/>
          <w:sz w:val="22"/>
        </w:rPr>
        <w:t xml:space="preserve">Tobacco licenses. </w:t>
      </w:r>
      <w:r>
        <w:rPr>
          <w:rFonts w:ascii="Times New Roman" w:hAnsi="Times New Roman"/>
          <w:b w:val="false"/>
          <w:i w:val="false"/>
          <w:color w:val="000000"/>
          <w:sz w:val="22"/>
        </w:rPr>
        <w:t xml:space="preserve">The director may revoke, cancel or suspend the license of any tobacco distributor or tobacco subjobber for violation of any provision in division II of Iowa Code chapter </w:t>
      </w:r>
      <w:hyperlink r:id="rId5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the rules promulgated thereunder, or any other statute applicable to the sale of tobacco products. The licensee shall be given ten days’ notice of a revocation hearing under Iowa Code section </w:t>
      </w:r>
      <w:hyperlink r:id="rId55">
        <w:r>
          <w:rPr>
            <w:rStyle w:val="Hyperlink"/>
            <w:rFonts w:ascii="Times New Roman" w:hAnsi="Times New Roman"/>
            <w:b w:val="false"/>
            <w:i w:val="false"/>
            <w:color w:val="000000"/>
            <w:sz w:val="22"/>
          </w:rPr>
          <w:t>453A.48(2)</w:t>
        </w:r>
      </w:hyperlink>
      <w:r>
        <w:rPr>
          <w:rFonts w:ascii="Times New Roman" w:hAnsi="Times New Roman"/>
          <w:b w:val="false"/>
          <w:i w:val="false"/>
          <w:color w:val="000000"/>
          <w:sz w:val="22"/>
        </w:rPr>
        <w:t xml:space="preserve"> and rules </w:t>
      </w:r>
      <w:hyperlink r:id="rId56">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 xml:space="preserve">(17A) and </w:t>
      </w:r>
      <w:hyperlink r:id="rId57">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 xml:space="preserve">(17A). No license may be issued to any person whose license has been revoked under Iowa Code section </w:t>
      </w:r>
      <w:hyperlink r:id="rId58">
        <w:r>
          <w:rPr>
            <w:rStyle w:val="Hyperlink"/>
            <w:rFonts w:ascii="Times New Roman" w:hAnsi="Times New Roman"/>
            <w:b w:val="false"/>
            <w:i w:val="false"/>
            <w:color w:val="000000"/>
            <w:sz w:val="22"/>
          </w:rPr>
          <w:t>453A.44(11)</w:t>
        </w:r>
      </w:hyperlink>
      <w:r>
        <w:rPr>
          <w:rFonts w:ascii="Times New Roman" w:hAnsi="Times New Roman"/>
          <w:b w:val="false"/>
          <w:i w:val="false"/>
          <w:color w:val="000000"/>
          <w:sz w:val="22"/>
        </w:rPr>
        <w:t xml:space="preserve"> for a period of one year. The department will revoke a license of a licensee, who is an individual, if the department has received a certificate of noncompliance from the child support recovery unit in regard to the licensee,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chapter 26</w:t>
      </w:r>
      <w:r>
        <w:rPr>
          <w:rFonts w:ascii="Times New Roman" w:hAnsi="Times New Roman"/>
          <w:b w:val="false"/>
          <w:i w:val="false"/>
          <w:color w:val="000000"/>
          <w:sz w:val="22"/>
        </w:rPr>
        <w:t xml:space="preserve">, and sections </w:t>
      </w:r>
      <w:hyperlink r:id="rId60">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453A.44(11)</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453A.48(2)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701—254.13</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 applications and denials.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254.13(1)</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permits. </w:t>
      </w:r>
      <w:r>
        <w:rPr>
          <w:rFonts w:ascii="Times New Roman" w:hAnsi="Times New Roman"/>
          <w:b w:val="false"/>
          <w:i w:val="false"/>
          <w:color w:val="000000"/>
          <w:sz w:val="22"/>
        </w:rPr>
        <w:t xml:space="preserve">The application forms for all permits issued under Iowa Code chapter </w:t>
      </w:r>
      <w:hyperlink r:id="rId63">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are available from the department upon request. The applications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applicant’s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permit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address of the principal office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place of business for which the permit is to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principal officers or members, not to exceed three, if the business is not a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persons who will be the applicant’s suppliers or customers or both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applicant intends to operate as a cigarette distributor, a certificate from a manufacturer of cigarettes indicating an intention to sell unstamped cigarettes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or not the applicant possesses any other permit issued under Iowa Code chapter </w:t>
      </w:r>
      <w:hyperlink r:id="rId6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making the application. For electronically transmitted applications, the application form shall state that, in lieu of the person’s handwritten signature, the person’s email address or the person’s fax signature will constitute a valid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254.13(2)</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for permit. </w:t>
      </w:r>
      <w:r>
        <w:rPr>
          <w:rFonts w:ascii="Times New Roman" w:hAnsi="Times New Roman"/>
          <w:b w:val="false"/>
          <w:i w:val="false"/>
          <w:color w:val="000000"/>
          <w:sz w:val="22"/>
        </w:rPr>
        <w:t xml:space="preserve">The department may deny a permit to any applicant who is, at the time of application, substantially delinquent in paying any tax due which is administered by the department or the interest or penalty on the tax. If the applicant is a partnership, a permit may be denied if a partner is substantially delinquent in paying any tax, penalty, or interest regardless of whether the tax is in any way a liability of or associated with the partnership. If an applicant for a permit is a corporation, the department may deny the applicant a permit if any officer, with a substantial legal or equitable interest in the ownership of the corporation, owes any delinquent tax, penalty, or interest of the applicant corporation. In this latter instance, the corporation must, initially, owe the delinquent tax, penalty, or interest, and the officer must be personally and secondarily liable for the tax. This is in contrast to the situation regarding a partnership. Rule </w:t>
      </w:r>
      <w:hyperlink r:id="rId65">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(423) contains characterizations of the terms “tax administered by the department” and “substantially delinquent” in paying a tax.</w:t>
      </w:r>
    </w:p>
    <w:p>
      <w:pPr>
        <w:spacing w:before="0" w:after="0"/>
        <w:ind w:left="120"/>
        <w:jc w:val="both"/>
      </w:pPr>
      <w:r>
        <w:rPr>
          <w:rFonts w:ascii="Times New Roman" w:hAnsi="Times New Roman"/>
          <w:b w:val="false"/>
          <w:i w:val="false"/>
          <w:color w:val="000000"/>
          <w:sz w:val="22"/>
        </w:rPr>
        <w:t>The director will deny a permit to any applicant, who is an individual, if the department has received a certificate of noncompliance from the child support recovery unit in regard to the individual,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254.13(3)</w:t>
      </w:r>
      <w:r>
        <w:rPr>
          <w:rFonts w:ascii="Times New Roman" w:hAnsi="Times New Roman"/>
          <w:b w:val="false"/>
          <w:i w:val="false"/>
          <w:color w:val="000000"/>
          <w:sz w:val="22"/>
        </w:rPr>
        <w:t> </w:t>
      </w:r>
      <w:r>
        <w:rPr>
          <w:rFonts w:ascii="Times New Roman" w:hAnsi="Times New Roman"/>
          <w:b w:val="false"/>
          <w:i/>
          <w:color w:val="000000"/>
          <w:sz w:val="22"/>
        </w:rPr>
        <w:t xml:space="preserve">Revocation of a permit. </w:t>
      </w:r>
      <w:r>
        <w:rPr>
          <w:rFonts w:ascii="Times New Roman" w:hAnsi="Times New Roman"/>
          <w:b w:val="false"/>
          <w:i w:val="false"/>
          <w:color w:val="000000"/>
          <w:sz w:val="22"/>
        </w:rPr>
        <w:t xml:space="preserve">The department may revoke the permit of any permit holder who becomes substantially delinquent in paying any tax which is administered by the department or the interest or penalty on the tax. If the permit holder is a corporation, the department may revoke the permit if any officer, with a substantial legal or equitable interest in the ownership of the corporation, owes any delinquent tax, penalty, or interest of the applicant corporation. In this latter instance, the corporation must, initially, owe the delinquent tax, penalty, or interest, and the officer must be personally and secondarily liable for the tax. If the permit holder is a partnership, a permit cannot be revoked for a partner’s substantial delinquency in paying any tax, penalty, or interest which is not a liability of the partnership. Rule </w:t>
      </w:r>
      <w:hyperlink r:id="rId66">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(423) contains characterizations of the terms “tax administered by the department” and “substantially delinquent” in paying a tax.</w:t>
      </w:r>
    </w:p>
    <w:p>
      <w:pPr>
        <w:spacing w:before="0" w:after="0"/>
        <w:ind w:left="120"/>
        <w:jc w:val="both"/>
      </w:pPr>
      <w:r>
        <w:rPr>
          <w:rFonts w:ascii="Times New Roman" w:hAnsi="Times New Roman"/>
          <w:b w:val="false"/>
          <w:i w:val="false"/>
          <w:color w:val="000000"/>
          <w:sz w:val="22"/>
        </w:rPr>
        <w:t>The department will revoke the permit of any permit holder, who is an individual, if the department has received a certificate of noncompliance from the child support recovery unit in regard to the individual,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254.13(4)</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retail cigarette permits. </w:t>
      </w:r>
      <w:r>
        <w:rPr>
          <w:rFonts w:ascii="Times New Roman" w:hAnsi="Times New Roman"/>
          <w:b w:val="false"/>
          <w:i w:val="false"/>
          <w:color w:val="000000"/>
          <w:sz w:val="22"/>
        </w:rPr>
        <w:t xml:space="preserve">Applications for retail cigarette permits are supplied by the department to city councils and county boards of supervisors. The application must be obtained from and filed with the individual council or board. The board of supervisors or the city council is required by </w:t>
      </w:r>
      <w:r>
        <w:rPr>
          <w:rFonts w:ascii="Times New Roman" w:hAnsi="Times New Roman"/>
          <w:b w:val="false"/>
          <w:i w:val="false"/>
          <w:color w:val="000000"/>
          <w:sz w:val="22"/>
        </w:rPr>
        <w:t>1995 Iowa Acts, chapter 115</w:t>
      </w:r>
      <w:r>
        <w:rPr>
          <w:rFonts w:ascii="Times New Roman" w:hAnsi="Times New Roman"/>
          <w:b w:val="false"/>
          <w:i w:val="false"/>
          <w:color w:val="000000"/>
          <w:sz w:val="22"/>
        </w:rPr>
        <w:t>, to deny a retail permit to any applicant, who is an individual, if the board or council has received a certificate of noncompliance from the child support recovery unit in regard to the individual, unless the unit furnishes the board of supervisors or city council with a withdrawal of the certificate of noncompliance.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453A.16</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453A.17</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453A.23</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1995 Iowa Acts, chapter 115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701—254.14</w:t>
      </w:r>
      <w:r>
        <w:rPr>
          <w:rFonts w:ascii="Times New Roman" w:hAnsi="Times New Roman"/>
          <w:b/>
          <w:i w:val="false"/>
          <w:color w:val="000000"/>
          <w:sz w:val="22"/>
        </w:rPr>
        <w:t xml:space="preserve">(453A) </w:t>
      </w:r>
      <w:r>
        <w:rPr>
          <w:rFonts w:ascii="Times New Roman" w:hAnsi="Times New Roman"/>
          <w:b/>
          <w:i w:val="false"/>
          <w:color w:val="000000"/>
          <w:sz w:val="22"/>
        </w:rPr>
        <w:t xml:space="preserve">Confidential information. </w:t>
      </w:r>
      <w:r>
        <w:rPr>
          <w:rFonts w:ascii="Times New Roman" w:hAnsi="Times New Roman"/>
          <w:b w:val="false"/>
          <w:i w:val="false"/>
          <w:color w:val="000000"/>
          <w:sz w:val="22"/>
        </w:rPr>
        <w:t xml:space="preserve">The release of information contained in any reports or returns filed under Iowa Code chapter </w:t>
      </w:r>
      <w:hyperlink r:id="rId73">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obtained by the department in the administration of Iowa Code chapter </w:t>
      </w:r>
      <w:hyperlink r:id="rId7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is governed by the general provisions of Iowa Code chapter </w:t>
      </w:r>
      <w:hyperlink r:id="rId7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since there are no specific provisions relating to confidential information contained in chapter </w:t>
      </w:r>
      <w:hyperlink r:id="rId7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Any requests for information must be made pursuant to rule </w:t>
      </w:r>
      <w:hyperlink r:id="rId77">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 xml:space="preserve">(17A,22,421,422). Also see rule </w:t>
      </w:r>
      <w:hyperlink r:id="rId78">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xml:space="preserve">Any request for information pertaining to a taxpayer’s business affairs, operations, source of income, profits, losses, or expenditures must be made in writing to the director. The taxpayer to whom the information relates will be notified of the request for information and will be allowed 30 days to substantiate any claim of confidentiality under Iowa Code chapter </w:t>
      </w:r>
      <w:hyperlink r:id="rId7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statute such as Iowa Code section </w:t>
      </w:r>
      <w:hyperlink r:id="rId80">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If substantiated, the request will be denied; otherwise, the information will be released to the requesting party. This rule will not prevent the exchange of information between state and federal agencies.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1">
        <w:r>
          <w:rPr>
            <w:rStyle w:val="Hyperlink"/>
            <w:rFonts w:ascii="Times New Roman" w:hAnsi="Times New Roman"/>
            <w:b w:val="false"/>
            <w:i w:val="false"/>
            <w:color w:val="000000"/>
            <w:sz w:val="22"/>
          </w:rPr>
          <w:t>453A.25</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701—254.15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701—254.16</w:t>
      </w:r>
      <w:r>
        <w:rPr>
          <w:rFonts w:ascii="Times New Roman" w:hAnsi="Times New Roman"/>
          <w:b/>
          <w:i w:val="false"/>
          <w:color w:val="000000"/>
          <w:sz w:val="22"/>
        </w:rPr>
        <w:t xml:space="preserve">(453A) </w:t>
      </w:r>
      <w:r>
        <w:rPr>
          <w:rFonts w:ascii="Times New Roman" w:hAnsi="Times New Roman"/>
          <w:b/>
          <w:i w:val="false"/>
          <w:color w:val="000000"/>
          <w:sz w:val="22"/>
        </w:rPr>
        <w:t xml:space="preserve">Inventory tax. </w:t>
      </w:r>
      <w:r>
        <w:rPr>
          <w:rFonts w:ascii="Times New Roman" w:hAnsi="Times New Roman"/>
          <w:b w:val="false"/>
          <w:i w:val="false"/>
          <w:color w:val="000000"/>
          <w:sz w:val="22"/>
        </w:rPr>
        <w:t xml:space="preserve">All persons required to obtain a permit under Iowa Code section </w:t>
      </w:r>
      <w:hyperlink r:id="rId83">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as distributors shall take an inventory of all cigarettes and little cigars in their possession prior to delivery for resale upon which the tax has been affixed and all unused cigarette tax stamps and unused metered imprints in their possession at the close of business on the day preceding the effective date of an increase in the tax rate.</w:t>
      </w:r>
    </w:p>
    <w:p>
      <w:pPr>
        <w:spacing w:before="0" w:after="0"/>
        <w:ind w:left="120"/>
        <w:jc w:val="both"/>
      </w:pPr>
      <w:r>
        <w:rPr>
          <w:rFonts w:ascii="Times New Roman" w:hAnsi="Times New Roman"/>
          <w:b w:val="false"/>
          <w:i w:val="false"/>
          <w:color w:val="000000"/>
          <w:sz w:val="22"/>
        </w:rPr>
        <w:t>Persons required to take an inventory shall remit the tax due on all cigarette stamps or metered imprints and all cigarettes and little cigars with revenue affixed in their possession prior to delivery for resale within 30 days of the inventory date. The tax is equal to the difference between the amount paid for cigarette stamps or metered imprints purchased prior to the tax increase and the amount that is to be paid for cigarette stamps or metered imprints purchased after the tax increase.</w:t>
      </w:r>
    </w:p>
    <w:p>
      <w:pPr>
        <w:spacing w:before="0" w:after="0"/>
        <w:ind w:left="120"/>
        <w:jc w:val="both"/>
      </w:pPr>
      <w:r>
        <w:rPr>
          <w:rFonts w:ascii="Times New Roman" w:hAnsi="Times New Roman"/>
          <w:b w:val="false"/>
          <w:i w:val="false"/>
          <w:color w:val="000000"/>
          <w:sz w:val="22"/>
        </w:rPr>
        <w:t xml:space="preserve">In computing the inventory tax, any discount allowed or allowable under Iowa Code section </w:t>
      </w:r>
      <w:hyperlink r:id="rId84">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 xml:space="preserve"> shall not be considered.</w:t>
      </w:r>
    </w:p>
    <w:p>
      <w:pPr>
        <w:spacing w:before="0" w:after="0"/>
        <w:ind w:left="120"/>
        <w:jc w:val="both"/>
      </w:pPr>
      <w:r>
        <w:rPr>
          <w:rFonts w:ascii="Times New Roman" w:hAnsi="Times New Roman"/>
          <w:b w:val="false"/>
          <w:i w:val="false"/>
          <w:color w:val="000000"/>
          <w:sz w:val="22"/>
        </w:rPr>
        <w:t xml:space="preserve">The inventory tax is applicable only when there is an increase in the tax rate. See rule </w:t>
      </w:r>
      <w:hyperlink r:id="rId85">
        <w:r>
          <w:rPr>
            <w:rStyle w:val="Hyperlink"/>
            <w:rFonts w:ascii="Times New Roman" w:hAnsi="Times New Roman"/>
            <w:b w:val="false"/>
            <w:i w:val="false"/>
            <w:color w:val="000000"/>
            <w:sz w:val="22"/>
          </w:rPr>
          <w:t>701—255.11</w:t>
        </w:r>
      </w:hyperlink>
      <w:r>
        <w:rPr>
          <w:rFonts w:ascii="Times New Roman" w:hAnsi="Times New Roman"/>
          <w:b w:val="false"/>
          <w:i w:val="false"/>
          <w:color w:val="000000"/>
          <w:sz w:val="22"/>
        </w:rPr>
        <w:t>(453A) for an explanation of whether a refund is allowable when there is a decrease in the tax 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6">
        <w:r>
          <w:rPr>
            <w:rStyle w:val="Hyperlink"/>
            <w:rFonts w:ascii="Times New Roman" w:hAnsi="Times New Roman"/>
            <w:b w:val="false"/>
            <w:i w:val="false"/>
            <w:color w:val="000000"/>
            <w:sz w:val="22"/>
          </w:rPr>
          <w:t>453A.6</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453A.40</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3/14/80, Notice 2/6/80—published 4/2/80, effective 5/7/80]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without Notice 6/5/81—published 6/24/81, effective 7/29/81]</w:t>
      </w:r>
    </w:p>
    <w:p>
      <w:pPr>
        <w:spacing w:before="0" w:after="0"/>
        <w:ind w:left="120"/>
        <w:jc w:val="center"/>
      </w:pPr>
      <w:r>
        <w:rPr>
          <w:rFonts w:ascii="Times New Roman" w:hAnsi="Times New Roman"/>
          <w:b w:val="false"/>
          <w:i w:val="false"/>
          <w:color w:val="000000"/>
          <w:sz w:val="21"/>
        </w:rPr>
        <w:t>[Filed 3/25/82, Notice 2/17/82—published 4/14/82, effective 5/19/82]</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11/19/82, Notice 10/13/82—published 12/8/82, effective 1/12/83]</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6/28/85, Notice 5/8/85—published 7/17/85, effective 8/21/85]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10/31/86, Notice 9/24/86—published 11/19/86, effective 12/24/86]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9/4/87, Notice 7/29/87—published 9/23/87, effective 10/28/87]</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10/20/95, Notice 9/13/95—published 11/8/95, effective 12/13/95]</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3/7/97, Notice 1/29/97—published 3/26/97, effective 4/30/97]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12/5/03, Notice 10/29/03—published 12/24/03, effective 1/28/04]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3A.pdf" Type="http://schemas.openxmlformats.org/officeDocument/2006/relationships/hyperlink" Id="rId5"/>
    <Relationship TargetMode="External" Target="https://www.legis.iowa.gov/docs/ico/chapter/453A.pdf" Type="http://schemas.openxmlformats.org/officeDocument/2006/relationships/hyperlink" Id="rId6"/>
    <Relationship TargetMode="External" Target="https://www.legis.iowa.gov/docs/ico/chapter/453A.pdf" Type="http://schemas.openxmlformats.org/officeDocument/2006/relationships/hyperlink" Id="rId7"/>
    <Relationship TargetMode="External" Target="https://www.legis.iowa.gov/docs/ico/chapter/453A.pdf" Type="http://schemas.openxmlformats.org/officeDocument/2006/relationships/hyperlink" Id="rId8"/>
    <Relationship TargetMode="External" Target="https://www.legis.iowa.gov/docs/ico/chapter/453A.42.pdf" Type="http://schemas.openxmlformats.org/officeDocument/2006/relationships/hyperlink" Id="rId9"/>
    <Relationship TargetMode="External" Target="https://www.legis.iowa.gov/docs/ico/chapter/453A.pdf" Type="http://schemas.openxmlformats.org/officeDocument/2006/relationships/hyperlink" Id="rId10"/>
    <Relationship TargetMode="External" Target="https://www.legis.iowa.gov/docs/ico/chapter/421B.2.pdf" Type="http://schemas.openxmlformats.org/officeDocument/2006/relationships/hyperlink" Id="rId11"/>
    <Relationship TargetMode="External" Target="https://www.legis.iowa.gov/docs/ico/chapter/453A.1.pdf" Type="http://schemas.openxmlformats.org/officeDocument/2006/relationships/hyperlink" Id="rId12"/>
    <Relationship TargetMode="External" Target="https://www.legis.iowa.gov/docs/ico/chapter/453A.42.pdf" Type="http://schemas.openxmlformats.org/officeDocument/2006/relationships/hyperlink" Id="rId13"/>
    <Relationship TargetMode="External" Target="https://www.legis.iowa.gov/docs/ico/chapter/453A.pdf" Type="http://schemas.openxmlformats.org/officeDocument/2006/relationships/hyperlink" Id="rId14"/>
    <Relationship TargetMode="External" Target="https://www.legis.iowa.gov/docs/ico/chapter/453A.25.pdf" Type="http://schemas.openxmlformats.org/officeDocument/2006/relationships/hyperlink" Id="rId15"/>
    <Relationship TargetMode="External" Target="https://www.legis.iowa.gov/docs/ico/chapter/453A.49.pdf" Type="http://schemas.openxmlformats.org/officeDocument/2006/relationships/hyperlink" Id="rId16"/>
    <Relationship TargetMode="External" Target="https://www.legis.iowa.gov/docs/ico/chapter/453A.15.pdf" Type="http://schemas.openxmlformats.org/officeDocument/2006/relationships/hyperlink" Id="rId17"/>
    <Relationship TargetMode="External" Target="https://www.legis.iowa.gov/docs/ico/chapter/453A.28.pdf" Type="http://schemas.openxmlformats.org/officeDocument/2006/relationships/hyperlink" Id="rId18"/>
    <Relationship TargetMode="External" Target="https://www.legis.iowa.gov/docs/ico/chapter/453A.46.pdf" Type="http://schemas.openxmlformats.org/officeDocument/2006/relationships/hyperlink" Id="rId19"/>
    <Relationship TargetMode="External" Target="https://www.legis.iowa.gov/docs/ico/chapter/453A.pdf" Type="http://schemas.openxmlformats.org/officeDocument/2006/relationships/hyperlink" Id="rId20"/>
    <Relationship TargetMode="External" Target="https://www.legis.iowa.gov/docs/iac/rule/701.11.4.pdf" Type="http://schemas.openxmlformats.org/officeDocument/2006/relationships/hyperlink" Id="rId21"/>
    <Relationship TargetMode="External" Target="https://www.legis.iowa.gov/docs/iac/rule/701.254.4.pdf" Type="http://schemas.openxmlformats.org/officeDocument/2006/relationships/hyperlink" Id="rId22"/>
    <Relationship TargetMode="External" Target="https://www.legis.iowa.gov/docs/ico/chapter/453A.15.pdf" Type="http://schemas.openxmlformats.org/officeDocument/2006/relationships/hyperlink" Id="rId23"/>
    <Relationship TargetMode="External" Target="https://www.legis.iowa.gov/docs/ico/chapter/453A.45.pdf" Type="http://schemas.openxmlformats.org/officeDocument/2006/relationships/hyperlink" Id="rId24"/>
    <Relationship TargetMode="External" Target="https://www.legis.iowa.gov/docs/ico/chapter/453A.18.pdf" Type="http://schemas.openxmlformats.org/officeDocument/2006/relationships/hyperlink" Id="rId25"/>
    <Relationship TargetMode="External" Target="https://www.legis.iowa.gov/docs/ico/chapter/453A.19.pdf" Type="http://schemas.openxmlformats.org/officeDocument/2006/relationships/hyperlink" Id="rId26"/>
    <Relationship TargetMode="External" Target="https://www.legis.iowa.gov/docs/ico/chapter/453A.24.pdf" Type="http://schemas.openxmlformats.org/officeDocument/2006/relationships/hyperlink" Id="rId27"/>
    <Relationship TargetMode="External" Target="https://www.legis.iowa.gov/docs/ico/chapter/453A.49.pdf" Type="http://schemas.openxmlformats.org/officeDocument/2006/relationships/hyperlink" Id="rId28"/>
    <Relationship TargetMode="External" Target="https://www.legis.iowa.gov/docs/ico/chapter/453A.pdf" Type="http://schemas.openxmlformats.org/officeDocument/2006/relationships/hyperlink" Id="rId29"/>
    <Relationship TargetMode="External" Target="https://www.legis.iowa.gov/docs/ico/chapter/453A.15.pdf" Type="http://schemas.openxmlformats.org/officeDocument/2006/relationships/hyperlink" Id="rId30"/>
    <Relationship TargetMode="External" Target="https://www.legis.iowa.gov/docs/ico/chapter/453A.25.pdf" Type="http://schemas.openxmlformats.org/officeDocument/2006/relationships/hyperlink" Id="rId31"/>
    <Relationship TargetMode="External" Target="https://www.legis.iowa.gov/docs/ico/chapter/453A.45.pdf" Type="http://schemas.openxmlformats.org/officeDocument/2006/relationships/hyperlink" Id="rId32"/>
    <Relationship TargetMode="External" Target="https://www.legis.iowa.gov/docs/ico/chapter/453A.49.pdf" Type="http://schemas.openxmlformats.org/officeDocument/2006/relationships/hyperlink" Id="rId33"/>
    <Relationship TargetMode="External" Target="https://www.legis.iowa.gov/docs/ico/chapter/453A.pdf" Type="http://schemas.openxmlformats.org/officeDocument/2006/relationships/hyperlink" Id="rId34"/>
    <Relationship TargetMode="External" Target="https://www.legis.iowa.gov/docs/iac/rule/701.7.9.pdf" Type="http://schemas.openxmlformats.org/officeDocument/2006/relationships/hyperlink" Id="rId35"/>
    <Relationship TargetMode="External" Target="https://www.legis.iowa.gov/docs/ico/chapter/453A.30.pdf" Type="http://schemas.openxmlformats.org/officeDocument/2006/relationships/hyperlink" Id="rId36"/>
    <Relationship TargetMode="External" Target="https://www.legis.iowa.gov/docs/ico/chapter/453A.pdf" Type="http://schemas.openxmlformats.org/officeDocument/2006/relationships/hyperlink" Id="rId37"/>
    <Relationship TargetMode="External" Target="https://www.legis.iowa.gov/docs/ico/chapter/453A.44.pdf" Type="http://schemas.openxmlformats.org/officeDocument/2006/relationships/hyperlink" Id="rId38"/>
    <Relationship TargetMode="External" Target="https://www.legis.iowa.gov/docs/ico/chapter/453A.14.pdf" Type="http://schemas.openxmlformats.org/officeDocument/2006/relationships/hyperlink" Id="rId39"/>
    <Relationship TargetMode="External" Target="https://www.legis.iowa.gov/docs/ico/chapter/453A.44.pdf" Type="http://schemas.openxmlformats.org/officeDocument/2006/relationships/hyperlink" Id="rId40"/>
    <Relationship TargetMode="External" Target="https://www.legis.iowa.gov/docs/ico/chapter/453A.2.pdf" Type="http://schemas.openxmlformats.org/officeDocument/2006/relationships/hyperlink" Id="rId41"/>
    <Relationship TargetMode="External" Target="https://www.legis.iowa.gov/docs/ico/chapter/453A.pdf" Type="http://schemas.openxmlformats.org/officeDocument/2006/relationships/hyperlink" Id="rId42"/>
    <Relationship TargetMode="External" Target="https://www.legis.iowa.gov/docs/ico/chapter/421B.pdf" Type="http://schemas.openxmlformats.org/officeDocument/2006/relationships/hyperlink" Id="rId43"/>
    <Relationship TargetMode="External" Target="https://www.legis.iowa.gov/docs/iac/rule/701.257.7.pdf" Type="http://schemas.openxmlformats.org/officeDocument/2006/relationships/hyperlink" Id="rId44"/>
    <Relationship TargetMode="External" Target="https://www.legis.iowa.gov/docs/iac/rule/701.7.39.pdf" Type="http://schemas.openxmlformats.org/officeDocument/2006/relationships/hyperlink" Id="rId45"/>
    <Relationship TargetMode="External" Target="https://www.legis.iowa.gov/docs/iac/rule/701.7.19.pdf" Type="http://schemas.openxmlformats.org/officeDocument/2006/relationships/hyperlink" Id="rId46"/>
    <Relationship TargetMode="External" Target="https://www.legis.iowa.gov/docs/ico/chapter/453A.2.pdf" Type="http://schemas.openxmlformats.org/officeDocument/2006/relationships/hyperlink" Id="rId47"/>
    <Relationship TargetMode="External" Target="https://www.legis.iowa.gov/docs/ico/chapter/453A.36.pdf" Type="http://schemas.openxmlformats.org/officeDocument/2006/relationships/hyperlink" Id="rId48"/>
    <Relationship TargetMode="External" Target="https://www.legis.iowa.gov/docs/ico/chapter/453A.22.pdf" Type="http://schemas.openxmlformats.org/officeDocument/2006/relationships/hyperlink" Id="rId49"/>
    <Relationship TargetMode="External" Target="https://www.legis.iowa.gov/docs/ico/chapter/453A.22.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ac/rule/701.257.7.pdf" Type="http://schemas.openxmlformats.org/officeDocument/2006/relationships/hyperlink" Id="rId52"/>
    <Relationship TargetMode="External" Target="https://www.legis.iowa.gov/docs/ico/chapter/252J.pdf" Type="http://schemas.openxmlformats.org/officeDocument/2006/relationships/hyperlink" Id="rId53"/>
    <Relationship TargetMode="External" Target="https://www.legis.iowa.gov/docs/ico/chapter/453A.pdf" Type="http://schemas.openxmlformats.org/officeDocument/2006/relationships/hyperlink" Id="rId54"/>
    <Relationship TargetMode="External" Target="https://www.legis.iowa.gov/docs/ico/chapter/453A.48.pdf" Type="http://schemas.openxmlformats.org/officeDocument/2006/relationships/hyperlink" Id="rId55"/>
    <Relationship TargetMode="External" Target="https://www.legis.iowa.gov/docs/iac/rule/701.7.39.pdf" Type="http://schemas.openxmlformats.org/officeDocument/2006/relationships/hyperlink" Id="rId56"/>
    <Relationship TargetMode="External" Target="https://www.legis.iowa.gov/docs/iac/rule/701.7.19.pdf" Type="http://schemas.openxmlformats.org/officeDocument/2006/relationships/hyperlink" Id="rId57"/>
    <Relationship TargetMode="External" Target="https://www.legis.iowa.gov/docs/ico/chapter/453A.44.pdf" Type="http://schemas.openxmlformats.org/officeDocument/2006/relationships/hyperlink" Id="rId58"/>
    <Relationship TargetMode="External" Target="https://www.legis.iowa.gov/docs/ico/chapter/453A.22.pdf" Type="http://schemas.openxmlformats.org/officeDocument/2006/relationships/hyperlink" Id="rId59"/>
    <Relationship TargetMode="External" Target="https://www.legis.iowa.gov/docs/ico/chapter/453A.13.pdf" Type="http://schemas.openxmlformats.org/officeDocument/2006/relationships/hyperlink" Id="rId60"/>
    <Relationship TargetMode="External" Target="https://www.legis.iowa.gov/docs/ico/chapter/453A.44.pdf" Type="http://schemas.openxmlformats.org/officeDocument/2006/relationships/hyperlink" Id="rId61"/>
    <Relationship TargetMode="External" Target="https://www.legis.iowa.gov/docs/ico/chapter/453A.48.pdf" Type="http://schemas.openxmlformats.org/officeDocument/2006/relationships/hyperlink" Id="rId62"/>
    <Relationship TargetMode="External" Target="https://www.legis.iowa.gov/docs/ico/chapter/453A.pdf" Type="http://schemas.openxmlformats.org/officeDocument/2006/relationships/hyperlink" Id="rId63"/>
    <Relationship TargetMode="External" Target="https://www.legis.iowa.gov/docs/ico/chapter/453A.pdf" Type="http://schemas.openxmlformats.org/officeDocument/2006/relationships/hyperlink" Id="rId64"/>
    <Relationship TargetMode="External" Target="https://www.legis.iowa.gov/docs/iac/rule/701.201.10.pdf" Type="http://schemas.openxmlformats.org/officeDocument/2006/relationships/hyperlink" Id="rId65"/>
    <Relationship TargetMode="External" Target="https://www.legis.iowa.gov/docs/iac/rule/701.201.10.pdf" Type="http://schemas.openxmlformats.org/officeDocument/2006/relationships/hyperlink" Id="rId66"/>
    <Relationship TargetMode="External" Target="https://www.legis.iowa.gov/docs/ico/chapter/453A.13.pdf" Type="http://schemas.openxmlformats.org/officeDocument/2006/relationships/hyperlink" Id="rId67"/>
    <Relationship TargetMode="External" Target="https://www.legis.iowa.gov/docs/ico/chapter/453A.16.pdf" Type="http://schemas.openxmlformats.org/officeDocument/2006/relationships/hyperlink" Id="rId68"/>
    <Relationship TargetMode="External" Target="https://www.legis.iowa.gov/docs/ico/chapter/453A.17.pdf" Type="http://schemas.openxmlformats.org/officeDocument/2006/relationships/hyperlink" Id="rId69"/>
    <Relationship TargetMode="External" Target="https://www.legis.iowa.gov/docs/ico/chapter/453A.22.pdf" Type="http://schemas.openxmlformats.org/officeDocument/2006/relationships/hyperlink" Id="rId70"/>
    <Relationship TargetMode="External" Target="https://www.legis.iowa.gov/docs/ico/chapter/453A.23.pdf" Type="http://schemas.openxmlformats.org/officeDocument/2006/relationships/hyperlink" Id="rId71"/>
    <Relationship TargetMode="External" Target="https://www.legis.iowa.gov/docs/ico/chapter/453A.44.pdf" Type="http://schemas.openxmlformats.org/officeDocument/2006/relationships/hyperlink" Id="rId72"/>
    <Relationship TargetMode="External" Target="https://www.legis.iowa.gov/docs/ico/chapter/453A.pdf" Type="http://schemas.openxmlformats.org/officeDocument/2006/relationships/hyperlink" Id="rId73"/>
    <Relationship TargetMode="External" Target="https://www.legis.iowa.gov/docs/ico/chapter/453A.pdf" Type="http://schemas.openxmlformats.org/officeDocument/2006/relationships/hyperlink" Id="rId74"/>
    <Relationship TargetMode="External" Target="https://www.legis.iowa.gov/docs/ico/chapter/22.pdf" Type="http://schemas.openxmlformats.org/officeDocument/2006/relationships/hyperlink" Id="rId75"/>
    <Relationship TargetMode="External" Target="https://www.legis.iowa.gov/docs/ico/chapter/453A.pdf" Type="http://schemas.openxmlformats.org/officeDocument/2006/relationships/hyperlink" Id="rId76"/>
    <Relationship TargetMode="External" Target="https://www.legis.iowa.gov/docs/iac/rule/701.5.3.pdf" Type="http://schemas.openxmlformats.org/officeDocument/2006/relationships/hyperlink" Id="rId77"/>
    <Relationship TargetMode="External" Target="https://www.legis.iowa.gov/docs/iac/rule/701.5.4.pdf" Type="http://schemas.openxmlformats.org/officeDocument/2006/relationships/hyperlink" Id="rId78"/>
    <Relationship TargetMode="External" Target="https://www.legis.iowa.gov/docs/ico/chapter/22.pdf" Type="http://schemas.openxmlformats.org/officeDocument/2006/relationships/hyperlink" Id="rId79"/>
    <Relationship TargetMode="External" Target="https://www.legis.iowa.gov/docs/ico/chapter/422.72.pdf" Type="http://schemas.openxmlformats.org/officeDocument/2006/relationships/hyperlink" Id="rId80"/>
    <Relationship TargetMode="External" Target="https://www.legis.iowa.gov/docs/ico/chapter/453A.25.pdf" Type="http://schemas.openxmlformats.org/officeDocument/2006/relationships/hyperlink" Id="rId81"/>
    <Relationship TargetMode="External" Target="https://www.legis.iowa.gov/docs/ico/chapter/453A.49.pdf" Type="http://schemas.openxmlformats.org/officeDocument/2006/relationships/hyperlink" Id="rId82"/>
    <Relationship TargetMode="External" Target="https://www.legis.iowa.gov/docs/ico/chapter/453A.13.pdf" Type="http://schemas.openxmlformats.org/officeDocument/2006/relationships/hyperlink" Id="rId83"/>
    <Relationship TargetMode="External" Target="https://www.legis.iowa.gov/docs/ico/chapter/453A.8.pdf" Type="http://schemas.openxmlformats.org/officeDocument/2006/relationships/hyperlink" Id="rId84"/>
    <Relationship TargetMode="External" Target="https://www.legis.iowa.gov/docs/iac/rule/701.255.11.pdf" Type="http://schemas.openxmlformats.org/officeDocument/2006/relationships/hyperlink" Id="rId85"/>
    <Relationship TargetMode="External" Target="https://www.legis.iowa.gov/docs/ico/chapter/453A.6.pdf" Type="http://schemas.openxmlformats.org/officeDocument/2006/relationships/hyperlink" Id="rId86"/>
    <Relationship TargetMode="External" Target="https://www.legis.iowa.gov/docs/ico/chapter/453A.40.pdf" Type="http://schemas.openxmlformats.org/officeDocument/2006/relationships/hyperlink" Id="rId87"/>
    <Relationship TargetMode="External" Target="https://www.legis.iowa.gov/docs/ico/chapter/453A.43.pdf" Type="http://schemas.openxmlformats.org/officeDocument/2006/relationships/hyperlink" Id="rId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