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252</w:t>
      </w:r>
    </w:p>
    <w:p>
      <w:pPr>
        <w:spacing w:before="0" w:after="0"/>
        <w:ind w:left="120"/>
        <w:jc w:val="center"/>
      </w:pPr>
      <w:r>
        <w:rPr>
          <w:rFonts w:ascii="Times New Roman" w:hAnsi="Times New Roman"/>
          <w:b w:val="false"/>
          <w:i w:val="false"/>
          <w:color w:val="000000"/>
          <w:sz w:val="21"/>
        </w:rPr>
        <w:t>STATE-IMPOSED WATER SERVICE EXCISE TAX</w:t>
      </w:r>
    </w:p>
    <w:p>
      <w:pPr>
        <w:spacing w:before="0" w:after="0"/>
        <w:ind w:left="120"/>
        <w:jc w:val="center"/>
      </w:pPr>
      <w:r>
        <w:rPr>
          <w:rFonts w:ascii="Times New Roman" w:hAnsi="Times New Roman"/>
          <w:b w:val="false"/>
          <w:i w:val="false"/>
          <w:color w:val="000000"/>
          <w:sz w:val="14"/>
        </w:rPr>
        <w:t>[Prior to 9/7/22, see Revenue Department[701] Ch 97]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701—252.1</w:t>
      </w:r>
      <w:r>
        <w:rPr>
          <w:rFonts w:ascii="Times New Roman" w:hAnsi="Times New Roman"/>
          <w:b/>
          <w:i w:val="false"/>
          <w:color w:val="000000"/>
          <w:sz w:val="22"/>
        </w:rPr>
        <w:t xml:space="preserve">(423G)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color w:val="000000"/>
          <w:sz w:val="22"/>
        </w:rPr>
        <w:t xml:space="preserve">Incorporation of definitions. </w:t>
      </w:r>
      <w:r>
        <w:rPr>
          <w:rFonts w:ascii="Times New Roman" w:hAnsi="Times New Roman"/>
          <w:b w:val="false"/>
          <w:i w:val="false"/>
          <w:color w:val="000000"/>
          <w:sz w:val="22"/>
        </w:rPr>
        <w:t xml:space="preserve">To the extent they are consistent with Iowa Code chapter </w:t>
      </w:r>
      <w:hyperlink r:id="rId5">
        <w:r>
          <w:rPr>
            <w:rStyle w:val="Hyperlink"/>
            <w:rFonts w:ascii="Times New Roman" w:hAnsi="Times New Roman"/>
            <w:b w:val="false"/>
            <w:i w:val="false"/>
            <w:color w:val="000000"/>
            <w:sz w:val="22"/>
          </w:rPr>
          <w:t>423G</w:t>
        </w:r>
      </w:hyperlink>
      <w:r>
        <w:rPr>
          <w:rFonts w:ascii="Times New Roman" w:hAnsi="Times New Roman"/>
          <w:b w:val="false"/>
          <w:i w:val="false"/>
          <w:color w:val="000000"/>
          <w:sz w:val="22"/>
        </w:rPr>
        <w:t xml:space="preserve">, all words and phrases used in this chapter shall mean the same as defined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 xml:space="preserve">(423).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color w:val="000000"/>
          <w:sz w:val="22"/>
        </w:rPr>
        <w:t xml:space="preserve">Chapter-specific definitions. </w:t>
      </w:r>
      <w:r>
        <w:rPr>
          <w:rFonts w:ascii="Times New Roman" w:hAnsi="Times New Roman"/>
          <w:b w:val="false"/>
          <w:i w:val="false"/>
          <w:color w:val="000000"/>
          <w:sz w:val="22"/>
        </w:rPr>
        <w:t>For the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means any storage tanks, water towers, wells, plants, reservoirs, aqueducts, hydrants, pumps, pipes, or any other similar devices, mechanisms, equipment, or amenities designed to hold, treat, sanitize, or deliver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“State-imposed tax”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“tax,” </w:t>
      </w:r>
      <w:r>
        <w:rPr>
          <w:rFonts w:ascii="Times New Roman" w:hAnsi="Times New Roman"/>
          <w:b w:val="false"/>
          <w:i w:val="false"/>
          <w:color w:val="000000"/>
          <w:sz w:val="22"/>
        </w:rPr>
        <w:t xml:space="preserve">unless otherwise indicated, means the water service excise tax imposed by Iowa Code section </w:t>
      </w:r>
      <w:hyperlink r:id="rId8">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utility”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423.3(103)</w:t>
        </w:r>
      </w:hyperlink>
      <w:r>
        <w:rPr>
          <w:rFonts w:ascii="Times New Roman" w:hAnsi="Times New Roman"/>
          <w:b w:val="false"/>
          <w:i w:val="false"/>
          <w:color w:val="000000"/>
          <w:sz w:val="22"/>
        </w:rPr>
        <w:t xml:space="preserve">. “Corporation” as used in Iowa Code section </w:t>
      </w:r>
      <w:hyperlink r:id="rId10">
        <w:r>
          <w:rPr>
            <w:rStyle w:val="Hyperlink"/>
            <w:rFonts w:ascii="Times New Roman" w:hAnsi="Times New Roman"/>
            <w:b w:val="false"/>
            <w:i w:val="false"/>
            <w:color w:val="000000"/>
            <w:sz w:val="22"/>
          </w:rPr>
          <w:t>476.1(3)</w:t>
        </w:r>
      </w:hyperlink>
      <w:r>
        <w:rPr>
          <w:rFonts w:ascii="Times New Roman" w:hAnsi="Times New Roman"/>
          <w:b w:val="false"/>
          <w:i w:val="false"/>
          <w:color w:val="000000"/>
          <w:sz w:val="22"/>
        </w:rPr>
        <w:t xml:space="preserve"> and as incorporated by Iowa Code section </w:t>
      </w:r>
      <w:hyperlink r:id="rId11">
        <w:r>
          <w:rPr>
            <w:rStyle w:val="Hyperlink"/>
            <w:rFonts w:ascii="Times New Roman" w:hAnsi="Times New Roman"/>
            <w:b w:val="false"/>
            <w:i w:val="false"/>
            <w:color w:val="000000"/>
            <w:sz w:val="22"/>
          </w:rPr>
          <w:t>423.3(103)</w:t>
        </w:r>
      </w:hyperlink>
      <w:r>
        <w:rPr>
          <w:rFonts w:ascii="Times New Roman" w:hAnsi="Times New Roman"/>
          <w:b w:val="false"/>
          <w:i w:val="false"/>
          <w:color w:val="000000"/>
          <w:sz w:val="22"/>
        </w:rPr>
        <w:t>, includes municipal corporations. See 1968 Iowa Op.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Atty. Gen.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1-21, 1968 WL 172465.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423G.2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701—252.2</w:t>
      </w:r>
      <w:r>
        <w:rPr>
          <w:rFonts w:ascii="Times New Roman" w:hAnsi="Times New Roman"/>
          <w:b/>
          <w:i w:val="false"/>
          <w:color w:val="000000"/>
          <w:sz w:val="22"/>
        </w:rPr>
        <w:t xml:space="preserve">(423G) </w:t>
      </w:r>
      <w:r>
        <w:rPr>
          <w:rFonts w:ascii="Times New Roman" w:hAnsi="Times New Roman"/>
          <w:b/>
          <w:i w:val="false"/>
          <w:color w:val="000000"/>
          <w:sz w:val="22"/>
        </w:rPr>
        <w:t xml:space="preserve">Imposition. </w:t>
      </w:r>
      <w:r>
        <w:rPr>
          <w:rFonts w:ascii="Times New Roman" w:hAnsi="Times New Roman"/>
          <w:b w:val="false"/>
          <w:i w:val="false"/>
          <w:color w:val="000000"/>
          <w:sz w:val="22"/>
        </w:rPr>
        <w:t>A state-imposed tax of 6 percent is imposed upon the sales price of water service furnished by a water utility to a purchaser.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701—252.3</w:t>
      </w:r>
      <w:r>
        <w:rPr>
          <w:rFonts w:ascii="Times New Roman" w:hAnsi="Times New Roman"/>
          <w:b/>
          <w:i w:val="false"/>
          <w:color w:val="000000"/>
          <w:sz w:val="22"/>
        </w:rPr>
        <w:t xml:space="preserve">(423G)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department is charged with the administration of the tax, subject to the rules, regulations, and direction of the director. The department is required to administer the tax as nearly as possible in conjunction with the administration of the state sales tax except that portion of the Iowa Code which implements the streamlined sales and use tax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11. </w:t>
      </w:r>
      <w:r>
        <w:rPr>
          <w:rFonts w:ascii="Times New Roman" w:hAnsi="Times New Roman"/>
          <w:b w:val="false"/>
          <w:i w:val="false"/>
          <w:color w:val="000000"/>
          <w:sz w:val="22"/>
        </w:rPr>
        <w:t>The requirements of 701—Chapter 11 shall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423.3(103)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701—252.4</w:t>
      </w:r>
      <w:r>
        <w:rPr>
          <w:rFonts w:ascii="Times New Roman" w:hAnsi="Times New Roman"/>
          <w:b/>
          <w:i w:val="false"/>
          <w:color w:val="000000"/>
          <w:sz w:val="22"/>
        </w:rPr>
        <w:t xml:space="preserve">(423G) </w:t>
      </w:r>
      <w:r>
        <w:rPr>
          <w:rFonts w:ascii="Times New Roman" w:hAnsi="Times New Roman"/>
          <w:b/>
          <w:i w:val="false"/>
          <w:color w:val="000000"/>
          <w:sz w:val="22"/>
        </w:rPr>
        <w:t xml:space="preserve">Charges and fees included in the provision of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252.4(1)</w:t>
      </w:r>
      <w:r>
        <w:rPr>
          <w:rFonts w:ascii="Times New Roman" w:hAnsi="Times New Roman"/>
          <w:b w:val="false"/>
          <w:i w:val="false"/>
          <w:color w:val="000000"/>
          <w:sz w:val="22"/>
        </w:rPr>
        <w:t> </w:t>
      </w:r>
      <w:r>
        <w:rPr>
          <w:rFonts w:ascii="Times New Roman" w:hAnsi="Times New Roman"/>
          <w:b w:val="false"/>
          <w:i/>
          <w:color w:val="000000"/>
          <w:sz w:val="22"/>
        </w:rPr>
        <w:t xml:space="preserve">Sales integral to the ability to furnish water service. </w:t>
      </w:r>
      <w:r>
        <w:rPr>
          <w:rFonts w:ascii="Times New Roman" w:hAnsi="Times New Roman"/>
          <w:b w:val="false"/>
          <w:i w:val="false"/>
          <w:color w:val="000000"/>
          <w:sz w:val="22"/>
        </w:rPr>
        <w:t>The water service excise tax applies to the sale of water by piped distribution to consumers or users, including sales of accompanying services that are integral to furnishing water by piped distribution, even if the water service and accompanying services are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252.4(2)</w:t>
      </w:r>
      <w:r>
        <w:rPr>
          <w:rFonts w:ascii="Times New Roman" w:hAnsi="Times New Roman"/>
          <w:b w:val="false"/>
          <w:i w:val="false"/>
          <w:color w:val="000000"/>
          <w:sz w:val="22"/>
        </w:rPr>
        <w:t> </w:t>
      </w:r>
      <w:r>
        <w:rPr>
          <w:rFonts w:ascii="Times New Roman" w:hAnsi="Times New Roman"/>
          <w:b w:val="false"/>
          <w:i/>
          <w:color w:val="000000"/>
          <w:sz w:val="22"/>
        </w:rPr>
        <w:t xml:space="preserve">Examples of sales integral to the provision of water service. </w:t>
      </w:r>
      <w:r>
        <w:rPr>
          <w:rFonts w:ascii="Times New Roman" w:hAnsi="Times New Roman"/>
          <w:b w:val="false"/>
          <w:i w:val="false"/>
          <w:color w:val="000000"/>
          <w:sz w:val="22"/>
        </w:rPr>
        <w:t>Sales of services to customers or users that are considered integral to the furnishing of water by piped distribution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nonitemized tangible personal property included with the sale of water service or an accompanying service that is integral to the provision of water service. See subparagraph </w:t>
      </w:r>
      <w:hyperlink r:id="rId18">
        <w:r>
          <w:rPr>
            <w:rStyle w:val="Hyperlink"/>
            <w:rFonts w:ascii="Times New Roman" w:hAnsi="Times New Roman"/>
            <w:b w:val="false"/>
            <w:i w:val="false"/>
            <w:color w:val="000000"/>
            <w:sz w:val="22"/>
          </w:rPr>
          <w:t>252.4(4)</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sales price of water sold, regardless of whether the water is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account, or administrative charges or fees for water service, including but not limited to new customer account charges and minimum charges for access to water service, whether the customer uses the water service or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for connection, disconnection, or reconnection to or from a water utility’s facilities, including tap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maintenance, inspection, and repairs of the water distribution system, water supplies, and facilities, including but not limited to fees for labor 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Fees for using or checking water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Water distribution system infrastructure and improvement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252.4(3)</w:t>
      </w:r>
      <w:r>
        <w:rPr>
          <w:rFonts w:ascii="Times New Roman" w:hAnsi="Times New Roman"/>
          <w:b w:val="false"/>
          <w:i w:val="false"/>
          <w:color w:val="000000"/>
          <w:sz w:val="22"/>
        </w:rPr>
        <w:t> </w:t>
      </w:r>
      <w:r>
        <w:rPr>
          <w:rFonts w:ascii="Times New Roman" w:hAnsi="Times New Roman"/>
          <w:b w:val="false"/>
          <w:i/>
          <w:color w:val="000000"/>
          <w:sz w:val="22"/>
        </w:rPr>
        <w:t xml:space="preserve">Examples of sales that are not water service or are not integral to the provision of water service. </w:t>
      </w:r>
      <w:r>
        <w:rPr>
          <w:rFonts w:ascii="Times New Roman" w:hAnsi="Times New Roman"/>
          <w:b w:val="false"/>
          <w:i w:val="false"/>
          <w:color w:val="000000"/>
          <w:sz w:val="22"/>
        </w:rPr>
        <w:t>Sales of services that are not integral to the furnishing of water by piped distribution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service contracts regulated under Iowa Code chapter </w:t>
      </w:r>
      <w:hyperlink r:id="rId19">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or rentals of tangible personal property, other than water, sold for a separately itemized price. See subparagraph </w:t>
      </w:r>
      <w:hyperlink r:id="rId20">
        <w:r>
          <w:rPr>
            <w:rStyle w:val="Hyperlink"/>
            <w:rFonts w:ascii="Times New Roman" w:hAnsi="Times New Roman"/>
            <w:b w:val="false"/>
            <w:i w:val="false"/>
            <w:color w:val="000000"/>
            <w:sz w:val="22"/>
          </w:rPr>
          <w:t>252.4(4)</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Deposits, including but not limited to check and meter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printed bills, statements, labels, and other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Fees for late charges and nonpayment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Leak detection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252.4(4)</w:t>
      </w:r>
      <w:r>
        <w:rPr>
          <w:rFonts w:ascii="Times New Roman" w:hAnsi="Times New Roman"/>
          <w:b w:val="false"/>
          <w:i w:val="false"/>
          <w:color w:val="000000"/>
          <w:sz w:val="22"/>
        </w:rPr>
        <w:t> </w:t>
      </w:r>
      <w:r>
        <w:rPr>
          <w:rFonts w:ascii="Times New Roman" w:hAnsi="Times New Roman"/>
          <w:b w:val="false"/>
          <w:i/>
          <w:color w:val="000000"/>
          <w:sz w:val="22"/>
        </w:rPr>
        <w:t xml:space="preserve">Sales generally not subject to water service excise tax. </w:t>
      </w:r>
      <w:r>
        <w:rPr>
          <w:rFonts w:ascii="Times New Roman" w:hAnsi="Times New Roman"/>
          <w:b w:val="false"/>
          <w:i w:val="false"/>
          <w:color w:val="000000"/>
          <w:sz w:val="22"/>
        </w:rPr>
        <w:t xml:space="preserve">Water utilities may make sales that may or may not be integral to the sale of water service but that are not subject to water service excise tax because those nonintegral sales are subject to sales tax under Iowa Code section </w:t>
      </w:r>
      <w:hyperlink r:id="rId21">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as the sale of tangible personal property or as enumerated non-water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of tangible personal property. </w:t>
      </w:r>
      <w:r>
        <w:rPr>
          <w:rFonts w:ascii="Times New Roman" w:hAnsi="Times New Roman"/>
          <w:b w:val="false"/>
          <w:i w:val="false"/>
          <w:color w:val="000000"/>
          <w:sz w:val="22"/>
        </w:rPr>
        <w:t>Whether the sale of tangible personal property that is integral to water service is subject to the water service excise tax depends on whether the tangible personal property is sold to the consumer or user for a separately itemized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Itemized tangible personal property. Sales or rentals of tangible personal property by a water utility for a separately itemized price are not subject to the water service excise tax but may be subject to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Nonitemized tangible personal property. If the sale of tangible personal property is not itemized but is instead bundled with the sale of water service, including sales of services listed in subrule </w:t>
      </w:r>
      <w:hyperlink r:id="rId22">
        <w:r>
          <w:rPr>
            <w:rStyle w:val="Hyperlink"/>
            <w:rFonts w:ascii="Times New Roman" w:hAnsi="Times New Roman"/>
            <w:b w:val="false"/>
            <w:i w:val="false"/>
            <w:color w:val="000000"/>
            <w:sz w:val="22"/>
          </w:rPr>
          <w:t>252.4(2)</w:t>
        </w:r>
      </w:hyperlink>
      <w:r>
        <w:rPr>
          <w:rFonts w:ascii="Times New Roman" w:hAnsi="Times New Roman"/>
          <w:b w:val="false"/>
          <w:i w:val="false"/>
          <w:color w:val="000000"/>
          <w:sz w:val="22"/>
        </w:rPr>
        <w:t>, then the entire sales price is subject to the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Painting of hydrants. </w:t>
      </w:r>
      <w:r>
        <w:rPr>
          <w:rFonts w:ascii="Times New Roman" w:hAnsi="Times New Roman"/>
          <w:b w:val="false"/>
          <w:i w:val="false"/>
          <w:color w:val="000000"/>
          <w:sz w:val="22"/>
        </w:rPr>
        <w:t xml:space="preserve">The painting of hydrants constitutes painting services under Iowa Code section </w:t>
      </w:r>
      <w:hyperlink r:id="rId23">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“aj.”</w:t>
      </w:r>
      <w:r>
        <w:rPr>
          <w:rFonts w:ascii="Times New Roman" w:hAnsi="Times New Roman"/>
          <w:b w:val="false"/>
          <w:i w:val="false"/>
          <w:color w:val="000000"/>
          <w:sz w:val="22"/>
        </w:rPr>
        <w:t xml:space="preserve"> Painting is subject to sales tax and is not subject to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Plumbing and pipefitting. </w:t>
      </w:r>
      <w:r>
        <w:rPr>
          <w:rFonts w:ascii="Times New Roman" w:hAnsi="Times New Roman"/>
          <w:b w:val="false"/>
          <w:i w:val="false"/>
          <w:color w:val="000000"/>
          <w:sz w:val="22"/>
        </w:rPr>
        <w:t xml:space="preserve">Some repairs of a water distribution system may constitute plumbing and pipefitting under Iowa Code section </w:t>
      </w:r>
      <w:hyperlink r:id="rId24">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“an.”</w:t>
      </w:r>
      <w:r>
        <w:rPr>
          <w:rFonts w:ascii="Times New Roman" w:hAnsi="Times New Roman"/>
          <w:b w:val="false"/>
          <w:i w:val="false"/>
          <w:color w:val="000000"/>
          <w:sz w:val="22"/>
        </w:rPr>
        <w:t xml:space="preserve"> Plumbing and pipefitting services are subject to sales tax and are not subject to water service excise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The exemptions from sales tax under Iowa Code section </w:t>
      </w:r>
      <w:hyperlink r:id="rId25">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also apply to sales subject to water service excise tax. For example, a water utility that purchases water service from a different water utility may be eligible to claim the sale for resale exemption pursuant to Iowa Code section </w:t>
      </w:r>
      <w:hyperlink r:id="rId26">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423G.4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701—252.5</w:t>
      </w:r>
      <w:r>
        <w:rPr>
          <w:rFonts w:ascii="Times New Roman" w:hAnsi="Times New Roman"/>
          <w:b/>
          <w:i w:val="false"/>
          <w:color w:val="000000"/>
          <w:sz w:val="22"/>
        </w:rPr>
        <w:t xml:space="preserve">(423G) </w:t>
      </w:r>
      <w:r>
        <w:rPr>
          <w:rFonts w:ascii="Times New Roman" w:hAnsi="Times New Roman"/>
          <w:b/>
          <w:i w:val="false"/>
          <w:color w:val="000000"/>
          <w:sz w:val="22"/>
        </w:rPr>
        <w:t xml:space="preserve">When water service is furnished for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252.5(1)</w:t>
      </w:r>
      <w:r>
        <w:rPr>
          <w:rFonts w:ascii="Times New Roman" w:hAnsi="Times New Roman"/>
          <w:b w:val="false"/>
          <w:i w:val="false"/>
          <w:color w:val="000000"/>
          <w:sz w:val="22"/>
        </w:rPr>
        <w:t> </w:t>
      </w:r>
      <w:r>
        <w:rPr>
          <w:rFonts w:ascii="Times New Roman" w:hAnsi="Times New Roman"/>
          <w:b w:val="false"/>
          <w:i/>
          <w:color w:val="000000"/>
          <w:sz w:val="22"/>
        </w:rPr>
        <w:t xml:space="preserve">Itemized sales of water service. </w:t>
      </w:r>
      <w:r>
        <w:rPr>
          <w:rFonts w:ascii="Times New Roman" w:hAnsi="Times New Roman"/>
          <w:b w:val="false"/>
          <w:i w:val="false"/>
          <w:color w:val="000000"/>
          <w:sz w:val="22"/>
        </w:rPr>
        <w:t>Water service is furnished for compensation when water service is sold for a separately itemized price.</w:t>
      </w:r>
    </w:p>
    <w:p>
      <w:pPr>
        <w:spacing w:before="0" w:after="0"/>
        <w:ind w:left="120"/>
        <w:jc w:val="both"/>
      </w:pPr>
      <w:r>
        <w:rPr>
          <w:rFonts w:ascii="Times New Roman" w:hAnsi="Times New Roman"/>
          <w:b w:val="false"/>
          <w:i w:val="false"/>
          <w:color w:val="000000"/>
          <w:sz w:val="22"/>
        </w:rPr>
        <w:t xml:space="preserve">Example: Itemized sale of water service. Z is an entity that provides water from a well by piped distribution to various homes in the community. Each home that is connected to the well pays $20 per month, which is used by Z for maintaining the water distribution system. Z is a water utility making sales of water service and must collect and remit water service excise tax on the $20 monthly fee charged to each of Z’s members. See </w:t>
      </w:r>
      <w:r>
        <w:rPr>
          <w:rFonts w:ascii="Times New Roman" w:hAnsi="Times New Roman"/>
          <w:b w:val="false"/>
          <w:i/>
          <w:color w:val="000000"/>
          <w:sz w:val="22"/>
        </w:rPr>
        <w:t>In the Matter of Lakewood Utils.,</w:t>
      </w:r>
      <w:r>
        <w:rPr>
          <w:rFonts w:ascii="Times New Roman" w:hAnsi="Times New Roman"/>
          <w:b w:val="false"/>
          <w:i w:val="false"/>
          <w:color w:val="000000"/>
          <w:sz w:val="22"/>
        </w:rPr>
        <w:t xml:space="preserve"> Iowa Dep’t of Revenue, Docket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78-161-6A-RC (Feb.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 1980).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Sale for resale. An apartment owner purchases water from a city water utility and distributes the water to each unit through a system of pipes. The city meters the apartment owner’s use of water each month and charges the apartment owner for the water service. The apartment owner separately bills each of the tenants $40 per month for water service, including the cost of water and maintenance on the water distribution system. The apartment owner is a water utility and must collect and remit water service excise tax on the $40 monthly charge for water service. The apartment owner may purchase the water from the city tax exempt as a sale for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252.5(2)</w:t>
      </w:r>
      <w:r>
        <w:rPr>
          <w:rFonts w:ascii="Times New Roman" w:hAnsi="Times New Roman"/>
          <w:b w:val="false"/>
          <w:i w:val="false"/>
          <w:color w:val="000000"/>
          <w:sz w:val="22"/>
        </w:rPr>
        <w:t> </w:t>
      </w:r>
      <w:r>
        <w:rPr>
          <w:rFonts w:ascii="Times New Roman" w:hAnsi="Times New Roman"/>
          <w:b w:val="false"/>
          <w:i/>
          <w:color w:val="000000"/>
          <w:sz w:val="22"/>
        </w:rPr>
        <w:t xml:space="preserve">Water service sold for an identifiable price. </w:t>
      </w:r>
      <w:r>
        <w:rPr>
          <w:rFonts w:ascii="Times New Roman" w:hAnsi="Times New Roman"/>
          <w:b w:val="false"/>
          <w:i w:val="false"/>
          <w:color w:val="000000"/>
          <w:sz w:val="22"/>
        </w:rPr>
        <w:t>Water service is furnished for compensation when the price of the water service is identifiable from an invoice, bill, catalogue, price list, rate card, receipt, agreement, or other similar document, including where the total sales price increases when water service is included in the sale.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Cost varies with inclusion of water service. A campground provides three campsite packages to its customers:</w:t>
      </w:r>
    </w:p>
    <w:p>
      <w:pPr>
        <w:spacing w:before="0" w:after="0"/>
        <w:ind w:left="120"/>
        <w:jc w:val="both"/>
      </w:pPr>
      <w:r>
        <w:rPr>
          <w:rFonts w:ascii="Times New Roman" w:hAnsi="Times New Roman"/>
          <w:b w:val="false"/>
          <w:i w:val="false"/>
          <w:color w:val="000000"/>
          <w:sz w:val="22"/>
        </w:rPr>
        <w:t>Package A includes only campsite access for $10 per night.</w:t>
      </w:r>
    </w:p>
    <w:p>
      <w:pPr>
        <w:spacing w:before="0" w:after="0"/>
        <w:ind w:left="120"/>
        <w:jc w:val="both"/>
      </w:pPr>
      <w:r>
        <w:rPr>
          <w:rFonts w:ascii="Times New Roman" w:hAnsi="Times New Roman"/>
          <w:b w:val="false"/>
          <w:i w:val="false"/>
          <w:color w:val="000000"/>
          <w:sz w:val="22"/>
        </w:rPr>
        <w:t>Package B includes campsite access and an electrical hookup for $20 per night.</w:t>
      </w:r>
    </w:p>
    <w:p>
      <w:pPr>
        <w:spacing w:before="0" w:after="0"/>
        <w:ind w:left="120"/>
        <w:jc w:val="both"/>
      </w:pPr>
      <w:r>
        <w:rPr>
          <w:rFonts w:ascii="Times New Roman" w:hAnsi="Times New Roman"/>
          <w:b w:val="false"/>
          <w:i w:val="false"/>
          <w:color w:val="000000"/>
          <w:sz w:val="22"/>
        </w:rPr>
        <w:t>Package C includes campsite access, an electrical hookup, and water service for $30 per night.</w:t>
      </w:r>
    </w:p>
    <w:p>
      <w:pPr>
        <w:spacing w:before="0" w:after="0"/>
        <w:ind w:left="120"/>
        <w:jc w:val="both"/>
      </w:pPr>
      <w:r>
        <w:rPr>
          <w:rFonts w:ascii="Times New Roman" w:hAnsi="Times New Roman"/>
          <w:b w:val="false"/>
          <w:i w:val="false"/>
          <w:color w:val="000000"/>
          <w:sz w:val="22"/>
        </w:rPr>
        <w:t>Sales of package C by the campground include sales of water service. The campground must collect and remit water service excise tax on $10—the identifiable sales price of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252.5(3)</w:t>
      </w:r>
      <w:r>
        <w:rPr>
          <w:rFonts w:ascii="Times New Roman" w:hAnsi="Times New Roman"/>
          <w:b w:val="false"/>
          <w:i w:val="false"/>
          <w:color w:val="000000"/>
          <w:sz w:val="22"/>
        </w:rPr>
        <w:t> </w:t>
      </w:r>
      <w:r>
        <w:rPr>
          <w:rFonts w:ascii="Times New Roman" w:hAnsi="Times New Roman"/>
          <w:b w:val="false"/>
          <w:i/>
          <w:color w:val="000000"/>
          <w:sz w:val="22"/>
        </w:rPr>
        <w:t xml:space="preserve">Water service not furnished for compensation; incidental sales. </w:t>
      </w:r>
      <w:r>
        <w:rPr>
          <w:rFonts w:ascii="Times New Roman" w:hAnsi="Times New Roman"/>
          <w:b w:val="false"/>
          <w:i w:val="false"/>
          <w:color w:val="000000"/>
          <w:sz w:val="22"/>
        </w:rPr>
        <w:t>No sale of water service for compensation occurs where water service is not sold for a separately itemized or identifiable price and is incidental to the rental of real property.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Water service sold with real estate rental for one nonitemized price. A manufactured housing community (MHC) owner owns a well and pipes water to the lots. The MHC owner charges tenants $500 per month for each lot rental. Water from the well is included in the $500 rental charge. The MHC owner does not do any of the following: charge a flat water fee, charge tenants based on their actual water used, or offer comparable lots at a lower price that do not have access to water service. The MHC owner is not required to collect or remit water service excise tax because water is not being furnished for compensation; it is incidental to the rental of real property.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Water service sold with real estate rental for one nonitemized price. A manufactured housing community (MHC) purchases water from a city water utility and distributes the water to each lot in the community through a system of pipes. The city meters the MHC’s use of water each month and charges the MHC for the water service and the applicable water service excise tax. The MHC charges its tenants $500 for lot rental. As in the previous example, the MHC owner does not do any of the following: charge a flat water fee, charge tenants based on their actual water used, or offer comparable lots at a lower price that do not have access to water service. The MHC owner is not required to collect or remit water service excise tax because water is not being furnished for compensation; it is incidental to the rental of real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701—252.6</w:t>
      </w:r>
      <w:r>
        <w:rPr>
          <w:rFonts w:ascii="Times New Roman" w:hAnsi="Times New Roman"/>
          <w:b/>
          <w:i w:val="false"/>
          <w:color w:val="000000"/>
          <w:sz w:val="22"/>
        </w:rPr>
        <w:t xml:space="preserve">(423G) </w:t>
      </w:r>
      <w:r>
        <w:rPr>
          <w:rFonts w:ascii="Times New Roman" w:hAnsi="Times New Roman"/>
          <w:b/>
          <w:i w:val="false"/>
          <w:color w:val="000000"/>
          <w:sz w:val="22"/>
        </w:rPr>
        <w:t xml:space="preserve">Itemization of tax required. </w:t>
      </w:r>
      <w:r>
        <w:rPr>
          <w:rFonts w:ascii="Times New Roman" w:hAnsi="Times New Roman"/>
          <w:b w:val="false"/>
          <w:i w:val="false"/>
          <w:color w:val="000000"/>
          <w:sz w:val="22"/>
        </w:rPr>
        <w:t xml:space="preserve">A water utility shall add the tax to the sales price of the water service, and the tax, when collected, shall be stated as a distinct item on any bill, receipt, agreement, or other similar document. The tax shall be identified as the water service excise tax, and the amount of tax paid shall be displayed clearly on the bill, receipt, agreement, or other similar document provided to the purchaser.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701—252.7</w:t>
      </w:r>
      <w:r>
        <w:rPr>
          <w:rFonts w:ascii="Times New Roman" w:hAnsi="Times New Roman"/>
          <w:b/>
          <w:i w:val="false"/>
          <w:color w:val="000000"/>
          <w:sz w:val="22"/>
        </w:rPr>
        <w:t xml:space="preserve">(423G) </w:t>
      </w:r>
      <w:r>
        <w:rPr>
          <w:rFonts w:ascii="Times New Roman" w:hAnsi="Times New Roman"/>
          <w:b/>
          <w:i w:val="false"/>
          <w:color w:val="000000"/>
          <w:sz w:val="22"/>
        </w:rPr>
        <w:t xml:space="preserve">Date of billing—effective date and repeal date. </w:t>
      </w:r>
      <w:r>
        <w:rPr>
          <w:rFonts w:ascii="Times New Roman" w:hAnsi="Times New Roman"/>
          <w:b w:val="false"/>
          <w:i w:val="false"/>
          <w:color w:val="000000"/>
          <w:sz w:val="22"/>
        </w:rPr>
        <w:t xml:space="preserve">For purposes of determining whether sales tax or water service excise tax applies to billings which span across the </w:t>
      </w:r>
      <w:r>
        <w:rPr>
          <w:rFonts w:ascii="Times New Roman" w:hAnsi="Times New Roman"/>
          <w:b w:val="false"/>
          <w:i w:val="false"/>
          <w:color w:val="000000"/>
          <w:sz w:val="22"/>
        </w:rPr>
        <w:t>2018 Iowa Acts, Senate File 512</w:t>
      </w:r>
      <w:r>
        <w:rPr>
          <w:rFonts w:ascii="Times New Roman" w:hAnsi="Times New Roman"/>
          <w:b w:val="false"/>
          <w:i w:val="false"/>
          <w:color w:val="000000"/>
          <w:sz w:val="22"/>
        </w:rPr>
        <w:t xml:space="preserve">, effective date of July 1, 2018, and the future repeal date as described in Iowa Code section </w:t>
      </w:r>
      <w:hyperlink r:id="rId31">
        <w:r>
          <w:rPr>
            <w:rStyle w:val="Hyperlink"/>
            <w:rFonts w:ascii="Times New Roman" w:hAnsi="Times New Roman"/>
            <w:b w:val="false"/>
            <w:i w:val="false"/>
            <w:color w:val="000000"/>
            <w:sz w:val="22"/>
          </w:rPr>
          <w:t>423G.7</w:t>
        </w:r>
      </w:hyperlink>
      <w:r>
        <w:rPr>
          <w:rFonts w:ascii="Times New Roman" w:hAnsi="Times New Roman"/>
          <w:b w:val="false"/>
          <w:i w:val="false"/>
          <w:color w:val="000000"/>
          <w:sz w:val="22"/>
        </w:rPr>
        <w:t xml:space="preserve">, the provisions of 701—subrule </w:t>
      </w:r>
      <w:hyperlink r:id="rId32">
        <w:r>
          <w:rPr>
            <w:rStyle w:val="Hyperlink"/>
            <w:rFonts w:ascii="Times New Roman" w:hAnsi="Times New Roman"/>
            <w:b w:val="false"/>
            <w:i w:val="false"/>
            <w:color w:val="000000"/>
            <w:sz w:val="22"/>
          </w:rPr>
          <w:t>203.3(9)</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701—252.8</w:t>
      </w:r>
      <w:r>
        <w:rPr>
          <w:rFonts w:ascii="Times New Roman" w:hAnsi="Times New Roman"/>
          <w:b/>
          <w:i w:val="false"/>
          <w:color w:val="000000"/>
          <w:sz w:val="22"/>
        </w:rPr>
        <w:t xml:space="preserve">(423G) </w:t>
      </w:r>
      <w:r>
        <w:rPr>
          <w:rFonts w:ascii="Times New Roman" w:hAnsi="Times New Roman"/>
          <w:b/>
          <w:i w:val="false"/>
          <w:color w:val="000000"/>
          <w:sz w:val="22"/>
        </w:rPr>
        <w:t xml:space="preserve">Filing returns;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202. </w:t>
      </w:r>
      <w:r>
        <w:rPr>
          <w:rFonts w:ascii="Times New Roman" w:hAnsi="Times New Roman"/>
          <w:b w:val="false"/>
          <w:i w:val="false"/>
          <w:color w:val="000000"/>
          <w:sz w:val="22"/>
        </w:rPr>
        <w:t xml:space="preserve">The requirements of </w:t>
      </w:r>
      <w:hyperlink r:id="rId34">
        <w:r>
          <w:rPr>
            <w:rStyle w:val="Hyperlink"/>
            <w:rFonts w:ascii="Times New Roman" w:hAnsi="Times New Roman"/>
            <w:b w:val="false"/>
            <w:i w:val="false"/>
            <w:color w:val="000000"/>
            <w:sz w:val="22"/>
          </w:rPr>
          <w:t>701—Chapter 202</w:t>
        </w:r>
      </w:hyperlink>
      <w:r>
        <w:rPr>
          <w:rFonts w:ascii="Times New Roman" w:hAnsi="Times New Roman"/>
          <w:b w:val="false"/>
          <w:i w:val="false"/>
          <w:color w:val="000000"/>
          <w:sz w:val="22"/>
        </w:rPr>
        <w:t xml:space="preserve"> shall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252.8(2)</w:t>
      </w:r>
      <w:r>
        <w:rPr>
          <w:rFonts w:ascii="Times New Roman" w:hAnsi="Times New Roman"/>
          <w:b w:val="false"/>
          <w:i w:val="false"/>
          <w:color w:val="000000"/>
          <w:sz w:val="22"/>
        </w:rPr>
        <w:t> </w:t>
      </w:r>
      <w:r>
        <w:rPr>
          <w:rFonts w:ascii="Times New Roman" w:hAnsi="Times New Roman"/>
          <w:b w:val="false"/>
          <w:i/>
          <w:color w:val="000000"/>
          <w:sz w:val="22"/>
        </w:rPr>
        <w:t xml:space="preserve">Frequency of return filing and payment of tax based on combined water service excise tax and sales and use tax. </w:t>
      </w:r>
      <w:r>
        <w:rPr>
          <w:rFonts w:ascii="Times New Roman" w:hAnsi="Times New Roman"/>
          <w:b w:val="false"/>
          <w:i w:val="false"/>
          <w:color w:val="000000"/>
          <w:sz w:val="22"/>
        </w:rPr>
        <w:t xml:space="preserve">With respect to the tax thresholds used for determining whether a retailer must file a return and remit sales and use tax monthly or annually, as described in rule </w:t>
      </w:r>
      <w:hyperlink r:id="rId35">
        <w:r>
          <w:rPr>
            <w:rStyle w:val="Hyperlink"/>
            <w:rFonts w:ascii="Times New Roman" w:hAnsi="Times New Roman"/>
            <w:b w:val="false"/>
            <w:i w:val="false"/>
            <w:color w:val="000000"/>
            <w:sz w:val="22"/>
          </w:rPr>
          <w:t>701—202.1</w:t>
        </w:r>
      </w:hyperlink>
      <w:r>
        <w:rPr>
          <w:rFonts w:ascii="Times New Roman" w:hAnsi="Times New Roman"/>
          <w:b w:val="false"/>
          <w:i w:val="false"/>
          <w:color w:val="000000"/>
          <w:sz w:val="22"/>
        </w:rPr>
        <w:t>(423), the threshold for determining how frequently a water utility must file a return and remit the water service excise tax shall be based on the sum of the total amount of sales and use tax collected and the total amount of water service excise tax collected.</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701—252.9</w:t>
      </w:r>
      <w:r>
        <w:rPr>
          <w:rFonts w:ascii="Times New Roman" w:hAnsi="Times New Roman"/>
          <w:b/>
          <w:i w:val="false"/>
          <w:color w:val="000000"/>
          <w:sz w:val="22"/>
        </w:rPr>
        <w:t xml:space="preserve">(423G)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201. </w:t>
      </w:r>
      <w:r>
        <w:rPr>
          <w:rFonts w:ascii="Times New Roman" w:hAnsi="Times New Roman"/>
          <w:b w:val="false"/>
          <w:i w:val="false"/>
          <w:color w:val="000000"/>
          <w:sz w:val="22"/>
        </w:rPr>
        <w:t xml:space="preserve">The requirements of </w:t>
      </w:r>
      <w:hyperlink r:id="rId37">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xml:space="preserve"> shall apply to water utilities in the same manner that those requirements apply to all sellers and retailers making sales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252.9(2)</w:t>
      </w:r>
      <w:r>
        <w:rPr>
          <w:rFonts w:ascii="Times New Roman" w:hAnsi="Times New Roman"/>
          <w:b w:val="false"/>
          <w:i w:val="false"/>
          <w:color w:val="000000"/>
          <w:sz w:val="22"/>
        </w:rPr>
        <w:t> </w:t>
      </w:r>
      <w:r>
        <w:rPr>
          <w:rFonts w:ascii="Times New Roman" w:hAnsi="Times New Roman"/>
          <w:b w:val="false"/>
          <w:i/>
          <w:color w:val="000000"/>
          <w:sz w:val="22"/>
        </w:rPr>
        <w:t xml:space="preserve">Separate water service excise tax permit required. </w:t>
      </w:r>
      <w:r>
        <w:rPr>
          <w:rFonts w:ascii="Times New Roman" w:hAnsi="Times New Roman"/>
          <w:b w:val="false"/>
          <w:i w:val="false"/>
          <w:color w:val="000000"/>
          <w:sz w:val="22"/>
        </w:rPr>
        <w:t>All water utilities must register for a water service excise tax permit, and the water service excise tax shall be remitted under that permit. Water utilities that make water service sales subject to water service excise tax and other sales subject to sales tax shall obtain a water service excise tax permit in addition to their current sales tax permit and shall remit all sales tax under the sales tax permit and all water service excise tax under the water service excise tax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4217C</w:t>
      </w:r>
      <w:r>
        <w:rPr>
          <w:rFonts w:ascii="Times New Roman" w:hAnsi="Times New Roman"/>
          <w:b w:val="false"/>
          <w:i w:val="false"/>
          <w:color w:val="000000"/>
          <w:sz w:val="21"/>
        </w:rPr>
        <w:t xml:space="preserve"> (Amended Notice ARC 4083C, IAB 10/24/18; </w:t>
      </w:r>
      <w:r>
        <w:rPr>
          <w:rFonts w:ascii="Times New Roman" w:hAnsi="Times New Roman"/>
          <w:b w:val="false"/>
          <w:i w:val="false"/>
          <w:color w:val="000000"/>
          <w:sz w:val="21"/>
        </w:rPr>
        <w:t>Notice ARC 3896C, IAB 7/18/18)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G.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ac/rule/701.200.1.pdf" Type="http://schemas.openxmlformats.org/officeDocument/2006/relationships/hyperlink" Id="rId7"/>
    <Relationship TargetMode="External" Target="https://www.legis.iowa.gov/docs/ico/chapter/423G.3.pdf" Type="http://schemas.openxmlformats.org/officeDocument/2006/relationships/hyperlink" Id="rId8"/>
    <Relationship TargetMode="External" Target="https://www.legis.iowa.gov/docs/ico/chapter/423.3.pdf" Type="http://schemas.openxmlformats.org/officeDocument/2006/relationships/hyperlink" Id="rId9"/>
    <Relationship TargetMode="External" Target="https://www.legis.iowa.gov/docs/ico/chapter/476.1.pdf" Type="http://schemas.openxmlformats.org/officeDocument/2006/relationships/hyperlink" Id="rId10"/>
    <Relationship TargetMode="External" Target="https://www.legis.iowa.gov/docs/ico/chapter/423.3.pdf" Type="http://schemas.openxmlformats.org/officeDocument/2006/relationships/hyperlink" Id="rId11"/>
    <Relationship TargetMode="External" Target="https://www.legis.iowa.gov/docs/ico/chapter/423G.2.pdf" Type="http://schemas.openxmlformats.org/officeDocument/2006/relationships/hyperlink" Id="rId12"/>
    <Relationship TargetMode="External" Target="https://www.legis.iowa.gov/docs/ico/chapter/423G.3.pdf" Type="http://schemas.openxmlformats.org/officeDocument/2006/relationships/hyperlink" Id="rId13"/>
    <Relationship TargetMode="External" Target="https://www.legis.iowa.gov/docs/ico/chapter/423G.3.pdf" Type="http://schemas.openxmlformats.org/officeDocument/2006/relationships/hyperlink" Id="rId14"/>
    <Relationship TargetMode="External" Target="https://www.legis.iowa.gov/docs/ico/chapter/423.3.pdf" Type="http://schemas.openxmlformats.org/officeDocument/2006/relationships/hyperlink" Id="rId15"/>
    <Relationship TargetMode="External" Target="https://www.legis.iowa.gov/docs/ico/chapter/423G.3.pdf" Type="http://schemas.openxmlformats.org/officeDocument/2006/relationships/hyperlink" Id="rId16"/>
    <Relationship TargetMode="External" Target="https://www.legis.iowa.gov/docs/ico/chapter/423G.5.pdf" Type="http://schemas.openxmlformats.org/officeDocument/2006/relationships/hyperlink" Id="rId17"/>
    <Relationship TargetMode="External" Target="https://www.legis.iowa.gov/docs/iac/rule/701.252.4.pdf" Type="http://schemas.openxmlformats.org/officeDocument/2006/relationships/hyperlink" Id="rId18"/>
    <Relationship TargetMode="External" Target="https://www.legis.iowa.gov/docs/ico/chapter/523C.pdf" Type="http://schemas.openxmlformats.org/officeDocument/2006/relationships/hyperlink" Id="rId19"/>
    <Relationship TargetMode="External" Target="https://www.legis.iowa.gov/docs/iac/rule/701.252.4.pdf" Type="http://schemas.openxmlformats.org/officeDocument/2006/relationships/hyperlink" Id="rId20"/>
    <Relationship TargetMode="External" Target="https://www.legis.iowa.gov/docs/ico/chapter/423.2.pdf" Type="http://schemas.openxmlformats.org/officeDocument/2006/relationships/hyperlink" Id="rId21"/>
    <Relationship TargetMode="External" Target="https://www.legis.iowa.gov/docs/iac/rule/701.252.4.pdf" Type="http://schemas.openxmlformats.org/officeDocument/2006/relationships/hyperlink" Id="rId22"/>
    <Relationship TargetMode="External" Target="https://www.legis.iowa.gov/docs/ico/chapter/423.2.pdf" Type="http://schemas.openxmlformats.org/officeDocument/2006/relationships/hyperlink" Id="rId23"/>
    <Relationship TargetMode="External" Target="https://www.legis.iowa.gov/docs/ico/chapter/423.2.pdf" Type="http://schemas.openxmlformats.org/officeDocument/2006/relationships/hyperlink" Id="rId24"/>
    <Relationship TargetMode="External" Target="https://www.legis.iowa.gov/docs/ico/chapter/423.3.pdf" Type="http://schemas.openxmlformats.org/officeDocument/2006/relationships/hyperlink" Id="rId25"/>
    <Relationship TargetMode="External" Target="https://www.legis.iowa.gov/docs/ico/chapter/423.3.pdf" Type="http://schemas.openxmlformats.org/officeDocument/2006/relationships/hyperlink" Id="rId26"/>
    <Relationship TargetMode="External" Target="https://www.legis.iowa.gov/docs/ico/chapter/423G.4.pdf" Type="http://schemas.openxmlformats.org/officeDocument/2006/relationships/hyperlink" Id="rId27"/>
    <Relationship TargetMode="External" Target="https://www.legis.iowa.gov/docs/ico/chapter/423G.5.pdf" Type="http://schemas.openxmlformats.org/officeDocument/2006/relationships/hyperlink" Id="rId28"/>
    <Relationship TargetMode="External" Target="https://www.legis.iowa.gov/docs/ico/chapter/423G.3.pdf" Type="http://schemas.openxmlformats.org/officeDocument/2006/relationships/hyperlink" Id="rId29"/>
    <Relationship TargetMode="External" Target="https://www.legis.iowa.gov/docs/ico/chapter/423G.3.pdf" Type="http://schemas.openxmlformats.org/officeDocument/2006/relationships/hyperlink" Id="rId30"/>
    <Relationship TargetMode="External" Target="https://www.legis.iowa.gov/docs/ico/chapter/423G.7.pdf" Type="http://schemas.openxmlformats.org/officeDocument/2006/relationships/hyperlink" Id="rId31"/>
    <Relationship TargetMode="External" Target="https://www.legis.iowa.gov/docs/iac/rule/701.203.3.pdf" Type="http://schemas.openxmlformats.org/officeDocument/2006/relationships/hyperlink" Id="rId32"/>
    <Relationship TargetMode="External" Target="https://www.legis.iowa.gov/docs/ico/chapter/423G.5.pdf" Type="http://schemas.openxmlformats.org/officeDocument/2006/relationships/hyperlink" Id="rId33"/>
    <Relationship TargetMode="External" Target="https://www.legis.iowa.gov/docs/iac/chapter/701.202.pdf" Type="http://schemas.openxmlformats.org/officeDocument/2006/relationships/hyperlink" Id="rId34"/>
    <Relationship TargetMode="External" Target="https://www.legis.iowa.gov/docs/iac/rule/701.202.1.pdf" Type="http://schemas.openxmlformats.org/officeDocument/2006/relationships/hyperlink" Id="rId35"/>
    <Relationship TargetMode="External" Target="https://www.legis.iowa.gov/docs/ico/chapter/423G.5.pdf" Type="http://schemas.openxmlformats.org/officeDocument/2006/relationships/hyperlink" Id="rId36"/>
    <Relationship TargetMode="External" Target="https://www.legis.iowa.gov/docs/iac/chapter/701.201.pdf" Type="http://schemas.openxmlformats.org/officeDocument/2006/relationships/hyperlink" Id="rId37"/>
    <Relationship TargetMode="External" Target="https://www.legis.iowa.gov/docs/ico/chapter/423G.5.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