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POLICIES, PRACTICES AND PROCEDURES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681—9.1</w:t>
      </w:r>
      <w:r>
        <w:rPr>
          <w:rFonts w:ascii="Times New Roman" w:hAnsi="Times New Roman"/>
          <w:b/>
          <w:i w:val="false"/>
          <w:color w:val="000000"/>
          <w:sz w:val="22"/>
        </w:rPr>
        <w:t xml:space="preserve">(262) </w:t>
      </w:r>
      <w:r>
        <w:rPr>
          <w:rFonts w:ascii="Times New Roman" w:hAnsi="Times New Roman"/>
          <w:b/>
          <w:i w:val="false"/>
          <w:color w:val="000000"/>
          <w:sz w:val="22"/>
        </w:rPr>
        <w:t xml:space="preserve">Uniform rules of personal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these rules, the following words shall have the meaning set forth unless the context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w:t>
      </w:r>
      <w:r>
        <w:rPr>
          <w:rFonts w:ascii="Times New Roman" w:hAnsi="Times New Roman"/>
          <w:b w:val="false"/>
          <w:i w:val="false"/>
          <w:color w:val="000000"/>
          <w:sz w:val="22"/>
        </w:rPr>
        <w:t>means admission, readmission, reentry, registration, and reregistration as a student to any educational program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regents,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“Campus” </w:t>
      </w:r>
      <w:r>
        <w:rPr>
          <w:rFonts w:ascii="Times New Roman" w:hAnsi="Times New Roman"/>
          <w:b w:val="false"/>
          <w:i w:val="false"/>
          <w:color w:val="000000"/>
          <w:sz w:val="22"/>
        </w:rPr>
        <w:t>means all property owned or used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“Dismissal of a member of the faculty or staff” </w:t>
      </w:r>
      <w:r>
        <w:rPr>
          <w:rFonts w:ascii="Times New Roman" w:hAnsi="Times New Roman"/>
          <w:b w:val="false"/>
          <w:i w:val="false"/>
          <w:color w:val="000000"/>
          <w:sz w:val="22"/>
        </w:rPr>
        <w:t>means termination of status as an employee without right of 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“Expulsion of a student” </w:t>
      </w:r>
      <w:r>
        <w:rPr>
          <w:rFonts w:ascii="Times New Roman" w:hAnsi="Times New Roman"/>
          <w:b w:val="false"/>
          <w:i w:val="false"/>
          <w:color w:val="000000"/>
          <w:sz w:val="22"/>
        </w:rPr>
        <w:t>means termination of status as a student without right of readmission.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faculty or staff” </w:t>
      </w:r>
      <w:r>
        <w:rPr>
          <w:rFonts w:ascii="Times New Roman" w:hAnsi="Times New Roman"/>
          <w:b w:val="false"/>
          <w:i w:val="false"/>
          <w:color w:val="000000"/>
          <w:sz w:val="22"/>
        </w:rPr>
        <w:t>means all employees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student, member of the faculty or staff,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“President” </w:t>
      </w:r>
      <w:r>
        <w:rPr>
          <w:rFonts w:ascii="Times New Roman" w:hAnsi="Times New Roman"/>
          <w:b w:val="false"/>
          <w:i w:val="false"/>
          <w:color w:val="000000"/>
          <w:sz w:val="22"/>
        </w:rPr>
        <w:t>means the president (or acting president) of the university or any person or persons designated to act on the president’s behalf for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who is currently registered as a student at the university in an undergraduate, graduate or professional program on the campus, and includes students who have been suspended for a fixed period of time, during that fixed period; admitted students prior to enrollment; and persons continuing to work on a program of studies with the intent of returning to the university, even though not formally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of a member of the faculty or staff” </w:t>
      </w:r>
      <w:r>
        <w:rPr>
          <w:rFonts w:ascii="Times New Roman" w:hAnsi="Times New Roman"/>
          <w:b w:val="false"/>
          <w:i w:val="false"/>
          <w:color w:val="000000"/>
          <w:sz w:val="22"/>
        </w:rPr>
        <w:t xml:space="preserve">means that during a specified period of time, the member of the faculty or staff is not eligible to continue as an employee of the university or to resume employment status or to be granted admission as a student. Subject to other rules and regulations of each institution concerning continued employment by the institution, a member of the faculty or staff who has been suspended for a specified period shall be reinstated by the university at the expiration of the suspension period provided that during the suspension period the member of the faculty or staff has not committed other acts of misconduct specified in </w:t>
      </w:r>
      <w:hyperlink r:id="rId5">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or in the policies of the university. A member of the faculty or staff under such suspension whose reemployment is denied on the basis of alleged acts of misconduct committed during a suspension period shall have a right to a hearing on that issue as provided in 9.1(3).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of a student” </w:t>
      </w:r>
      <w:r>
        <w:rPr>
          <w:rFonts w:ascii="Times New Roman" w:hAnsi="Times New Roman"/>
          <w:b w:val="false"/>
          <w:i w:val="false"/>
          <w:color w:val="000000"/>
          <w:sz w:val="22"/>
        </w:rPr>
        <w:t xml:space="preserve">means that during a specified period of time, the student shall be denied admission to the university. Subject to the rules and regulations of each institution concerning enrollment at the institution, a suspended student shall be reinstated to the university at the expiration of the suspension period provided that during the suspension period the student has not committed acts of misconduct specified in </w:t>
      </w:r>
      <w:hyperlink r:id="rId6">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A suspended student whose reinstatement is denied on the basis of alleged acts of misconduct committed during this suspension period shall have a right to a hearing on that issue, as provided in 9.1(3).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“University” </w:t>
      </w:r>
      <w:r>
        <w:rPr>
          <w:rFonts w:ascii="Times New Roman" w:hAnsi="Times New Roman"/>
          <w:b w:val="false"/>
          <w:i w:val="false"/>
          <w:color w:val="000000"/>
          <w:sz w:val="22"/>
        </w:rPr>
        <w:t>means an institution of higher learning under the jurisdiction of the board. When used in the plural, the word means all institutions of higher learning under the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“Visitor” </w:t>
      </w:r>
      <w:r>
        <w:rPr>
          <w:rFonts w:ascii="Times New Roman" w:hAnsi="Times New Roman"/>
          <w:b w:val="false"/>
          <w:i w:val="false"/>
          <w:color w:val="000000"/>
          <w:sz w:val="22"/>
        </w:rPr>
        <w:t>means any person on the campus who is not a student or a member of the faculty or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Rules of personal conduct. </w:t>
      </w:r>
      <w:r>
        <w:rPr>
          <w:rFonts w:ascii="Times New Roman" w:hAnsi="Times New Roman"/>
          <w:b w:val="false"/>
          <w:i w:val="false"/>
          <w:color w:val="000000"/>
          <w:sz w:val="22"/>
        </w:rPr>
        <w:t>The acts of misconduct defined in this subrule apply at the universities governed by the board. The universities are authorized to adopt other definitions of misconduct in addition to those in this rule. Any person, student, member of the faculty or staff, or visitor, who intentionally commits, attempts to commit, or incites or aids others in committing any of the following acts shall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Obstruction or disruption of teaching, research, administration, disciplinary procedures, or other university or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Unauthorized occupation or use of or unauthorized entry into any university facility. However, any entry into, use of, or occupation of any university facility by a student or member of the faculty or staff, which does not violate any of the other rules of personal conduct set forth herein, shall be deemed unauthorized only if specifically prohibited, if that facility is closed at that time to general use or if the person fails to comply with proper notice to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abuse or the threat of physical abuse against any person on the campus or at or during any university-authorized function or event, or other conduct which threatens or endangers the health or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Theft of or damage to property of the university or of a person on the campus or at or during any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Interference with the right of access to university facilities or with any other lawful right of any person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Setting a fire on the campus or at or during any university-authorized function or event without proper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or possession on the campus or at or during any university-authorized function or event of firearms, ammunition, or other dangerous weapons, substances, or materials (except as expressly authorized by the university), or of bombs, explosives, or explosive or incendiary devices prohibited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Participation in a riot or unlawful assembly, or failure to disperse, as defined by state law, whether such acts occur on or off the campus, if such act or failure to act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contiguous metropolitan area in which any university governed by the board is located;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function or event authorized or sponsored by the university or an organization recognized by or affiliated with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off campus which leads directly to a violation of any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student or member of the faculty or staff who is found after appropriate hearing to have violated any of the rules of personal conduct set forth in </w:t>
      </w:r>
      <w:hyperlink r:id="rId7">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may be sanctioned up to and including suspension, expulsion, or dismissal.</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“Appropriate hearing” as used throughout these rules means pursuant to existing hearing procedures in effect at the university for students and members of the faculty and staff.</w:t>
      </w:r>
    </w:p>
    <w:p>
      <w:pPr>
        <w:spacing w:before="0" w:after="0"/>
        <w:ind w:left="120"/>
        <w:jc w:val="both"/>
      </w:pPr>
      <w:r>
        <w:rPr>
          <w:rFonts w:ascii="Times New Roman" w:hAnsi="Times New Roman"/>
          <w:b w:val="false"/>
          <w:i w:val="false"/>
          <w:color w:val="000000"/>
          <w:sz w:val="22"/>
        </w:rPr>
        <w:t>A faculty or staff member who is suspended as a sanction under rule shall receive no salary during the period of suspension; provided, however, that payment shall be made for work done prior to the date of the suspension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for reinstatement to or reemployment by the university after a term of suspension or dismissal may be denied such reinstatement or reemployment if it is found that such person has committed any acts of misconduct specified in </w:t>
      </w:r>
      <w:hyperlink r:id="rId8">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or in the policies of the university. A person denied reinstatement or reemployment under this subrule shall have a right to an appropriate hearing or to follow the grievance process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sanction imposed under </w:t>
      </w:r>
      <w:hyperlink r:id="rId9">
        <w:r>
          <w:rPr>
            <w:rStyle w:val="Hyperlink"/>
            <w:rFonts w:ascii="Times New Roman" w:hAnsi="Times New Roman"/>
            <w:b w:val="false"/>
            <w:i w:val="false"/>
            <w:color w:val="000000"/>
            <w:sz w:val="22"/>
          </w:rPr>
          <w:t>9.1(3)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have operative effect at all universities, and a person not eligible for admission to or employment by one university shall be barred similarly at the other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Emergency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president is authorized to declare a state of emergency to exist at the institution upon a determination that violent actions or disruptive activities at the university are of such a nature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present a clear and present danger to the orderly processes of the university or to persons or property on the campus,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require extraordinary measures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Safeguard persons or property at such institution,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Maintain educational or other legitimate institutional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emergency shall cease to exist automatically 48 hours after it is declared unless the president, after reviewing the situation, determines that it should be extended, such determination to be made under the standards established in </w:t>
      </w:r>
      <w:hyperlink r:id="rId10">
        <w:r>
          <w:rPr>
            <w:rStyle w:val="Hyperlink"/>
            <w:rFonts w:ascii="Times New Roman" w:hAnsi="Times New Roman"/>
            <w:b w:val="false"/>
            <w:i w:val="false"/>
            <w:color w:val="000000"/>
            <w:sz w:val="22"/>
          </w:rPr>
          <w:t>9.1(4)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1">
        <w:r>
          <w:rPr>
            <w:rStyle w:val="Hyperlink"/>
            <w:rFonts w:ascii="Times New Roman" w:hAnsi="Times New Roman"/>
            <w:b w:val="false"/>
            <w:i w:val="false"/>
            <w:color w:val="000000"/>
            <w:sz w:val="22"/>
          </w:rPr>
          <w:t>9.1(4)</w:t>
        </w:r>
      </w:hyperlink>
      <w:r>
        <w:rPr>
          <w:rFonts w:ascii="Times New Roman" w:hAnsi="Times New Roman"/>
          <w:b w:val="false"/>
          <w:i/>
          <w:color w:val="000000"/>
          <w:sz w:val="22"/>
        </w:rPr>
        <w:t>“a”</w:t>
      </w:r>
      <w:r>
        <w:rPr>
          <w:rFonts w:ascii="Times New Roman" w:hAnsi="Times New Roman"/>
          <w:b w:val="false"/>
          <w:i w:val="false"/>
          <w:color w:val="000000"/>
          <w:sz w:val="22"/>
        </w:rPr>
        <w:t>(2). Each extension shall be for a maximum period of 48 hours with a new determination being made for each extension. The president may declare the state of emergency to be over before the 48-hour period has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soon as feasible after declaring a state of emergency, the president shall notify the board of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finding by the president as set forth in </w:t>
      </w:r>
      <w:hyperlink r:id="rId12">
        <w:r>
          <w:rPr>
            <w:rStyle w:val="Hyperlink"/>
            <w:rFonts w:ascii="Times New Roman" w:hAnsi="Times New Roman"/>
            <w:b w:val="false"/>
            <w:i w:val="false"/>
            <w:color w:val="000000"/>
            <w:sz w:val="22"/>
          </w:rPr>
          <w:t>9.1(4)</w:t>
        </w:r>
      </w:hyperlink>
      <w:r>
        <w:rPr>
          <w:rFonts w:ascii="Times New Roman" w:hAnsi="Times New Roman"/>
          <w:b w:val="false"/>
          <w:i/>
          <w:color w:val="000000"/>
          <w:sz w:val="22"/>
        </w:rPr>
        <w:t xml:space="preserve">“a,” </w:t>
      </w:r>
      <w:r>
        <w:rPr>
          <w:rFonts w:ascii="Times New Roman" w:hAnsi="Times New Roman"/>
          <w:b w:val="false"/>
          <w:i w:val="false"/>
          <w:color w:val="000000"/>
          <w:sz w:val="22"/>
        </w:rPr>
        <w:t>the president is authorized to take such action as may be necessary to eliminate or alleviate a clear and present danger to the orderly processes of the university and to safeguard persons or property at the university or to maintain educational or other legitimate university functions including barring a particular person or persons from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Sanctions under emergency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after appropriate hearing, is found to have violated knowingly a presidential order issued as contemplated in </w:t>
      </w:r>
      <w:hyperlink r:id="rId13">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xml:space="preserve"> may be disciplined, up to and including expulsion or dismissal from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after appropriate hearing, is found to have violated during a state of emergency, knowing that a state of emergency has been declared, any of the regents’ rules of personal conduct set forth in </w:t>
      </w:r>
      <w:hyperlink r:id="rId14">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of this policy may be disciplined, up to and including expulsion or dismissal from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sanction imposed under this subrule shall have operative effect at all universities, and a person not eligible for admission to or employment by one university shall be barred similarly at the other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color w:val="000000"/>
          <w:sz w:val="22"/>
        </w:rPr>
        <w:t xml:space="preserve">Constitutional rights. </w:t>
      </w:r>
      <w:r>
        <w:rPr>
          <w:rFonts w:ascii="Times New Roman" w:hAnsi="Times New Roman"/>
          <w:b w:val="false"/>
          <w:i w:val="false"/>
          <w:color w:val="000000"/>
          <w:sz w:val="22"/>
        </w:rPr>
        <w:t>The foregoing rules shall be construed so as not to abridge any person’s constitutional right of free expression of thought or opinion, including the traditional American right to assemble peaceably and to petition authorities.</w:t>
      </w:r>
    </w:p>
    <w:p>
      <w:pPr>
        <w:spacing w:before="0" w:after="0"/>
        <w:ind w:left="120"/>
        <w:jc w:val="both"/>
      </w:pPr>
      <w:r>
        <w:rPr>
          <w:rFonts w:ascii="Times New Roman" w:hAnsi="Times New Roman"/>
          <w:b/>
          <w:i w:val="false"/>
          <w:color w:val="000000"/>
          <w:sz w:val="22"/>
        </w:rPr>
        <w:t>681—9.2</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Transfers. </w:t>
      </w:r>
      <w:r>
        <w:rPr>
          <w:rFonts w:ascii="Times New Roman" w:hAnsi="Times New Roman"/>
          <w:b w:val="false"/>
          <w:i w:val="false"/>
          <w:color w:val="000000"/>
          <w:sz w:val="22"/>
        </w:rPr>
        <w:t>All transfer applicants from any institution of higher learning to a university governed by the board of regents are asked about their eligibility to return to the institution from which the applicant is transferring. If the applicants are not eligible to return,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Transfers among regent institutions. </w:t>
      </w:r>
      <w:r>
        <w:rPr>
          <w:rFonts w:ascii="Times New Roman" w:hAnsi="Times New Roman"/>
          <w:b w:val="false"/>
          <w:i w:val="false"/>
          <w:color w:val="000000"/>
          <w:sz w:val="22"/>
        </w:rPr>
        <w:t>Transcripts at all regent universities now include an appropriate notation if a student is ineligible for readmission or reenrollment. Admission is denied if the applicant currently is under disciplinary suspension or has been dismissed from one of the other regent universities for violation of the regents’ rules of personal conduct and is not eligible to reenter. Further, if such transfer applicant is currently on probation for having violated the regents’ rules of personal conduct at one university, the applicant, if admitted to another regent university, is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Transfers from nonregent institutions. </w:t>
      </w:r>
      <w:r>
        <w:rPr>
          <w:rFonts w:ascii="Times New Roman" w:hAnsi="Times New Roman"/>
          <w:b w:val="false"/>
          <w:i w:val="false"/>
          <w:color w:val="000000"/>
          <w:sz w:val="22"/>
        </w:rPr>
        <w:t>If the application for admission or the transcript from another institution shows that the applicant is not eligible to reenroll there, further inquiry will be made to determine the reason. Such inquiry may lead to admission, conditional admission, or denial of admission. Appeals from the decision will be referred to appropriate university channels.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Applications from “visitors.” </w:t>
      </w:r>
      <w:r>
        <w:rPr>
          <w:rFonts w:ascii="Times New Roman" w:hAnsi="Times New Roman"/>
          <w:b w:val="false"/>
          <w:i w:val="false"/>
          <w:color w:val="000000"/>
          <w:sz w:val="22"/>
        </w:rPr>
        <w:t>“Visitors” to the campus who are believed to have violated the rules of personal conduct and who later apply for admission or employment may be denied admission or employment because of their prior conduct, subject to review if the denial is appealed by the applicant. An applicant who would be subject to such a denial and review at any university governed by the board of regents shall be subject to the same denial and review by the other two regent universities if application for admission or employment is made to them. The three universities shall cooperate in making known the identity of persons barred from admission or employment among all three institutions.</w:t>
      </w:r>
    </w:p>
    <w:p>
      <w:pPr>
        <w:spacing w:before="210" w:after="0"/>
        <w:ind w:left="120"/>
        <w:jc w:val="both"/>
      </w:pPr>
      <w:r>
        <w:rPr>
          <w:rFonts w:ascii="Times New Roman" w:hAnsi="Times New Roman"/>
          <w:b/>
          <w:i w:val="false"/>
          <w:color w:val="000000"/>
          <w:sz w:val="22"/>
        </w:rPr>
        <w:t>681—9.3</w:t>
      </w:r>
      <w:r>
        <w:rPr>
          <w:rFonts w:ascii="Times New Roman" w:hAnsi="Times New Roman"/>
          <w:b/>
          <w:i w:val="false"/>
          <w:color w:val="000000"/>
          <w:sz w:val="22"/>
        </w:rPr>
        <w:t xml:space="preserve">(262) </w:t>
      </w:r>
      <w:r>
        <w:rPr>
          <w:rFonts w:ascii="Times New Roman" w:hAnsi="Times New Roman"/>
          <w:b/>
          <w:i w:val="false"/>
          <w:color w:val="000000"/>
          <w:sz w:val="22"/>
        </w:rPr>
        <w:t xml:space="preserve">Alternate procedures when resources are not adequate. </w:t>
      </w:r>
      <w:r>
        <w:rPr>
          <w:rFonts w:ascii="Times New Roman" w:hAnsi="Times New Roman"/>
          <w:b w:val="false"/>
          <w:i w:val="false"/>
          <w:color w:val="000000"/>
          <w:sz w:val="22"/>
        </w:rPr>
        <w:t>If, in the university president’s judgment, the university’s resources are not adequate to the task of providing hearings regarding violations of rules governing conduct at the institution on any particular occasion, the president may appoint one or more hearing examiners. Hearing examiners shall be licensed attorneys in the state of Iowa or shall have experience administering student judicial processes for a public institution.</w:t>
      </w:r>
    </w:p>
    <w:p>
      <w:pPr>
        <w:spacing w:before="0" w:after="0"/>
        <w:ind w:left="120"/>
        <w:jc w:val="both"/>
      </w:pPr>
      <w:r>
        <w:rPr>
          <w:rFonts w:ascii="Times New Roman" w:hAnsi="Times New Roman"/>
          <w:b/>
          <w:i w:val="false"/>
          <w:color w:val="000000"/>
          <w:sz w:val="22"/>
        </w:rPr>
        <w:t>681—9.4</w:t>
      </w:r>
      <w:r>
        <w:rPr>
          <w:rFonts w:ascii="Times New Roman" w:hAnsi="Times New Roman"/>
          <w:b/>
          <w:i w:val="false"/>
          <w:color w:val="000000"/>
          <w:sz w:val="22"/>
        </w:rPr>
        <w:t xml:space="preserve">(23A) </w:t>
      </w:r>
      <w:r>
        <w:rPr>
          <w:rFonts w:ascii="Times New Roman" w:hAnsi="Times New Roman"/>
          <w:b/>
          <w:i w:val="false"/>
          <w:color w:val="000000"/>
          <w:sz w:val="22"/>
        </w:rPr>
        <w:t xml:space="preserve">Policy on competition with private enterprise.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A primary responsibility of the board of regents is to oversee institutions whose missions include the creation and dissemination of knowledge. These missions encompass teaching, research, and services. To fulfill their missions effectively, institutions under the control of the state board of regents occasionally provide goods and services which enhance, promote, or support the instructional, research, public service, and other functions to meet the needs of students, faculty, staff, patients, visitors, and members of the public participating in institutional events.</w:t>
      </w:r>
    </w:p>
    <w:p>
      <w:pPr>
        <w:spacing w:before="0" w:after="0"/>
        <w:ind w:left="120"/>
        <w:jc w:val="both"/>
      </w:pPr>
      <w:r>
        <w:rPr>
          <w:rFonts w:ascii="Times New Roman" w:hAnsi="Times New Roman"/>
          <w:b w:val="false"/>
          <w:i w:val="false"/>
          <w:color w:val="000000"/>
          <w:sz w:val="22"/>
        </w:rPr>
        <w:t>It is the policy of the board of regents that the institutions shall not engage in competition with private enterprise unless the activity will assist in the education, research, extension or service mission of the institutions.</w:t>
      </w:r>
    </w:p>
    <w:p>
      <w:pPr>
        <w:spacing w:before="0" w:after="0"/>
        <w:ind w:left="120"/>
        <w:jc w:val="both"/>
      </w:pPr>
      <w:r>
        <w:rPr>
          <w:rFonts w:ascii="Times New Roman" w:hAnsi="Times New Roman"/>
          <w:b w:val="false"/>
          <w:i w:val="false"/>
          <w:color w:val="000000"/>
          <w:sz w:val="22"/>
        </w:rPr>
        <w:t>All activities involving the sale of goods, services, or facility usage shall be in accordance with an authorization and statement of purpose approved by the chief business officer at each institution. This approval will be given only after review which demonstrates that one or more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activity is deemed to be an integral part of the institution’s educational, research, public service and campus support functions, and other educational and support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activity is needed to provide an integral good or service which is not reasonably available in the community; or the activity is needed to provide an integral good or service at time, price, location, or terms which are not reasonably available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activity is carried out for the primary benefit of the campus community and is incidental to the education, research, service, or extension missions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activity is carried out due to the importance of maintaining the quality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“Institutions under the control of the state board of regents” </w:t>
      </w:r>
      <w:r>
        <w:rPr>
          <w:rFonts w:ascii="Times New Roman" w:hAnsi="Times New Roman"/>
          <w:b w:val="false"/>
          <w:i w:val="false"/>
          <w:color w:val="000000"/>
          <w:sz w:val="22"/>
        </w:rPr>
        <w:t>means the State University of Iowa, the University of Northern Iowa, Iowa State University of science and technology, Iowa School for the Deaf, and Iowa Braille and Sight Saving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enterprise” </w:t>
      </w:r>
      <w:r>
        <w:rPr>
          <w:rFonts w:ascii="Times New Roman" w:hAnsi="Times New Roman"/>
          <w:b w:val="false"/>
          <w:i w:val="false"/>
          <w:color w:val="000000"/>
          <w:sz w:val="22"/>
        </w:rPr>
        <w:t>means an individual, firm, partnership, joint venture, corporation, association, or other legal entity engaging in the manufacturing, processing, sale, offering for sale, rental, leasing, delivery, dispensing, distributing, or advertising of goods or services for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Policy in writing. </w:t>
      </w:r>
      <w:r>
        <w:rPr>
          <w:rFonts w:ascii="Times New Roman" w:hAnsi="Times New Roman"/>
          <w:b w:val="false"/>
          <w:i w:val="false"/>
          <w:color w:val="000000"/>
          <w:sz w:val="22"/>
        </w:rPr>
        <w:t>Each institution under the control of the state board of regents shall have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mechanism for reviewing proposed activities involving the sale of goods, provision of services, or usage of facilities to ensure that activities are consistent with board of regents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procedure for receiving, reviewing, and responding to inquiries about activities carried out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State board of regents institutions shall not engage in activities provided by private enterprise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Exceptions provided by statute. </w:t>
      </w:r>
      <w:r>
        <w:rPr>
          <w:rFonts w:ascii="Times New Roman" w:hAnsi="Times New Roman"/>
          <w:b w:val="false"/>
          <w:i w:val="false"/>
          <w:color w:val="000000"/>
          <w:sz w:val="22"/>
        </w:rPr>
        <w:t xml:space="preserve">This prohibition does not apply to the activities of an institution under the control of the state board of regents as provided in Iowa Code section </w:t>
      </w:r>
      <w:hyperlink r:id="rId15">
        <w:r>
          <w:rPr>
            <w:rStyle w:val="Hyperlink"/>
            <w:rFonts w:ascii="Times New Roman" w:hAnsi="Times New Roman"/>
            <w:b w:val="false"/>
            <w:i w:val="false"/>
            <w:color w:val="000000"/>
            <w:sz w:val="22"/>
          </w:rPr>
          <w:t>23A.2(10)</w:t>
        </w:r>
      </w:hyperlink>
      <w:r>
        <w:rPr>
          <w:rFonts w:ascii="Times New Roman" w:hAnsi="Times New Roman"/>
          <w:b w:val="false"/>
          <w:i/>
          <w:color w:val="000000"/>
          <w:sz w:val="22"/>
        </w:rPr>
        <w:t>“k”</w:t>
      </w:r>
      <w:r>
        <w:rPr>
          <w:rFonts w:ascii="Times New Roman" w:hAnsi="Times New Roman"/>
          <w:b w:val="false"/>
          <w:i w:val="false"/>
          <w:color w:val="000000"/>
          <w:sz w:val="22"/>
        </w:rPr>
        <w:t>(1) to (10) or any other applicable provision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state board of regents exempts the following activities from the prohibition against competition with private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Goods and services that are directly and reasonably related to the mission of the institution including (activities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Conferences, institutes, outreach programs, specialized centers and other efforts and programs which provide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day care services and health services provided to members of the university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media, publication, distribution, and audiovisual centers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and guest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custodial, maintenance, and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Goods and services offered to only students, employees, or guests of the institution or school and which cannot be provided by private enterprise at the same or lower cost, including (activities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Gift shops which offer a limited and specialized array of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Specialized instruction in the visual or performing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Dormitory-based shops which serve students and offer a limited range of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acquisition, maintenance, and use of institutional aircraft and a vehicle fleet maintained for the purpose of transportation for educational and related purposes, including field 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or devices sold or leased for use off premises of an institution, school, or University of Iowa Hospitals and Clinics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equipment is needed to initiate or effectuate a treatment regimen (i.e., implants);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is essential to a rehabilitation program (i.e., crutches, prostheses);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is of a specialized nature and is not reasonably available elsewhere (i.e., customized or adaptive equipment for the handicapped);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short-term supply of equipment is provided to avoid disruption in a treatment regimen when a patient is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Goods or services which are not otherwise available in the quantity or quality required by the institution, including (activities such as) specialized course materials, equipment, supplies, software, and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Telecommunications systems utilized for communications within the institution’s community of interest and broadcast and narrowcast communication systems, including microwave, fiber-optic and satellite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programs, and associated support services for fitness and recreation initiated and maintained primarily for the benefit of students, faculty,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Food services and sales located on campus and initiated and maintained primarily for the benefit of students, faculty, staff, and guests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Sales of books, records, tapes, software, educational equipment and supplies, and personal computers and associated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Goods and services provided to other state board of regents institutions; affiliates of state board of regents institutions; federal, state, and local government entities; nonprofit organizations; entities established pursuant to Iowa Code chapter </w:t>
      </w:r>
      <w:hyperlink r:id="rId1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and student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9.4(7)</w:t>
      </w:r>
      <w:r>
        <w:rPr>
          <w:rFonts w:ascii="Times New Roman" w:hAnsi="Times New Roman"/>
          <w:b w:val="false"/>
          <w:i w:val="false"/>
          <w:color w:val="000000"/>
          <w:sz w:val="22"/>
        </w:rPr>
        <w:t> </w:t>
      </w:r>
      <w:r>
        <w:rPr>
          <w:rFonts w:ascii="Times New Roman" w:hAnsi="Times New Roman"/>
          <w:b w:val="false"/>
          <w:i/>
          <w:color w:val="000000"/>
          <w:sz w:val="22"/>
        </w:rPr>
        <w:t xml:space="preserve">Provision for consultation with community and related business interests. </w:t>
      </w:r>
      <w:r>
        <w:rPr>
          <w:rFonts w:ascii="Times New Roman" w:hAnsi="Times New Roman"/>
          <w:b w:val="false"/>
          <w:i w:val="false"/>
          <w:color w:val="000000"/>
          <w:sz w:val="22"/>
        </w:rPr>
        <w:t>Each institution under the control of the state board of regents shall establish a mechanism for consultation with business interests in its community or area. This will involve the chief financial officer of the institution, and representatives of the institution, and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Advising the institution on policies and procedures regarding the sale of goods or services which might compete with private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at the request of the institution, on particular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duties as may be requested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9.4(8)</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An appeal process is essential for resolving complaints involving competition with private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enterprise which seeks to appeal an action or activity of an institution under the control of the state board of regents shall attempt to resolve the issue at the institutional level. The form of appeal to the institution shall be a letter to the chief business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enterprise is dissatisfied with the institution’s response, the private enterprise may notify the executive director of the state board of regents and request assistance. This request shall be in writing and shall describe the action or activity which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then take action to assist the private enterprise and the institution in resolving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issue remains unresolved, the executive director, at the request of the private enterprise, may docket the matter for review by the board of regents. If the matter is docketed, the executive director will prepare a recommendation for the board of regents to consider. A copy of the recommendation with notice of the time, date, and place of the meeting for which the matter has been docketed shall be transmitted to the private enterprise and the institutions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Board of regents action shall constitute a final agency action.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681—9.5</w:t>
      </w:r>
      <w:r>
        <w:rPr>
          <w:rFonts w:ascii="Times New Roman" w:hAnsi="Times New Roman"/>
          <w:b/>
          <w:i w:val="false"/>
          <w:color w:val="000000"/>
          <w:sz w:val="22"/>
        </w:rPr>
        <w:t xml:space="preserve">(262) </w:t>
      </w:r>
      <w:r>
        <w:rPr>
          <w:rFonts w:ascii="Times New Roman" w:hAnsi="Times New Roman"/>
          <w:b/>
          <w:i w:val="false"/>
          <w:color w:val="000000"/>
          <w:sz w:val="22"/>
        </w:rPr>
        <w:t xml:space="preserve">Telecommunications policies and procedures.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10/6/21</w:t>
      </w:r>
      <w:r>
        <w:rPr>
          <w:rFonts w:ascii="Times New Roman" w:hAnsi="Times New Roman"/>
          <w:b w:val="false"/>
          <w:i w:val="false"/>
          <w:color w:val="000000"/>
          <w:sz w:val="22"/>
        </w:rPr>
        <w:t xml:space="preserve">, effective 11/10/21. </w:t>
      </w:r>
    </w:p>
    <w:p>
      <w:pPr>
        <w:spacing w:before="210" w:after="0"/>
        <w:ind w:left="120"/>
        <w:jc w:val="both"/>
      </w:pPr>
      <w:r>
        <w:rPr>
          <w:rFonts w:ascii="Times New Roman" w:hAnsi="Times New Roman"/>
          <w:b/>
          <w:i w:val="false"/>
          <w:color w:val="000000"/>
          <w:sz w:val="22"/>
        </w:rPr>
        <w:t>681—9.6</w:t>
      </w:r>
      <w:r>
        <w:rPr>
          <w:rFonts w:ascii="Times New Roman" w:hAnsi="Times New Roman"/>
          <w:b/>
          <w:i w:val="false"/>
          <w:color w:val="000000"/>
          <w:sz w:val="22"/>
        </w:rPr>
        <w:t xml:space="preserve">(262) </w:t>
      </w:r>
      <w:r>
        <w:rPr>
          <w:rFonts w:ascii="Times New Roman" w:hAnsi="Times New Roman"/>
          <w:b/>
          <w:i w:val="false"/>
          <w:color w:val="000000"/>
          <w:sz w:val="22"/>
        </w:rPr>
        <w:t xml:space="preserve">Notification to students on increases in tuition, fees, or charges.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10/6/21</w:t>
      </w:r>
      <w:r>
        <w:rPr>
          <w:rFonts w:ascii="Times New Roman" w:hAnsi="Times New Roman"/>
          <w:b w:val="false"/>
          <w:i w:val="false"/>
          <w:color w:val="000000"/>
          <w:sz w:val="22"/>
        </w:rPr>
        <w:t xml:space="preserve">, effective 11/10/21. </w:t>
      </w:r>
    </w:p>
    <w:p>
      <w:pPr>
        <w:spacing w:before="210" w:after="0"/>
        <w:ind w:left="120"/>
        <w:jc w:val="both"/>
      </w:pPr>
      <w:r>
        <w:rPr>
          <w:rFonts w:ascii="Times New Roman" w:hAnsi="Times New Roman"/>
          <w:b/>
          <w:i w:val="false"/>
          <w:color w:val="000000"/>
          <w:sz w:val="22"/>
        </w:rPr>
        <w:t>681—9.7</w:t>
      </w:r>
      <w:r>
        <w:rPr>
          <w:rFonts w:ascii="Times New Roman" w:hAnsi="Times New Roman"/>
          <w:b/>
          <w:i w:val="false"/>
          <w:color w:val="000000"/>
          <w:sz w:val="22"/>
        </w:rPr>
        <w:t xml:space="preserve">(262) </w:t>
      </w:r>
      <w:r>
        <w:rPr>
          <w:rFonts w:ascii="Times New Roman" w:hAnsi="Times New Roman"/>
          <w:b/>
          <w:i w:val="false"/>
          <w:color w:val="000000"/>
          <w:sz w:val="22"/>
        </w:rPr>
        <w:t xml:space="preserve">Distribution of docket information.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10/6/21</w:t>
      </w:r>
      <w:r>
        <w:rPr>
          <w:rFonts w:ascii="Times New Roman" w:hAnsi="Times New Roman"/>
          <w:b w:val="false"/>
          <w:i w:val="false"/>
          <w:color w:val="000000"/>
          <w:sz w:val="22"/>
        </w:rPr>
        <w:t xml:space="preserve">, effective 11/10/21. </w:t>
      </w:r>
    </w:p>
    <w:p>
      <w:pPr>
        <w:spacing w:before="0" w:after="0"/>
        <w:ind w:left="120"/>
        <w:jc w:val="both"/>
      </w:pPr>
      <w:r>
        <w:rPr>
          <w:rFonts w:ascii="Times New Roman" w:hAnsi="Times New Roman"/>
          <w:b/>
          <w:i w:val="false"/>
          <w:color w:val="000000"/>
          <w:sz w:val="22"/>
        </w:rPr>
        <w:t>681—9.8</w:t>
      </w:r>
      <w:r>
        <w:rPr>
          <w:rFonts w:ascii="Times New Roman" w:hAnsi="Times New Roman"/>
          <w:b/>
          <w:i w:val="false"/>
          <w:color w:val="000000"/>
          <w:sz w:val="22"/>
        </w:rPr>
        <w:t xml:space="preserve">(262) </w:t>
      </w:r>
      <w:r>
        <w:rPr>
          <w:rFonts w:ascii="Times New Roman" w:hAnsi="Times New Roman"/>
          <w:b/>
          <w:i w:val="false"/>
          <w:color w:val="000000"/>
          <w:sz w:val="22"/>
        </w:rPr>
        <w:t xml:space="preserve">Procurement policy for goods and services. </w:t>
      </w:r>
      <w:r>
        <w:rPr>
          <w:rFonts w:ascii="Times New Roman" w:hAnsi="Times New Roman"/>
          <w:b w:val="false"/>
          <w:i w:val="false"/>
          <w:color w:val="000000"/>
          <w:sz w:val="22"/>
        </w:rPr>
        <w:t>The best interests of the state of Iowa and of the regent institutions are served through implementation of a full and free competitive purchasing system for the procurement of goods and services fostered by the use of open specifications, competitive bids or quotations, and awards to the lowest responsible bidder or to the bidder that submits the bid or quotation that provides the best overall value. The name of the successful bidder and all other bidders and the amounts bid shall be supplied to any person upon oral or written request following the execution of the prime contract(s) or agreement(s) related to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262.9(18)</w:t>
        </w:r>
      </w:hyperlink>
      <w:r>
        <w:rPr>
          <w:rFonts w:ascii="Times New Roman" w:hAnsi="Times New Roman"/>
          <w:b w:val="false"/>
          <w:i w:val="false"/>
          <w:color w:val="000000"/>
          <w:sz w:val="22"/>
        </w:rPr>
        <w:t xml:space="preserve"> and chapters </w:t>
      </w:r>
      <w:hyperlink r:id="rId1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6/16/75]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emergency 7/27/88—published 8/24/88, effective 7/27/88]</w:t>
      </w:r>
    </w:p>
    <w:p>
      <w:pPr>
        <w:spacing w:before="0" w:after="0"/>
        <w:ind w:left="120"/>
        <w:jc w:val="center"/>
      </w:pPr>
      <w:r>
        <w:rPr>
          <w:rFonts w:ascii="Times New Roman" w:hAnsi="Times New Roman"/>
          <w:b w:val="false"/>
          <w:i w:val="false"/>
          <w:color w:val="000000"/>
          <w:sz w:val="21"/>
        </w:rPr>
        <w:t>[Filed 5/25/89, Notice 3/22/89—published 6/14/89, effective 7/19/89]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6/23/89, Notice 3/8/89—published 7/12/89, effective 8/16/89]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7/2/90, Notice 5/2/90—published 7/25/90, effective 8/29/90]</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12/21/04, Notice 10/13/04—published 1/19/05, effective 2/23/05]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ARC 0037C</w:t>
      </w:r>
      <w:r>
        <w:rPr>
          <w:rFonts w:ascii="Times New Roman" w:hAnsi="Times New Roman"/>
          <w:b w:val="false"/>
          <w:i w:val="false"/>
          <w:color w:val="000000"/>
          <w:sz w:val="21"/>
        </w:rPr>
        <w:t xml:space="preserve"> (Notice ARC 9869B, IAB 11/30/11)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5950C</w:t>
      </w:r>
      <w:r>
        <w:rPr>
          <w:rFonts w:ascii="Times New Roman" w:hAnsi="Times New Roman"/>
          <w:b w:val="false"/>
          <w:i w:val="false"/>
          <w:color w:val="000000"/>
          <w:sz w:val="21"/>
        </w:rPr>
        <w:t xml:space="preserve"> (Notice ARC 5698C, IAB 6/16/21)</w:t>
      </w:r>
      <w:r>
        <w:rPr>
          <w:rFonts w:ascii="Times New Roman" w:hAnsi="Times New Roman"/>
          <w:b w:val="false"/>
          <w:i w:val="false"/>
          <w:color w:val="000000"/>
          <w:sz w:val="21"/>
        </w:rPr>
        <w:t>, IAB 10/6/21, effective 11/10/21]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681—9.4(23A) delayed 70 days from 8/16/89 by the Administrative Rules Review Committee at its August 3, 1989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9.1.pdf" Type="http://schemas.openxmlformats.org/officeDocument/2006/relationships/hyperlink" Id="rId5"/>
    <Relationship TargetMode="External" Target="https://www.legis.iowa.gov/docs/iac/rule/681.9.1.pdf" Type="http://schemas.openxmlformats.org/officeDocument/2006/relationships/hyperlink" Id="rId6"/>
    <Relationship TargetMode="External" Target="https://www.legis.iowa.gov/docs/iac/rule/681.9.1.pdf" Type="http://schemas.openxmlformats.org/officeDocument/2006/relationships/hyperlink" Id="rId7"/>
    <Relationship TargetMode="External" Target="https://www.legis.iowa.gov/docs/iac/rule/681.9.1.pdf" Type="http://schemas.openxmlformats.org/officeDocument/2006/relationships/hyperlink" Id="rId8"/>
    <Relationship TargetMode="External" Target="https://www.legis.iowa.gov/docs/iac/rule/681.9.1.pdf" Type="http://schemas.openxmlformats.org/officeDocument/2006/relationships/hyperlink" Id="rId9"/>
    <Relationship TargetMode="External" Target="https://www.legis.iowa.gov/docs/iac/rule/681.9.1.pdf" Type="http://schemas.openxmlformats.org/officeDocument/2006/relationships/hyperlink" Id="rId10"/>
    <Relationship TargetMode="External" Target="https://www.legis.iowa.gov/docs/iac/rule/681.9.1.pdf" Type="http://schemas.openxmlformats.org/officeDocument/2006/relationships/hyperlink" Id="rId11"/>
    <Relationship TargetMode="External" Target="https://www.legis.iowa.gov/docs/iac/rule/681.9.1.pdf" Type="http://schemas.openxmlformats.org/officeDocument/2006/relationships/hyperlink" Id="rId12"/>
    <Relationship TargetMode="External" Target="https://www.legis.iowa.gov/docs/iac/rule/681.9.1.pdf" Type="http://schemas.openxmlformats.org/officeDocument/2006/relationships/hyperlink" Id="rId13"/>
    <Relationship TargetMode="External" Target="https://www.legis.iowa.gov/docs/iac/rule/681.9.1.pdf" Type="http://schemas.openxmlformats.org/officeDocument/2006/relationships/hyperlink" Id="rId14"/>
    <Relationship TargetMode="External" Target="https://www.legis.iowa.gov/docs/ico/chapter/23A.2.pdf" Type="http://schemas.openxmlformats.org/officeDocument/2006/relationships/hyperlink" Id="rId15"/>
    <Relationship TargetMode="External" Target="https://www.legis.iowa.gov/docs/ico/chapter/28E.pdf" Type="http://schemas.openxmlformats.org/officeDocument/2006/relationships/hyperlink" Id="rId16"/>
    <Relationship TargetMode="External" Target="https://www.legis.iowa.gov/docs/ico/chapter/23A.pdf" Type="http://schemas.openxmlformats.org/officeDocument/2006/relationships/hyperlink" Id="rId17"/>
    <Relationship TargetMode="External" Target="https://www.legis.iowa.gov/docs/ico/chapter/262.9.pdf" Type="http://schemas.openxmlformats.org/officeDocument/2006/relationships/hyperlink" Id="rId18"/>
    <Relationship TargetMode="External" Target="https://www.legis.iowa.gov/docs/ico/chapter/262.pdf" Type="http://schemas.openxmlformats.org/officeDocument/2006/relationships/hyperlink" Id="rId19"/>
    <Relationship TargetMode="External" Target="https://www.legis.iowa.gov/docs/ico/chapter/23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