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681—19.1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board of regents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681—19.2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board of regents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board of regents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681—19.3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board of regents shall maintain a current public rule-making docket. The board of regents designates its director of legal affairs, human resources and information technology as its agency rules coordinator. Persons interested in information about rules being considered by the board of regents should contact the following office: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Board of Regents</w:t>
      </w:r>
    </w:p>
    <w:p>
      <w:pPr>
        <w:spacing w:before="0" w:after="0"/>
        <w:ind w:left="120"/>
        <w:jc w:val="both"/>
      </w:pPr>
      <w:r>
        <w:rPr>
          <w:rFonts w:ascii="Times New Roman" w:hAnsi="Times New Roman"/>
          <w:b w:val="false"/>
          <w:i w:val="false"/>
          <w:color w:val="000000"/>
          <w:sz w:val="22"/>
        </w:rPr>
        <w:t>11260 Aurora Avenue</w:t>
      </w:r>
    </w:p>
    <w:p>
      <w:pPr>
        <w:spacing w:before="0" w:after="0"/>
        <w:ind w:left="120"/>
        <w:jc w:val="both"/>
      </w:pPr>
      <w:r>
        <w:rPr>
          <w:rFonts w:ascii="Times New Roman" w:hAnsi="Times New Roman"/>
          <w:b w:val="false"/>
          <w:i w:val="false"/>
          <w:color w:val="000000"/>
          <w:sz w:val="22"/>
        </w:rPr>
        <w:t>Urbandale, IA 50322</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Persons interested in information about rules being considered at each regent institution should contact the following offices: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University of Iowa</w:t>
      </w:r>
    </w:p>
    <w:p>
      <w:pPr>
        <w:spacing w:before="0" w:after="0"/>
        <w:ind w:left="120"/>
        <w:jc w:val="both"/>
      </w:pPr>
      <w:r>
        <w:rPr>
          <w:rFonts w:ascii="Times New Roman" w:hAnsi="Times New Roman"/>
          <w:b w:val="false"/>
          <w:i w:val="false"/>
          <w:color w:val="000000"/>
          <w:sz w:val="22"/>
        </w:rPr>
        <w:t>Office of University Relations</w:t>
      </w:r>
    </w:p>
    <w:p>
      <w:pPr>
        <w:spacing w:before="0" w:after="0"/>
        <w:ind w:left="120"/>
        <w:jc w:val="both"/>
      </w:pPr>
      <w:r>
        <w:rPr>
          <w:rFonts w:ascii="Times New Roman" w:hAnsi="Times New Roman"/>
          <w:b w:val="false"/>
          <w:i w:val="false"/>
          <w:color w:val="000000"/>
          <w:sz w:val="22"/>
        </w:rPr>
        <w:t>5 Old Capitol</w:t>
      </w:r>
    </w:p>
    <w:p>
      <w:pPr>
        <w:spacing w:before="0" w:after="0"/>
        <w:ind w:left="120"/>
        <w:jc w:val="both"/>
      </w:pPr>
      <w:r>
        <w:rPr>
          <w:rFonts w:ascii="Times New Roman" w:hAnsi="Times New Roman"/>
          <w:b w:val="false"/>
          <w:i w:val="false"/>
          <w:color w:val="000000"/>
          <w:sz w:val="22"/>
        </w:rPr>
        <w:t>Iowa City, IA 52242</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Iowa State University</w:t>
      </w:r>
    </w:p>
    <w:p>
      <w:pPr>
        <w:spacing w:before="0" w:after="0"/>
        <w:ind w:left="120"/>
        <w:jc w:val="both"/>
      </w:pPr>
      <w:r>
        <w:rPr>
          <w:rFonts w:ascii="Times New Roman" w:hAnsi="Times New Roman"/>
          <w:b w:val="false"/>
          <w:i w:val="false"/>
          <w:color w:val="000000"/>
          <w:sz w:val="22"/>
        </w:rPr>
        <w:t>Office of University Counsel</w:t>
      </w:r>
    </w:p>
    <w:p>
      <w:pPr>
        <w:spacing w:before="0" w:after="0"/>
        <w:ind w:left="120"/>
        <w:jc w:val="both"/>
      </w:pPr>
      <w:r>
        <w:rPr>
          <w:rFonts w:ascii="Times New Roman" w:hAnsi="Times New Roman"/>
          <w:b w:val="false"/>
          <w:i w:val="false"/>
          <w:color w:val="000000"/>
          <w:sz w:val="22"/>
        </w:rPr>
        <w:t>3550 Beardshear Hall</w:t>
      </w:r>
    </w:p>
    <w:p>
      <w:pPr>
        <w:spacing w:before="0" w:after="0"/>
        <w:ind w:left="120"/>
        <w:jc w:val="both"/>
      </w:pPr>
      <w:r>
        <w:rPr>
          <w:rFonts w:ascii="Times New Roman" w:hAnsi="Times New Roman"/>
          <w:b w:val="false"/>
          <w:i w:val="false"/>
          <w:color w:val="000000"/>
          <w:sz w:val="22"/>
        </w:rPr>
        <w:t>515 Morrill Road</w:t>
      </w:r>
    </w:p>
    <w:p>
      <w:pPr>
        <w:spacing w:before="0" w:after="0"/>
        <w:ind w:left="120"/>
        <w:jc w:val="both"/>
      </w:pPr>
      <w:r>
        <w:rPr>
          <w:rFonts w:ascii="Times New Roman" w:hAnsi="Times New Roman"/>
          <w:b w:val="false"/>
          <w:i w:val="false"/>
          <w:color w:val="000000"/>
          <w:sz w:val="22"/>
        </w:rPr>
        <w:t>Ames, IA 50011</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University of Northern Iowa</w:t>
      </w:r>
    </w:p>
    <w:p>
      <w:pPr>
        <w:spacing w:before="0" w:after="0"/>
        <w:ind w:left="120"/>
        <w:jc w:val="both"/>
      </w:pPr>
      <w:r>
        <w:rPr>
          <w:rFonts w:ascii="Times New Roman" w:hAnsi="Times New Roman"/>
          <w:b w:val="false"/>
          <w:i w:val="false"/>
          <w:color w:val="000000"/>
          <w:sz w:val="22"/>
        </w:rPr>
        <w:t>Office of the Operations Auditor</w:t>
      </w:r>
    </w:p>
    <w:p>
      <w:pPr>
        <w:spacing w:before="0" w:after="0"/>
        <w:ind w:left="120"/>
        <w:jc w:val="both"/>
      </w:pPr>
      <w:r>
        <w:rPr>
          <w:rFonts w:ascii="Times New Roman" w:hAnsi="Times New Roman"/>
          <w:b w:val="false"/>
          <w:i w:val="false"/>
          <w:color w:val="000000"/>
          <w:sz w:val="22"/>
        </w:rPr>
        <w:t>242 Gilchrist Hall</w:t>
      </w:r>
    </w:p>
    <w:p>
      <w:pPr>
        <w:spacing w:before="0" w:after="0"/>
        <w:ind w:left="120"/>
        <w:jc w:val="both"/>
      </w:pPr>
      <w:r>
        <w:rPr>
          <w:rFonts w:ascii="Times New Roman" w:hAnsi="Times New Roman"/>
          <w:b w:val="false"/>
          <w:i w:val="false"/>
          <w:color w:val="000000"/>
          <w:sz w:val="22"/>
        </w:rPr>
        <w:t>Cedar Falls, IA 50614</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Iowa School for the Deaf</w:t>
      </w:r>
    </w:p>
    <w:p>
      <w:pPr>
        <w:spacing w:before="0" w:after="0"/>
        <w:ind w:left="120"/>
        <w:jc w:val="both"/>
      </w:pPr>
      <w:r>
        <w:rPr>
          <w:rFonts w:ascii="Times New Roman" w:hAnsi="Times New Roman"/>
          <w:b w:val="false"/>
          <w:i w:val="false"/>
          <w:color w:val="000000"/>
          <w:sz w:val="22"/>
        </w:rPr>
        <w:t>Superintendent</w:t>
      </w:r>
    </w:p>
    <w:p>
      <w:pPr>
        <w:spacing w:before="0" w:after="0"/>
        <w:ind w:left="120"/>
        <w:jc w:val="both"/>
      </w:pPr>
      <w:r>
        <w:rPr>
          <w:rFonts w:ascii="Times New Roman" w:hAnsi="Times New Roman"/>
          <w:b w:val="false"/>
          <w:i w:val="false"/>
          <w:color w:val="000000"/>
          <w:sz w:val="22"/>
        </w:rPr>
        <w:t>1600 S. Highway 275</w:t>
      </w:r>
    </w:p>
    <w:p>
      <w:pPr>
        <w:spacing w:before="0" w:after="0"/>
        <w:ind w:left="120"/>
        <w:jc w:val="both"/>
      </w:pPr>
      <w:r>
        <w:rPr>
          <w:rFonts w:ascii="Times New Roman" w:hAnsi="Times New Roman"/>
          <w:b w:val="false"/>
          <w:i w:val="false"/>
          <w:color w:val="000000"/>
          <w:sz w:val="22"/>
        </w:rPr>
        <w:t>Council Bluffs, IA 51503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board of regents between the board of regents and one or more regent institutions. For each anticipated rule-making proceeding the docket shall contain a listing of the precise subject matter which may be submitted for consideration by the board of regents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board of regents personnel with whom persons may communicate with respect to the matter, and an indication of the present status within the board of regents of that possible rule. The board of regents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board of regents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board of regents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681—19.4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board of regents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board of regents shall include in the notice a statement fully describing the specific subject matter of the omitted portion of the text of the proposed rule, the specific issues to be addressed by that omitted text of the proposed rule, and the range of possible choices being considered by the board of regents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9">
        <w:r>
          <w:rPr>
            <w:rStyle w:val="Hyperlink"/>
            <w:rFonts w:ascii="Times New Roman" w:hAnsi="Times New Roman"/>
            <w:b w:val="false"/>
            <w:i w:val="false"/>
            <w:color w:val="000000"/>
            <w:sz w:val="22"/>
          </w:rPr>
          <w:t>subrule 19.12(2)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board of regents, a written request indicating the name and address to which such notices should be sent. Within seven days after submission of a Notice of Intended Action to the administrative rules coordinator for publication in the Iowa Administrative Bulletin, the board of regents shall mail or electronically transmit a copy of that notice to subscribers who have filed a written request for either mailing or electronic transmittal with the board of regents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ind w:left="120"/>
        <w:jc w:val="both"/>
      </w:pPr>
      <w:r>
        <w:rPr>
          <w:rFonts w:ascii="Times New Roman" w:hAnsi="Times New Roman"/>
          <w:b/>
          <w:i w:val="false"/>
          <w:color w:val="000000"/>
          <w:sz w:val="22"/>
        </w:rPr>
        <w:t>681—19.5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office of the Board of Regents, 11260 Aurora Avenue, Urbandale, Iowa 50322,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board of regents may, at any time, schedule an oral proceeding on a proposed rule. The board of regents shall schedule an oral proceeding on a proposed rule if, within 20 days after the published Notice of Intended Action, a written request for an opportunity to make oral presentations is submitted to the board of regents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board of regents, a member of the board of regents, or another person designated by the board of regents who will be familiar with the substance of the proposed rule, shall preside at the oral proceeding on a proposed rule. If the board of regents does not preside, the presiding officer shall prepare a memorandum for consideration by the board summarizing the contents of the presentations made at the oral proceeding unless the board determines that such a memorandum is unnecessary because the board will personally listen to or read the entire transcript of the oral proceeding. The board delegates to its executive director authority to conduct oral proceedings. The executive director may delegate to regent institution officials the responsibility to conduct proceedings relating to rules of that regent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board of regents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board of regents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board of regents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board of regents shall schedule oral proceedings in rooms accessible to and functional for persons with physical disabilities. Persons who have special requirements should contact the office of the Board of Regents, 11260 Aurora Avenue, Urbandale, Iowa 50322, telephone (515)281-3934,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681—19.6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board of regents small business impact list by making a written application addressed to the office of the Board of Regents, 11260 Aurora Avenue, Urbandale, Iowa 50322.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board of regents may at any time request additional information from the applicant to determine whether the applicant is qualified as a small business or as an organization of 25 or more small businesses. The board of regents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board of regents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1">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board of regents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board of regents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board of regents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board of regents shall adhere to the time lines described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board of regents. The request shall be in writing and satisfy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board of regents shall make available to the maximum extent feasible, copies of the published summary in conformance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681—19.7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1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val="false"/>
          <w:color w:val="000000"/>
          <w:sz w:val="22"/>
        </w:rPr>
        <w:t>If the board of regents determines at the time it adopts a rule that the fiscal impact statement upon which the rule is based contains errors, the board of regents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681—19.8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board of regents shall not adopt a rule until the period for making written submissions and oral presentations has expired. Within 180 days after the later of the publication of the Notice of Intended Action, or the end of oral proceedings thereon, the board of regents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board of regents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Reliance on board of regents expertise. </w:t>
      </w:r>
      <w:r>
        <w:rPr>
          <w:rFonts w:ascii="Times New Roman" w:hAnsi="Times New Roman"/>
          <w:b w:val="false"/>
          <w:i w:val="false"/>
          <w:color w:val="000000"/>
          <w:sz w:val="22"/>
        </w:rPr>
        <w:t>Except as otherwise provided by law, the board of regents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681—19.9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val="false"/>
          <w:color w:val="000000"/>
          <w:sz w:val="22"/>
        </w:rPr>
        <w:t>The board of regents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differences are within the scope of the subject matter announced in the Notice of Intended Action and are in character with the issues raised in that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board of regents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subject matter of the rule or the issues determined by the rule are different from the subject matter or issues contained in the Notice of Intended Action;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w:t>
      </w:r>
      <w:r>
        <w:rPr>
          <w:rFonts w:ascii="Times New Roman" w:hAnsi="Times New Roman"/>
          <w:b w:val="false"/>
          <w:i w:val="false"/>
          <w:color w:val="000000"/>
          <w:sz w:val="22"/>
        </w:rPr>
        <w:t> </w:t>
      </w:r>
      <w:r>
        <w:rPr>
          <w:rFonts w:ascii="Times New Roman" w:hAnsi="Times New Roman"/>
          <w:b w:val="false"/>
          <w:i w:val="false"/>
          <w:color w:val="000000"/>
          <w:sz w:val="22"/>
        </w:rPr>
        <w:t>The board of regents shall commence a rule-making proceeding within 60 days of its receipt of a petition for rule making seeking the amendment or repeal of a rule that differs from the proposed rule contained in the Notice of Intended Action upon which the rule is based, unless the board of regents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3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board of regents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681—19.10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board of regents for good cause finds that public notice and participation are unnecessary, impracticable, or contrary to the public interest in the process of adopting a particular rule, the board of regents may adopt that rule without publishing advance Notice of Intended Action in the Iowa Administrative Bulletin and without providing for written or oral public submissions prior to its adoption. The board of regents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relating to the care of patients or animals at medical or veterinary facilities operated by a regent institution, including rules regarding visitation and conduct of visitors at such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relating to safety as applied to visitors in research laboratories, research farms and other research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Rules relating to the provision of educational services to persons not usually considered students, but who receive services like those available to students, such as conference attendees, persons receiving outreach and extension services, athletic camp attendees, persons taking academic tests or receiving academic evaluation, and persons attending special academic programs tailored to persons not enrolled as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rules relating to safety or crowd management at ceremonial, celebratory, athletic, artistic, musical and similar events at a regent institution as long as the institution has adopted by formal rule making the general rules of conduct at such events;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Rules relating to the use by the general public of the regent institutions’ computing equipment, networks, software, electronic information resources, databases and the like.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board of regents may, at any time, commence a standard rule-making proceeding for the adoption of a rule that is identical or similar to a rule it adopts in reliance upon </w:t>
      </w:r>
      <w:hyperlink r:id="rId13">
        <w:r>
          <w:rPr>
            <w:rStyle w:val="Hyperlink"/>
            <w:rFonts w:ascii="Times New Roman" w:hAnsi="Times New Roman"/>
            <w:b w:val="false"/>
            <w:i w:val="false"/>
            <w:color w:val="000000"/>
            <w:sz w:val="22"/>
          </w:rPr>
          <w:t>subrule 19.10(1)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board of regents shall commence a standard rule-making proceeding for any rule specified in the petition that was adopted in reliance upon </w:t>
      </w:r>
      <w:hyperlink r:id="rId14">
        <w:r>
          <w:rPr>
            <w:rStyle w:val="Hyperlink"/>
            <w:rFonts w:ascii="Times New Roman" w:hAnsi="Times New Roman"/>
            <w:b w:val="false"/>
            <w:i w:val="false"/>
            <w:color w:val="000000"/>
            <w:sz w:val="22"/>
          </w:rPr>
          <w:t>subrule 19.10(1)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board of regents may either readopt the rule it adopted without benefit of all usual procedures on the basis of </w:t>
      </w:r>
      <w:hyperlink r:id="rId15">
        <w:r>
          <w:rPr>
            <w:rStyle w:val="Hyperlink"/>
            <w:rFonts w:ascii="Times New Roman" w:hAnsi="Times New Roman"/>
            <w:b w:val="false"/>
            <w:i w:val="false"/>
            <w:color w:val="000000"/>
            <w:sz w:val="22"/>
          </w:rPr>
          <w:t>subrule 19.10(1)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681—19.11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board of regents shall issue a concise statement of reasons for the rule. Requests for such a statement must be in writing and be delivered to the office of the Board of Regents, 100 Court Avenue,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board of regents’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board of regents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681—19.12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board of regents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board of regents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board of regents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board of regents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board of regents may incorporate by reference in a proposed or adopted rule, and without causing publication of the incorporated matter in full, all or any part of a code, standard, rule, or other matter if the board of regents finds that the incorporation of its text in the board of regents proposed or adopted rule would be unduly cumbersome, expensive, or otherwise inexpedient. The reference in the board of regents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board of regents may incorporate such matter by reference in a proposed or adopted rule only if the board makes copies of it readily available to the public. The rule shall state how and where copies of the incorporated matter may be obtained at cost from the board of regents, and how and where copies may be obtained from the agency of the United States, this state, another state, or the organization, association, or persons, originally issuing that matter. The board of regents shall retain permanently a copy of any materials incorporated by reference in a rule of the board of regents.</w:t>
      </w:r>
    </w:p>
    <w:p>
      <w:pPr>
        <w:spacing w:before="0" w:after="0"/>
        <w:ind w:left="120"/>
        <w:jc w:val="both"/>
      </w:pPr>
      <w:r>
        <w:rPr>
          <w:rFonts w:ascii="Times New Roman" w:hAnsi="Times New Roman"/>
          <w:b w:val="false"/>
          <w:i w:val="false"/>
          <w:color w:val="000000"/>
          <w:sz w:val="22"/>
        </w:rPr>
        <w:t>If the board of regents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board of regents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board of regents. The board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board of regents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board of regents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681—19.13</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of regents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board of regents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board of regents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board of regents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board of regents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board of regents, and all other written materials of a factual nature as distinguished from opinion that are relevant to the merits of the rule and that were created or compiled by the board of regents and considered by the board in connection with the formulation, proposal, or adoption of the rule or the proceeding upon which the rule is based, except to the extent the board of regents is authorized by law to keep them confidential; provided, however, that when any such materials are deleted because they are authorized by law to be kept confidential, the board of regents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1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1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board of regents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board of regents rule-making record required by this rule need not constitute the exclusive basis for board of regents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board of regents shall maintain the rule-making record for a period of not less than five years from the later of the date the rule to which it pertains became effective, the date of the Notice of Intended Action or the date of any written criticism as described in </w:t>
      </w:r>
      <w:hyperlink r:id="rId18">
        <w:r>
          <w:rPr>
            <w:rStyle w:val="Hyperlink"/>
            <w:rFonts w:ascii="Times New Roman" w:hAnsi="Times New Roman"/>
            <w:b w:val="false"/>
            <w:i w:val="false"/>
            <w:color w:val="000000"/>
            <w:sz w:val="22"/>
          </w:rPr>
          <w:t>19.13(2)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681—19.14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board of regents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board of regents shall use the standard form prescribed by the administrative rules coordinator.</w:t>
      </w:r>
    </w:p>
    <w:p>
      <w:pPr>
        <w:spacing w:before="0" w:after="0"/>
        <w:ind w:left="120"/>
        <w:jc w:val="both"/>
      </w:pPr>
      <w:r>
        <w:rPr>
          <w:rFonts w:ascii="Times New Roman" w:hAnsi="Times New Roman"/>
          <w:b/>
          <w:i w:val="false"/>
          <w:color w:val="000000"/>
          <w:sz w:val="22"/>
        </w:rPr>
        <w:t>681—19.15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board of regents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board of regents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board of regents makes a rule effective prior to its indexing and publication in reliance upon the provisions of Iowa Code section </w:t>
      </w:r>
      <w:hyperlink r:id="rId1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board shall employ all reasonable efforts to make its contents known to the persons who may be affected by that rule prior to the rule’s indexing and publication. The term “all reasonable efforts” requires the board of regents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board of regents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shall include in that rule a statement describing the reasonable efforts that will be used to comply with the requirements of this subrule.</w:t>
      </w:r>
    </w:p>
    <w:p>
      <w:pPr>
        <w:spacing w:before="0" w:after="0"/>
        <w:ind w:left="120"/>
        <w:jc w:val="both"/>
      </w:pPr>
      <w:r>
        <w:rPr>
          <w:rFonts w:ascii="Times New Roman" w:hAnsi="Times New Roman"/>
          <w:b/>
          <w:i w:val="false"/>
          <w:color w:val="000000"/>
          <w:sz w:val="22"/>
        </w:rPr>
        <w:t>681—19.16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board of regents shall maintain an official, current, and dated compilation that is indexed by subject, containing all of its general statements of policy within the scope of Iowa Code section </w:t>
      </w:r>
      <w:hyperlink r:id="rId21">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22">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19.16(2)</w:t>
      </w:r>
      <w:r>
        <w:rPr>
          <w:rFonts w:ascii="Times New Roman" w:hAnsi="Times New Roman"/>
          <w:b w:val="false"/>
          <w:i w:val="false"/>
          <w:color w:val="000000"/>
          <w:sz w:val="22"/>
        </w:rPr>
        <w:t> </w:t>
      </w:r>
      <w:r>
        <w:rPr>
          <w:rFonts w:ascii="Times New Roman" w:hAnsi="Times New Roman"/>
          <w:b w:val="false"/>
          <w:i/>
          <w:color w:val="000000"/>
          <w:sz w:val="22"/>
        </w:rPr>
        <w:t xml:space="preserve">Compilation at each regent institution. </w:t>
      </w:r>
      <w:r>
        <w:rPr>
          <w:rFonts w:ascii="Times New Roman" w:hAnsi="Times New Roman"/>
          <w:b w:val="false"/>
          <w:i w:val="false"/>
          <w:color w:val="000000"/>
          <w:sz w:val="22"/>
        </w:rPr>
        <w:t xml:space="preserve">Each regent institution shall maintain an official, current, and dated compilation that is indexed by subject, containing all of its general statements of policy within the scope of Iowa Code section </w:t>
      </w:r>
      <w:hyperlink r:id="rId23">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24">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19.16(3)</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subrule shall not be relied on by the board of regents to the detriment of any person who does not have actual, timely knowledge of the contents of the statement until the requirements of </w:t>
      </w:r>
      <w:hyperlink r:id="rId25">
        <w:r>
          <w:rPr>
            <w:rStyle w:val="Hyperlink"/>
            <w:rFonts w:ascii="Times New Roman" w:hAnsi="Times New Roman"/>
            <w:b w:val="false"/>
            <w:i w:val="false"/>
            <w:color w:val="000000"/>
            <w:sz w:val="22"/>
          </w:rPr>
          <w:t>subrule 19.16(2)</w:t>
        </w:r>
      </w:hyperlink>
      <w:r>
        <w:rPr>
          <w:rFonts w:ascii="Times New Roman" w:hAnsi="Times New Roman"/>
          <w:b w:val="false"/>
          <w:i w:val="false"/>
          <w:color w:val="000000"/>
          <w:sz w:val="22"/>
        </w:rPr>
        <w:t xml:space="preserve"> or, with respect to a general statement of policy adopted by a regent institution, until the requirements of </w:t>
      </w:r>
      <w:hyperlink r:id="rId26">
        <w:r>
          <w:rPr>
            <w:rStyle w:val="Hyperlink"/>
            <w:rFonts w:ascii="Times New Roman" w:hAnsi="Times New Roman"/>
            <w:b w:val="false"/>
            <w:i w:val="false"/>
            <w:color w:val="000000"/>
            <w:sz w:val="22"/>
          </w:rPr>
          <w:t>subrule 19.16(2)</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681—19.17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of rules by board of regents.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board of regents to conduct a formal review of a specified rule. Upon approval of that request by the administrative rules coordinator, the board of regents shall conduct a formal review of a specified rule to determine whether a new rule should be adopted or the rule should be amended or repealed. The board of regents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board of regents shall prepare, within a reasonable time, a written report summarizing its findings, its supporting reasons, and any proposed course of action. The report must include a concise statement of the board of regents’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board of regents or granted by the board of regents. The report shall describe alternative solutions to resolve the criticisms of the rule, the reasons any were rejected, and any changes made in the rule in response to the criticisms as well as the reasons for the changes. A copy of the board of regents’ report shall be sent to the administrative rules review committee and the administrative rules coordinator. The report must also be available for public inspection.</w:t>
      </w:r>
    </w:p>
    <w:p>
      <w:pPr>
        <w:spacing w:before="0" w:after="0"/>
        <w:ind w:left="120"/>
        <w:jc w:val="both"/>
      </w:pPr>
      <w:r>
        <w:rPr>
          <w:rFonts w:ascii="Times New Roman" w:hAnsi="Times New Roman"/>
          <w:b/>
          <w:i w:val="false"/>
          <w:color w:val="000000"/>
          <w:sz w:val="22"/>
        </w:rPr>
        <w:t>681—19.18</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from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Waiver from board of regents rules may be requested but only in the event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regents has exclusive rule-making authority to promulgate the rule from which a waiver is requested or has final decision-making authority over a contested case in which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federal or state statute or rule otherwise controls the grant of a waiver from the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board of regents, the president or superintendent of a regent institution, or designee, or the presiding officer as part of the decision in a contested case, may grant a waiver of all or part of a rule to the extent allowed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 </w:t>
      </w:r>
      <w:r>
        <w:rPr>
          <w:rFonts w:ascii="Times New Roman" w:hAnsi="Times New Roman"/>
          <w:b w:val="false"/>
          <w:i w:val="false"/>
          <w:color w:val="000000"/>
          <w:sz w:val="22"/>
        </w:rPr>
        <w:t>No waiver may be granted from a requirement that is imposed by state or federal statute. Any waiver must be consistent with state or federal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19.18(4)</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A waiver under this chapter may be granted only upon a showing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waiver will not harm other persons and will not adversely affect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exceptional circumstances which justify an exception to the general rule to the extent that the requester is unable to comply with the particular rule without undue hardship or compliance with the particular rule would be unnecessarily and unreasonably costly and serve no public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19.18(5)</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All requests for a waiver must be in writing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waiver and the person’s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nature of the waiver requested, including any alternative means or other proposed condition or modification proposed to achieve the purpose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 for the waiver, including all material facts relevant to the grant of the waiver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board of regents, or any regent institution’s,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person(s) with knowledge of the matter with respect to which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necessary release of information authorizing persons with knowledge to disclose relevant information necessary to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19.18(6)</w:t>
      </w:r>
      <w:r>
        <w:rPr>
          <w:rFonts w:ascii="Times New Roman" w:hAnsi="Times New Roman"/>
          <w:b w:val="false"/>
          <w:i w:val="false"/>
          <w:color w:val="000000"/>
          <w:sz w:val="22"/>
        </w:rPr>
        <w:t> </w:t>
      </w:r>
      <w:r>
        <w:rPr>
          <w:rFonts w:ascii="Times New Roman" w:hAnsi="Times New Roman"/>
          <w:b w:val="false"/>
          <w:i/>
          <w:color w:val="000000"/>
          <w:sz w:val="22"/>
        </w:rPr>
        <w:t xml:space="preserve">With whom filed. </w:t>
      </w:r>
      <w:r>
        <w:rPr>
          <w:rFonts w:ascii="Times New Roman" w:hAnsi="Times New Roman"/>
          <w:b w:val="false"/>
          <w:i w:val="false"/>
          <w:color w:val="000000"/>
          <w:sz w:val="22"/>
        </w:rPr>
        <w:t>A request for a waiver which pertains to a rule applicable to only a specific regent institution shall be submitted to the president or superintendent of that institution. A request for a waiver which pertains to a matter involving more than one regent institution, or the board of regents or its staff, shall be submitted to the Executive Director, Board of Regents, 11260 Aurora Avenue, Urbandale, Iowa 50322. A request for waiver or variance which pertains to a pending contested case shall be filed in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19.18(7)</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Rulings on requests shall be in writing. The ruling shall include the reason for granting or denying the request and, if approved, the time period during which the waiver is effective. Rulings on a waiver shall be made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submitted to the president or superintendent of a regent institution shall be decided by the president or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submitted to the board of regents shall be decided by the board, unless the board determines that the request was inappropriately submitted to it, in which case it shall forward the request to the appropriate decision maker as designated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submitted in a contested case shall be decided by the presiding officer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19.18(8)</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All final rulings in response to requests for waivers shall be indexed and available to members of the public at the offices listed below:</w:t>
      </w:r>
    </w:p>
    <w:p>
      <w:pPr>
        <w:spacing w:before="0" w:after="0"/>
        <w:ind w:left="120"/>
        <w:jc w:val="both"/>
      </w:pPr>
      <w:r>
        <w:rPr>
          <w:rFonts w:ascii="Times New Roman" w:hAnsi="Times New Roman"/>
          <w:b w:val="false"/>
          <w:i w:val="false"/>
          <w:color w:val="000000"/>
          <w:sz w:val="22"/>
        </w:rPr>
        <w:t>Board of Regents</w:t>
      </w:r>
    </w:p>
    <w:p>
      <w:pPr>
        <w:spacing w:before="0" w:after="0"/>
        <w:ind w:left="120"/>
        <w:jc w:val="both"/>
      </w:pPr>
      <w:r>
        <w:rPr>
          <w:rFonts w:ascii="Times New Roman" w:hAnsi="Times New Roman"/>
          <w:b w:val="false"/>
          <w:i w:val="false"/>
          <w:color w:val="000000"/>
          <w:sz w:val="22"/>
        </w:rPr>
        <w:t>11260 Aurora Avenue</w:t>
      </w:r>
    </w:p>
    <w:p>
      <w:pPr>
        <w:spacing w:before="0" w:after="0"/>
        <w:ind w:left="120"/>
        <w:jc w:val="both"/>
      </w:pPr>
      <w:r>
        <w:rPr>
          <w:rFonts w:ascii="Times New Roman" w:hAnsi="Times New Roman"/>
          <w:b w:val="false"/>
          <w:i w:val="false"/>
          <w:color w:val="000000"/>
          <w:sz w:val="22"/>
        </w:rPr>
        <w:t>Urbandale, IA 50322</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University of Iowa</w:t>
      </w:r>
    </w:p>
    <w:p>
      <w:pPr>
        <w:spacing w:before="0" w:after="0"/>
        <w:ind w:left="120"/>
        <w:jc w:val="both"/>
      </w:pPr>
      <w:r>
        <w:rPr>
          <w:rFonts w:ascii="Times New Roman" w:hAnsi="Times New Roman"/>
          <w:b w:val="false"/>
          <w:i w:val="false"/>
          <w:color w:val="000000"/>
          <w:sz w:val="22"/>
        </w:rPr>
        <w:t>Office of University Relations</w:t>
      </w:r>
    </w:p>
    <w:p>
      <w:pPr>
        <w:spacing w:before="0" w:after="0"/>
        <w:ind w:left="120"/>
        <w:jc w:val="both"/>
      </w:pPr>
      <w:r>
        <w:rPr>
          <w:rFonts w:ascii="Times New Roman" w:hAnsi="Times New Roman"/>
          <w:b w:val="false"/>
          <w:i w:val="false"/>
          <w:color w:val="000000"/>
          <w:sz w:val="22"/>
        </w:rPr>
        <w:t>5 Old Capitol</w:t>
      </w:r>
    </w:p>
    <w:p>
      <w:pPr>
        <w:spacing w:before="0" w:after="0"/>
        <w:ind w:left="120"/>
        <w:jc w:val="both"/>
      </w:pPr>
      <w:r>
        <w:rPr>
          <w:rFonts w:ascii="Times New Roman" w:hAnsi="Times New Roman"/>
          <w:b w:val="false"/>
          <w:i w:val="false"/>
          <w:color w:val="000000"/>
          <w:sz w:val="22"/>
        </w:rPr>
        <w:t>Iowa City, IA 52242</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Iowa State University</w:t>
      </w:r>
    </w:p>
    <w:p>
      <w:pPr>
        <w:spacing w:before="0" w:after="0"/>
        <w:ind w:left="120"/>
        <w:jc w:val="both"/>
      </w:pPr>
      <w:r>
        <w:rPr>
          <w:rFonts w:ascii="Times New Roman" w:hAnsi="Times New Roman"/>
          <w:b w:val="false"/>
          <w:i w:val="false"/>
          <w:color w:val="000000"/>
          <w:sz w:val="22"/>
        </w:rPr>
        <w:t>Office of University Counsel</w:t>
      </w:r>
    </w:p>
    <w:p>
      <w:pPr>
        <w:spacing w:before="0" w:after="0"/>
        <w:ind w:left="120"/>
        <w:jc w:val="both"/>
      </w:pPr>
      <w:r>
        <w:rPr>
          <w:rFonts w:ascii="Times New Roman" w:hAnsi="Times New Roman"/>
          <w:b w:val="false"/>
          <w:i w:val="false"/>
          <w:color w:val="000000"/>
          <w:sz w:val="22"/>
        </w:rPr>
        <w:t>3550 Beardshear Hall</w:t>
      </w:r>
    </w:p>
    <w:p>
      <w:pPr>
        <w:spacing w:before="0" w:after="0"/>
        <w:ind w:left="120"/>
        <w:jc w:val="both"/>
      </w:pPr>
      <w:r>
        <w:rPr>
          <w:rFonts w:ascii="Times New Roman" w:hAnsi="Times New Roman"/>
          <w:b w:val="false"/>
          <w:i w:val="false"/>
          <w:color w:val="000000"/>
          <w:sz w:val="22"/>
        </w:rPr>
        <w:t>515 Morrill Road</w:t>
      </w:r>
    </w:p>
    <w:p>
      <w:pPr>
        <w:spacing w:before="0" w:after="0"/>
        <w:ind w:left="120"/>
        <w:jc w:val="both"/>
      </w:pPr>
      <w:r>
        <w:rPr>
          <w:rFonts w:ascii="Times New Roman" w:hAnsi="Times New Roman"/>
          <w:b w:val="false"/>
          <w:i w:val="false"/>
          <w:color w:val="000000"/>
          <w:sz w:val="22"/>
        </w:rPr>
        <w:t>Ames, IA 50011</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University of Northern Iowa</w:t>
      </w:r>
    </w:p>
    <w:p>
      <w:pPr>
        <w:spacing w:before="0" w:after="0"/>
        <w:ind w:left="120"/>
        <w:jc w:val="both"/>
      </w:pPr>
      <w:r>
        <w:rPr>
          <w:rFonts w:ascii="Times New Roman" w:hAnsi="Times New Roman"/>
          <w:b w:val="false"/>
          <w:i w:val="false"/>
          <w:color w:val="000000"/>
          <w:sz w:val="22"/>
        </w:rPr>
        <w:t>Office of the Operations Auditor</w:t>
      </w:r>
    </w:p>
    <w:p>
      <w:pPr>
        <w:spacing w:before="0" w:after="0"/>
        <w:ind w:left="120"/>
        <w:jc w:val="both"/>
      </w:pPr>
      <w:r>
        <w:rPr>
          <w:rFonts w:ascii="Times New Roman" w:hAnsi="Times New Roman"/>
          <w:b w:val="false"/>
          <w:i w:val="false"/>
          <w:color w:val="000000"/>
          <w:sz w:val="22"/>
        </w:rPr>
        <w:t>242 Gilchrist Hall</w:t>
      </w:r>
    </w:p>
    <w:p>
      <w:pPr>
        <w:spacing w:before="0" w:after="0"/>
        <w:ind w:left="120"/>
        <w:jc w:val="both"/>
      </w:pPr>
      <w:r>
        <w:rPr>
          <w:rFonts w:ascii="Times New Roman" w:hAnsi="Times New Roman"/>
          <w:b w:val="false"/>
          <w:i w:val="false"/>
          <w:color w:val="000000"/>
          <w:sz w:val="22"/>
        </w:rPr>
        <w:t>Cedar Falls, IA 50614</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Iowa School for the Deaf</w:t>
      </w:r>
    </w:p>
    <w:p>
      <w:pPr>
        <w:spacing w:before="0" w:after="0"/>
        <w:ind w:left="120"/>
        <w:jc w:val="both"/>
      </w:pPr>
      <w:r>
        <w:rPr>
          <w:rFonts w:ascii="Times New Roman" w:hAnsi="Times New Roman"/>
          <w:b w:val="false"/>
          <w:i w:val="false"/>
          <w:color w:val="000000"/>
          <w:sz w:val="22"/>
        </w:rPr>
        <w:t>Superintendent</w:t>
      </w:r>
    </w:p>
    <w:p>
      <w:pPr>
        <w:spacing w:before="0" w:after="0"/>
        <w:ind w:left="120"/>
        <w:jc w:val="both"/>
      </w:pPr>
      <w:r>
        <w:rPr>
          <w:rFonts w:ascii="Times New Roman" w:hAnsi="Times New Roman"/>
          <w:b w:val="false"/>
          <w:i w:val="false"/>
          <w:color w:val="000000"/>
          <w:sz w:val="22"/>
        </w:rPr>
        <w:t>1600 S. Highway 275</w:t>
      </w:r>
    </w:p>
    <w:p>
      <w:pPr>
        <w:spacing w:before="0" w:after="0"/>
        <w:ind w:left="120"/>
        <w:jc w:val="both"/>
      </w:pPr>
      <w:r>
        <w:rPr>
          <w:rFonts w:ascii="Times New Roman" w:hAnsi="Times New Roman"/>
          <w:b w:val="false"/>
          <w:i w:val="false"/>
          <w:color w:val="000000"/>
          <w:sz w:val="22"/>
        </w:rPr>
        <w:t>Council Bluffs, IA 51503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19.18(9)</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of regents, or other designated decision maker allowed pursuant to these rules, may condition the grant of a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19.18(10)</w:t>
      </w:r>
      <w:r>
        <w:rPr>
          <w:rFonts w:ascii="Times New Roman" w:hAnsi="Times New Roman"/>
          <w:b w:val="false"/>
          <w:i w:val="false"/>
          <w:color w:val="000000"/>
          <w:sz w:val="22"/>
        </w:rPr>
        <w:t> </w:t>
      </w:r>
      <w:r>
        <w:rPr>
          <w:rFonts w:ascii="Times New Roman" w:hAnsi="Times New Roman"/>
          <w:b w:val="false"/>
          <w:i/>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decision maker may at any time cancel a waiver upon appropriate notice and hearing if it is determined that the facts as stated in the request are not true, material facts have been withheld, the alternative means of compliance provided in the waiver have failed to achieve the objectives of the statute, or the requester has failed to comply with conditions set forth in the waiver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19.18(11)</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19.18(12)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request for an appeal from a decision on a waiver request made by the board of regents, the president or superintendent of a regent institution, or designee, shall be in accordance with the procedures provided in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Any request for an appeal from a decision by the presiding officer in a contested case proceeding which grants or denies a waiver shall be made pursuant to the procedures provided in </w:t>
      </w:r>
      <w:hyperlink r:id="rId28">
        <w:r>
          <w:rPr>
            <w:rStyle w:val="Hyperlink"/>
            <w:rFonts w:ascii="Times New Roman" w:hAnsi="Times New Roman"/>
            <w:b w:val="false"/>
            <w:i w:val="false"/>
            <w:color w:val="000000"/>
            <w:sz w:val="22"/>
          </w:rPr>
          <w:t>rule 681—20.26(17A)</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681—20.27(17A)</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11/23/99, Notice 4/7/99—published 12/15/99, effective 1/19/00]</w:t>
      </w:r>
    </w:p>
    <w:p>
      <w:pPr>
        <w:spacing w:before="0" w:after="0"/>
        <w:ind w:left="120"/>
        <w:jc w:val="center"/>
      </w:pPr>
      <w:r>
        <w:rPr>
          <w:rFonts w:ascii="Times New Roman" w:hAnsi="Times New Roman"/>
          <w:b w:val="false"/>
          <w:i w:val="false"/>
          <w:color w:val="000000"/>
          <w:sz w:val="21"/>
        </w:rPr>
        <w:t>[Filed ARC 5952C</w:t>
      </w:r>
      <w:r>
        <w:rPr>
          <w:rFonts w:ascii="Times New Roman" w:hAnsi="Times New Roman"/>
          <w:b w:val="false"/>
          <w:i w:val="false"/>
          <w:color w:val="000000"/>
          <w:sz w:val="21"/>
        </w:rPr>
        <w:t xml:space="preserve"> (Notice ARC 5700C,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681.19.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25B.6.pdf" Type="http://schemas.openxmlformats.org/officeDocument/2006/relationships/hyperlink" Id="rId12"/>
    <Relationship TargetMode="External" Target="https://www.legis.iowa.gov/docs/iac/rule/681.19.10.pdf" Type="http://schemas.openxmlformats.org/officeDocument/2006/relationships/hyperlink" Id="rId13"/>
    <Relationship TargetMode="External" Target="https://www.legis.iowa.gov/docs/iac/rule/681.19.10.pdf" Type="http://schemas.openxmlformats.org/officeDocument/2006/relationships/hyperlink" Id="rId14"/>
    <Relationship TargetMode="External" Target="https://www.legis.iowa.gov/docs/iac/rule/681.19.10.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ac/rule/681.19.13.pdf" Type="http://schemas.openxmlformats.org/officeDocument/2006/relationships/hyperlink" Id="rId18"/>
    <Relationship TargetMode="External" Target="https://www.legis.iowa.gov/docs/ico/chapter/17A.5.pdf" Type="http://schemas.openxmlformats.org/officeDocument/2006/relationships/hyperlink" Id="rId19"/>
    <Relationship TargetMode="External" Target="https://www.legis.iowa.gov/docs/ico/chapter/17A.5.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17A.2.pdf" Type="http://schemas.openxmlformats.org/officeDocument/2006/relationships/hyperlink" Id="rId22"/>
    <Relationship TargetMode="External" Target="https://www.legis.iowa.gov/docs/ico/chapter/17A.2.pdf" Type="http://schemas.openxmlformats.org/officeDocument/2006/relationships/hyperlink" Id="rId23"/>
    <Relationship TargetMode="External" Target="https://www.legis.iowa.gov/docs/ico/chapter/17A.2.pdf" Type="http://schemas.openxmlformats.org/officeDocument/2006/relationships/hyperlink" Id="rId24"/>
    <Relationship TargetMode="External" Target="https://www.legis.iowa.gov/docs/iac/rule/681.19.16.pdf" Type="http://schemas.openxmlformats.org/officeDocument/2006/relationships/hyperlink" Id="rId25"/>
    <Relationship TargetMode="External" Target="https://www.legis.iowa.gov/docs/iac/rule/681.19.16.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ac/rule/681.20.26.pdf" Type="http://schemas.openxmlformats.org/officeDocument/2006/relationships/hyperlink" Id="rId28"/>
    <Relationship TargetMode="External" Target="https://www.legis.iowa.gov/docs/iac/rule/681.20.27.pdf" Type="http://schemas.openxmlformats.org/officeDocument/2006/relationships/hyperlink" Id="rId29"/>
    <Relationship TargetMode="External" Target="https://www.legis.iowa.gov/docs/ico/chapter/17A.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