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PUBLIC RECORDS AND</w:t>
      </w:r>
      <w:r>
        <w:br/>
      </w:r>
      <w:r>
        <w:rPr>
          <w:rFonts w:ascii="Times New Roman" w:hAnsi="Times New Roman"/>
          <w:b w:val="false"/>
          <w:i w:val="false"/>
          <w:color w:val="000000"/>
          <w:sz w:val="21"/>
        </w:rPr>
        <w:t>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board of regents hereby adopts, with the following exceptions and amendments, rules of the Government Task Force on Uniform Rules of Agency Procedures relating to public records and fair information practices which are printed in the first Volume of the Iowa Administrative Code.</w:t>
      </w:r>
    </w:p>
    <w:p>
      <w:pPr>
        <w:spacing w:before="0" w:after="0"/>
        <w:ind w:left="120"/>
        <w:jc w:val="both"/>
      </w:pPr>
      <w:r>
        <w:rPr>
          <w:rFonts w:ascii="Times New Roman" w:hAnsi="Times New Roman"/>
          <w:b/>
          <w:i w:val="false"/>
          <w:color w:val="000000"/>
          <w:sz w:val="22"/>
        </w:rPr>
        <w:t>681—17.1</w:t>
      </w:r>
      <w:r>
        <w:rPr>
          <w:rFonts w:ascii="Times New Roman" w:hAnsi="Times New Roman"/>
          <w:b/>
          <w:i w:val="false"/>
          <w:color w:val="000000"/>
          <w:sz w:val="22"/>
        </w:rPr>
        <w:t xml:space="preserve">(22)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state board of regents and the institutions it governs—State University of Iowa, Iowa State University of science and technology, University of Northern Iowa, Iowa School for the Deaf, and Iowa Braille and Sight Saving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means the official delegated authority by the agency to release records or that official’s designee. Custodians are as follows: for the state board of regents, the executive director; for the State University of Iowa, the institutional secretary; for Iowa State University of science and technology, the institutional secretary; for the University of Northern Iowa, the institutional secretary; for Iowa School for the Deaf, the superintendent; and for Iowa Braille and Sight Saving School, the superintendent.</w:t>
      </w:r>
    </w:p>
    <w:p>
      <w:pPr>
        <w:spacing w:before="0" w:after="0"/>
        <w:ind w:left="120"/>
        <w:jc w:val="both"/>
      </w:pPr>
      <w:r>
        <w:rPr>
          <w:rFonts w:ascii="Times New Roman" w:hAnsi="Times New Roman"/>
          <w:b/>
          <w:i w:val="false"/>
          <w:color w:val="000000"/>
          <w:sz w:val="22"/>
        </w:rPr>
        <w:t>681—17.3</w:t>
      </w:r>
      <w:r>
        <w:rPr>
          <w:rFonts w:ascii="Times New Roman" w:hAnsi="Times New Roman"/>
          <w:b/>
          <w:i w:val="false"/>
          <w:color w:val="000000"/>
          <w:sz w:val="22"/>
        </w:rPr>
        <w:t xml:space="preserve">(22)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office where the record is kept. If the location of the record is not known by the requester, the request shall be directed to Executive Director, State Board of Regents, Old Historical Building, Des Moines, Iowa 50319. The board of regents will forward the request to the appropriate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from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daily, excluding Saturdays, Sundays, and legal holidays. Some offices close for the noon hour from approximately 12 noon to 1 p.m. Additionally, some office hours may conclude at 4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during the summer.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records may be in writing or in person. The agency may accommodate telephone requests. Requests shall identify the particular records sought by name or description in order to facilitate the location of the record. Mail requests shall include the name, address, and telephone number of the person requesting the information. A person shall not be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An hourly fee may be charged for actual agency expenses in supervising the examination and copying of requested records. The custodian shall prominently post in agency offices the hourly fees to be charged for supervision of records during examination and copying. That hourly fee shall not be in excess of the hourly compensation of an agency clerical employee who ordinarily would be appropriate and suitable to perform this supervisory function.</w:t>
      </w:r>
    </w:p>
    <w:p>
      <w:pPr>
        <w:spacing w:before="210" w:after="0"/>
        <w:ind w:left="120"/>
        <w:jc w:val="both"/>
      </w:pPr>
      <w:r>
        <w:rPr>
          <w:rFonts w:ascii="Times New Roman" w:hAnsi="Times New Roman"/>
          <w:b/>
          <w:i w:val="false"/>
          <w:color w:val="000000"/>
          <w:sz w:val="22"/>
        </w:rPr>
        <w:t>681—17.6</w:t>
      </w:r>
      <w:r>
        <w:rPr>
          <w:rFonts w:ascii="Times New Roman" w:hAnsi="Times New Roman"/>
          <w:b/>
          <w:i w:val="false"/>
          <w:color w:val="000000"/>
          <w:sz w:val="22"/>
        </w:rPr>
        <w:t xml:space="preserve">(22) </w:t>
      </w:r>
      <w:r>
        <w:rPr>
          <w:rFonts w:ascii="Times New Roman" w:hAnsi="Times New Roman"/>
          <w:b/>
          <w:i w:val="false"/>
          <w:color w:val="000000"/>
          <w:sz w:val="22"/>
        </w:rPr>
        <w:t xml:space="preserve">Procedure by which a subject may have additions, dissents, or objections entered into the record. </w:t>
      </w:r>
      <w:r>
        <w:rPr>
          <w:rFonts w:ascii="Times New Roman" w:hAnsi="Times New Roman"/>
          <w:b w:val="false"/>
          <w:i w:val="false"/>
          <w:color w:val="000000"/>
          <w:sz w:val="22"/>
        </w:rPr>
        <w:t>Except as otherwise provided by law, the subject of a record shall be allowed to have a written statement of additions, dissents, or objections entered into the record. The subject shall send the statement to the custodian of the record or to the board of regents office. The statement must be dated and signed by the subject, and shall include the current address and telephone number of the subject or the subject’s representative.</w:t>
      </w:r>
    </w:p>
    <w:p>
      <w:pPr>
        <w:spacing w:before="210" w:after="0"/>
        <w:ind w:left="120"/>
        <w:jc w:val="both"/>
      </w:pPr>
      <w:r>
        <w:rPr>
          <w:rFonts w:ascii="Times New Roman" w:hAnsi="Times New Roman"/>
          <w:b/>
          <w:i w:val="false"/>
          <w:color w:val="000000"/>
          <w:sz w:val="22"/>
        </w:rPr>
        <w:t>681—17.7</w:t>
      </w:r>
      <w:r>
        <w:rPr>
          <w:rFonts w:ascii="Times New Roman" w:hAnsi="Times New Roman"/>
          <w:b/>
          <w:i w:val="false"/>
          <w:color w:val="000000"/>
          <w:sz w:val="22"/>
        </w:rPr>
        <w:t xml:space="preserve">(22)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The subject of a confidential record may consent to agency disclosure to a third party of that portion of the record concerning the subject. The consent must be in writing and must identify the particular record or records that may be disclosed, the particular person, or class of persons, to whom the record may be disclosed. The person to whom the record is to be disclosed must provide proof of identity. Appearance of counsel on behalf of the subject will be deemed consent to disclose records about the subject to that attorney.</w:t>
      </w:r>
    </w:p>
    <w:p>
      <w:pPr>
        <w:spacing w:before="0" w:after="0"/>
        <w:ind w:left="120"/>
        <w:jc w:val="both"/>
      </w:pPr>
      <w:r>
        <w:rPr>
          <w:rFonts w:ascii="Times New Roman" w:hAnsi="Times New Roman"/>
          <w:b/>
          <w:i w:val="false"/>
          <w:color w:val="000000"/>
          <w:sz w:val="22"/>
        </w:rPr>
        <w:t>681—17.9</w:t>
      </w:r>
      <w:r>
        <w:rPr>
          <w:rFonts w:ascii="Times New Roman" w:hAnsi="Times New Roman"/>
          <w:b/>
          <w:i w:val="false"/>
          <w:color w:val="000000"/>
          <w:sz w:val="22"/>
        </w:rPr>
        <w:t xml:space="preserve">(22) </w:t>
      </w:r>
      <w:r>
        <w:rPr>
          <w:rFonts w:ascii="Times New Roman" w:hAnsi="Times New Roman"/>
          <w:b/>
          <w:i w:val="false"/>
          <w:color w:val="000000"/>
          <w:sz w:val="22"/>
        </w:rPr>
        <w:t xml:space="preserve">Disclosures without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or exempt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w:t>
      </w:r>
      <w:hyperlink r:id="rId5">
        <w:r>
          <w:rPr>
            <w:rStyle w:val="Hyperlink"/>
            <w:rFonts w:ascii="Times New Roman" w:hAnsi="Times New Roman"/>
            <w:b w:val="false"/>
            <w:i w:val="false"/>
            <w:color w:val="000000"/>
            <w:sz w:val="22"/>
          </w:rPr>
          <w:t>rule 17.10(22)</w:t>
        </w:r>
      </w:hyperlink>
      <w:r>
        <w:rPr>
          <w:rFonts w:ascii="Times New Roman" w:hAnsi="Times New Roman"/>
          <w:b w:val="false"/>
          <w:i w:val="false"/>
          <w:color w:val="000000"/>
          <w:sz w:val="22"/>
        </w:rPr>
        <w:t xml:space="preserve"> or in the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 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6">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681—17.10</w:t>
      </w:r>
      <w:r>
        <w:rPr>
          <w:rFonts w:ascii="Times New Roman" w:hAnsi="Times New Roman"/>
          <w:b/>
          <w:i w:val="false"/>
          <w:color w:val="000000"/>
          <w:sz w:val="22"/>
        </w:rPr>
        <w:t xml:space="preserve">(22) </w:t>
      </w:r>
      <w:r>
        <w:rPr>
          <w:rFonts w:ascii="Times New Roman" w:hAnsi="Times New Roman"/>
          <w:b/>
          <w:i w:val="false"/>
          <w:color w:val="000000"/>
          <w:sz w:val="22"/>
        </w:rPr>
        <w:t xml:space="preserve">Routine use. </w:t>
      </w:r>
      <w:r>
        <w:rPr>
          <w:rFonts w:ascii="Times New Roman" w:hAnsi="Times New Roman"/>
          <w:b w:val="false"/>
          <w:i w:val="false"/>
          <w:color w:val="000000"/>
          <w:sz w:val="22"/>
        </w:rPr>
        <w:t xml:space="preserve">“Routine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or exempt records.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Transfers of information within the agency, to other state agencies, or to local units of government as appropriate to administer the program for which the information is collected.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681—17.11</w:t>
      </w:r>
      <w:r>
        <w:rPr>
          <w:rFonts w:ascii="Times New Roman" w:hAnsi="Times New Roman"/>
          <w:b/>
          <w:i w:val="false"/>
          <w:color w:val="000000"/>
          <w:sz w:val="22"/>
        </w:rPr>
        <w:t xml:space="preserve">(22)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The subject may consent in writing to agency disclosure of confidential records as provided in </w:t>
      </w:r>
      <w:hyperlink r:id="rId8">
        <w:r>
          <w:rPr>
            <w:rStyle w:val="Hyperlink"/>
            <w:rFonts w:ascii="Times New Roman" w:hAnsi="Times New Roman"/>
            <w:b w:val="false"/>
            <w:i w:val="false"/>
            <w:color w:val="000000"/>
            <w:sz w:val="22"/>
          </w:rPr>
          <w:t>rule 17.7(22)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681—17.12</w:t>
      </w:r>
      <w:r>
        <w:rPr>
          <w:rFonts w:ascii="Times New Roman" w:hAnsi="Times New Roman"/>
          <w:b/>
          <w:i w:val="false"/>
          <w:color w:val="000000"/>
          <w:sz w:val="22"/>
        </w:rPr>
        <w:t xml:space="preserve">(22)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17.12(1)</w:t>
      </w:r>
      <w:r>
        <w:rPr>
          <w:rFonts w:ascii="Times New Roman" w:hAnsi="Times New Roman"/>
          <w:b w:val="false"/>
          <w:i w:val="false"/>
          <w:color w:val="000000"/>
          <w:sz w:val="22"/>
        </w:rPr>
        <w:t> </w:t>
      </w:r>
      <w:r>
        <w:rPr>
          <w:rFonts w:ascii="Times New Roman" w:hAnsi="Times New Roman"/>
          <w:b w:val="false"/>
          <w:i w:val="false"/>
          <w:color w:val="000000"/>
          <w:sz w:val="22"/>
        </w:rPr>
        <w:t>The subject of a confidential record may file a written request to review confidential records about that person.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9">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Peace officers’ investigative reports may be withheld from the subject, except as required by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17.12(2)</w:t>
      </w:r>
      <w:r>
        <w:rPr>
          <w:rFonts w:ascii="Times New Roman" w:hAnsi="Times New Roman"/>
          <w:b w:val="false"/>
          <w:i w:val="false"/>
          <w:color w:val="000000"/>
          <w:sz w:val="22"/>
        </w:rPr>
        <w:t> </w:t>
      </w:r>
      <w:r>
        <w:rPr>
          <w:rFonts w:ascii="Times New Roman" w:hAnsi="Times New Roman"/>
          <w:b w:val="false"/>
          <w:i w:val="false"/>
          <w:color w:val="000000"/>
          <w:sz w:val="22"/>
        </w:rPr>
        <w:t>When a record has multiple subjects with interest in the confidentiality of the record, the agency may take reasonable steps to protect confidential information relating to another subject.</w:t>
      </w:r>
    </w:p>
    <w:p>
      <w:pPr>
        <w:spacing w:before="0" w:after="0"/>
        <w:ind w:left="120"/>
        <w:jc w:val="both"/>
      </w:pPr>
      <w:r>
        <w:rPr>
          <w:rFonts w:ascii="Times New Roman" w:hAnsi="Times New Roman"/>
          <w:b/>
          <w:i w:val="false"/>
          <w:color w:val="000000"/>
          <w:sz w:val="22"/>
        </w:rPr>
        <w:t>681—17.13</w:t>
      </w:r>
      <w:r>
        <w:rPr>
          <w:rFonts w:ascii="Times New Roman" w:hAnsi="Times New Roman"/>
          <w:b/>
          <w:i w:val="false"/>
          <w:color w:val="000000"/>
          <w:sz w:val="22"/>
        </w:rPr>
        <w:t xml:space="preserve">(22)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shall be kept confidential.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section </w:t>
      </w:r>
      <w:hyperlink r:id="rId10">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opening of bids. (Iowa Code section </w:t>
      </w:r>
      <w:hyperlink r:id="rId11">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12">
        <w:r>
          <w:rPr>
            <w:rStyle w:val="Hyperlink"/>
            <w:rFonts w:ascii="Times New Roman" w:hAnsi="Times New Roman"/>
            <w:b w:val="false"/>
            <w:i w:val="false"/>
            <w:color w:val="000000"/>
            <w:sz w:val="22"/>
          </w:rPr>
          <w:t>422.17</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 records (Family Educational Rights and Privacy Act of 1974, as amended, 20 U.S.C. 1232g and Iowa Code section </w:t>
      </w:r>
      <w:hyperlink r:id="rId1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Hospital records, medical records, and professional counselor records (42 CFR Part II, IAC 653—13.10(10), Iowa Code sections </w:t>
      </w:r>
      <w:hyperlink r:id="rId15">
        <w:r>
          <w:rPr>
            <w:rStyle w:val="Hyperlink"/>
            <w:rFonts w:ascii="Times New Roman" w:hAnsi="Times New Roman"/>
            <w:b w:val="false"/>
            <w:i w:val="false"/>
            <w:color w:val="000000"/>
            <w:sz w:val="22"/>
          </w:rPr>
          <w:t>228.2</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135.40</w:t>
        </w:r>
      </w:hyperlink>
      <w:r>
        <w:rPr>
          <w:rFonts w:ascii="Times New Roman" w:hAnsi="Times New Roman"/>
          <w:b w:val="false"/>
          <w:i w:val="false"/>
          <w:color w:val="000000"/>
          <w:sz w:val="22"/>
        </w:rPr>
        <w:t xml:space="preserve"> to 135.42)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Work product of an attorney (Iowa Code section </w:t>
      </w:r>
      <w:hyperlink r:id="rId17">
        <w:r>
          <w:rPr>
            <w:rStyle w:val="Hyperlink"/>
            <w:rFonts w:ascii="Times New Roman" w:hAnsi="Times New Roman"/>
            <w:b w:val="false"/>
            <w:i w:val="false"/>
            <w:color w:val="000000"/>
            <w:sz w:val="22"/>
          </w:rPr>
          <w:t>602.10112</w:t>
        </w:r>
      </w:hyperlink>
      <w:r>
        <w:rPr>
          <w:rFonts w:ascii="Times New Roman" w:hAnsi="Times New Roman"/>
          <w:b w:val="false"/>
          <w:i w:val="false"/>
          <w:color w:val="000000"/>
          <w:sz w:val="22"/>
        </w:rPr>
        <w:t xml:space="preserve">). Records which constitute attorney work product, attorney-client communications, or which are otherwise privileged. Attorney work product is confidential under Iowa Code sections </w:t>
      </w:r>
      <w:hyperlink r:id="rId18">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 Civ.</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 122(c),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21">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peace officers’ investigative reports. (Iowa Code chapter </w:t>
      </w:r>
      <w:hyperlink r:id="rId23">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identification files of law enforcement agencies. (Iowa Code chapter </w:t>
      </w:r>
      <w:hyperlink r:id="rId24">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identity of owners of public bonds or obligations. (Iowa Code section </w:t>
      </w:r>
      <w:hyperlink r:id="rId25">
        <w:r>
          <w:rPr>
            <w:rStyle w:val="Hyperlink"/>
            <w:rFonts w:ascii="Times New Roman" w:hAnsi="Times New Roman"/>
            <w:b w:val="false"/>
            <w:i w:val="false"/>
            <w:color w:val="000000"/>
            <w:sz w:val="22"/>
          </w:rPr>
          <w:t>76.11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concerning the nature and location of any archaeological resources or site. (Iowa Code section </w:t>
      </w:r>
      <w:hyperlink r:id="rId26">
        <w:r>
          <w:rPr>
            <w:rStyle w:val="Hyperlink"/>
            <w:rFonts w:ascii="Times New Roman" w:hAnsi="Times New Roman"/>
            <w:b w:val="false"/>
            <w:i w:val="false"/>
            <w:color w:val="000000"/>
            <w:sz w:val="22"/>
          </w:rPr>
          <w:t>263B.10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Documents related to civil rights actions. (Iowa Code section </w:t>
      </w:r>
      <w:hyperlink r:id="rId27">
        <w:r>
          <w:rPr>
            <w:rStyle w:val="Hyperlink"/>
            <w:rFonts w:ascii="Times New Roman" w:hAnsi="Times New Roman"/>
            <w:b w:val="false"/>
            <w:i w:val="false"/>
            <w:color w:val="000000"/>
            <w:sz w:val="22"/>
          </w:rPr>
          <w:t>216.15(4)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2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29">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(See Iowa Code sections </w:t>
      </w:r>
      <w:hyperlink r:id="rId30">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Records exempted from public inspection under any other provision of law.</w:t>
      </w:r>
    </w:p>
    <w:p>
      <w:pPr>
        <w:spacing w:before="0" w:after="0"/>
        <w:ind w:left="120"/>
        <w:jc w:val="both"/>
      </w:pPr>
      <w:r>
        <w:rPr>
          <w:rFonts w:ascii="Times New Roman" w:hAnsi="Times New Roman"/>
          <w:b/>
          <w:i w:val="false"/>
          <w:color w:val="000000"/>
          <w:sz w:val="22"/>
        </w:rPr>
        <w:t>681—17.14</w:t>
      </w:r>
      <w:r>
        <w:rPr>
          <w:rFonts w:ascii="Times New Roman" w:hAnsi="Times New Roman"/>
          <w:b/>
          <w:i w:val="false"/>
          <w:color w:val="000000"/>
          <w:sz w:val="22"/>
        </w:rPr>
        <w:t xml:space="preserve">(22)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w:t>
      </w:r>
      <w:hyperlink r:id="rId32">
        <w:r>
          <w:rPr>
            <w:rStyle w:val="Hyperlink"/>
            <w:rFonts w:ascii="Times New Roman" w:hAnsi="Times New Roman"/>
            <w:b w:val="false"/>
            <w:i w:val="false"/>
            <w:color w:val="000000"/>
            <w:sz w:val="22"/>
          </w:rPr>
          <w:t>rule 17.1(22)</w:t>
        </w:r>
      </w:hyperlink>
      <w:r>
        <w:rPr>
          <w:rFonts w:ascii="Times New Roman" w:hAnsi="Times New Roman"/>
          <w:b w:val="false"/>
          <w:i w:val="false"/>
          <w:color w:val="000000"/>
          <w:sz w:val="22"/>
        </w:rPr>
        <w:t>.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17.14(1)</w:t>
      </w:r>
      <w:r>
        <w:rPr>
          <w:rFonts w:ascii="Times New Roman" w:hAnsi="Times New Roman"/>
          <w:b w:val="false"/>
          <w:i w:val="false"/>
          <w:color w:val="000000"/>
          <w:sz w:val="22"/>
        </w:rPr>
        <w:t> </w:t>
      </w:r>
      <w:r>
        <w:rPr>
          <w:rFonts w:ascii="Times New Roman" w:hAnsi="Times New Roman"/>
          <w:b w:val="false"/>
          <w:i/>
          <w:color w:val="000000"/>
          <w:sz w:val="22"/>
        </w:rPr>
        <w:t xml:space="preserve">State board of regents. </w:t>
      </w:r>
      <w:r>
        <w:rPr>
          <w:rFonts w:ascii="Times New Roman" w:hAnsi="Times New Roman"/>
          <w:b w:val="false"/>
          <w:i w:val="false"/>
          <w:color w:val="000000"/>
          <w:sz w:val="22"/>
        </w:rPr>
        <w:t xml:space="preserve">Personnel and employment management information systems. The above listed records system is collected pursuant to the authority of Iowa Code chapter </w:t>
      </w:r>
      <w:hyperlink r:id="rId33">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Storage is in paper form and information cannot be matched, collated and compared.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17.14(2)</w:t>
      </w:r>
      <w:r>
        <w:rPr>
          <w:rFonts w:ascii="Times New Roman" w:hAnsi="Times New Roman"/>
          <w:b w:val="false"/>
          <w:i w:val="false"/>
          <w:color w:val="000000"/>
          <w:sz w:val="22"/>
        </w:rPr>
        <w:t> </w:t>
      </w:r>
      <w:r>
        <w:rPr>
          <w:rFonts w:ascii="Times New Roman" w:hAnsi="Times New Roman"/>
          <w:b w:val="false"/>
          <w:i/>
          <w:color w:val="000000"/>
          <w:sz w:val="22"/>
        </w:rPr>
        <w:t xml:space="preserve">State University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Payroll and personnel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Professional and scientific employees—employment status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General service staff employment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Faculty personnel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Student record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Student aid resource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Gifts and grants information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Annual budget line entry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Student admission information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Patient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Hospital management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Purchasing office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Construction/jobs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Event ticket sales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Motor pool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Residence halls management systems</w:t>
      </w:r>
    </w:p>
    <w:p>
      <w:pPr>
        <w:spacing w:before="0" w:after="0"/>
        <w:ind w:left="120"/>
        <w:jc w:val="both"/>
      </w:pPr>
      <w:r>
        <w:rPr>
          <w:rFonts w:ascii="Times New Roman" w:hAnsi="Times New Roman"/>
          <w:b w:val="false"/>
          <w:i w:val="false"/>
          <w:color w:val="000000"/>
          <w:sz w:val="22"/>
        </w:rPr>
        <w:t xml:space="preserve">All of the above listed records are collected pursuant to the authority of Iowa Code chapters </w:t>
      </w:r>
      <w:hyperlink r:id="rId34">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262A</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263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263A</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271</w:t>
        </w:r>
      </w:hyperlink>
      <w:r>
        <w:rPr>
          <w:rFonts w:ascii="Times New Roman" w:hAnsi="Times New Roman"/>
          <w:b w:val="false"/>
          <w:i w:val="false"/>
          <w:color w:val="000000"/>
          <w:sz w:val="22"/>
        </w:rPr>
        <w:t xml:space="preserve">. All are stored in electronic form. Supplementary records in these categories are stored in paper form or on microfilm or microfiche. Information in categories lettered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xml:space="preserve"> can be matched, collated, and compared. Information in categories lettered </w:t>
      </w:r>
      <w:r>
        <w:rPr>
          <w:rFonts w:ascii="Times New Roman" w:hAnsi="Times New Roman"/>
          <w:b w:val="false"/>
          <w:i/>
          <w:color w:val="000000"/>
          <w:sz w:val="22"/>
        </w:rPr>
        <w:t>“j”</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 xml:space="preserve"> can be matched, collated, and compared. Information in categories lettered </w:t>
      </w:r>
      <w:r>
        <w:rPr>
          <w:rFonts w:ascii="Times New Roman" w:hAnsi="Times New Roman"/>
          <w:b w:val="false"/>
          <w:i/>
          <w:color w:val="000000"/>
          <w:sz w:val="22"/>
        </w:rPr>
        <w:t>“l”</w:t>
      </w:r>
      <w:r>
        <w:rPr>
          <w:rFonts w:ascii="Times New Roman" w:hAnsi="Times New Roman"/>
          <w:b w:val="false"/>
          <w:i w:val="false"/>
          <w:color w:val="000000"/>
          <w:sz w:val="22"/>
        </w:rPr>
        <w:t xml:space="preserve"> through </w:t>
      </w:r>
      <w:r>
        <w:rPr>
          <w:rFonts w:ascii="Times New Roman" w:hAnsi="Times New Roman"/>
          <w:b w:val="false"/>
          <w:i/>
          <w:color w:val="000000"/>
          <w:sz w:val="22"/>
        </w:rPr>
        <w:t>“p”</w:t>
      </w:r>
      <w:r>
        <w:rPr>
          <w:rFonts w:ascii="Times New Roman" w:hAnsi="Times New Roman"/>
          <w:b w:val="false"/>
          <w:i w:val="false"/>
          <w:color w:val="000000"/>
          <w:sz w:val="22"/>
        </w:rPr>
        <w:t xml:space="preserve"> cannot be matched, collated, and compared.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17.14(3)</w:t>
      </w:r>
      <w:r>
        <w:rPr>
          <w:rFonts w:ascii="Times New Roman" w:hAnsi="Times New Roman"/>
          <w:b w:val="false"/>
          <w:i w:val="false"/>
          <w:color w:val="000000"/>
          <w:sz w:val="22"/>
        </w:rPr>
        <w:t> </w:t>
      </w:r>
      <w:r>
        <w:rPr>
          <w:rFonts w:ascii="Times New Roman" w:hAnsi="Times New Roman"/>
          <w:b w:val="false"/>
          <w:i/>
          <w:color w:val="000000"/>
          <w:sz w:val="22"/>
        </w:rPr>
        <w:t xml:space="preserve">Iowa State University of science and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Student information system, for example, biographical, academic, housing, financial aid and admissions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Personnel information system, for example, biographical, employment, payroll and budget information for the faculty, professional and scientific and merit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Accounting information system, for example, accounts receivable, accounts payable, budget system, gifts and grants, and contracts and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Telecommunications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Miscellaneous information systems, for example, transportation services, media resources, information service biographical files, affirmative action, travel, traffic and library circulation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Veterinary diagnostic laboratory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University extension system, for example, continuing education units, and plant pathology, horticulture, seed and soil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Patient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Medical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Purchasing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Police records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Parking systems registration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Alumni records and event ticket sales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State board of regents registered bonds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Project/construction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Facilities and maintenance information systems</w:t>
      </w:r>
    </w:p>
    <w:p>
      <w:pPr>
        <w:spacing w:before="0" w:after="0"/>
        <w:ind w:left="120"/>
        <w:jc w:val="both"/>
      </w:pPr>
      <w:r>
        <w:rPr>
          <w:rFonts w:ascii="Times New Roman" w:hAnsi="Times New Roman"/>
          <w:b w:val="false"/>
          <w:i w:val="false"/>
          <w:color w:val="000000"/>
          <w:sz w:val="22"/>
        </w:rPr>
        <w:t xml:space="preserve">All of the above listed records are collected pursuant to the authority of Iowa Code chapters </w:t>
      </w:r>
      <w:hyperlink r:id="rId39">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262A</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266</w:t>
        </w:r>
      </w:hyperlink>
      <w:r>
        <w:rPr>
          <w:rFonts w:ascii="Times New Roman" w:hAnsi="Times New Roman"/>
          <w:b w:val="false"/>
          <w:i w:val="false"/>
          <w:color w:val="000000"/>
          <w:sz w:val="22"/>
        </w:rPr>
        <w:t xml:space="preserve">. All are stored in electronic form, except categories lettered </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which are stored in hard copy form. Duplicate information or copies of the electronically stored information may be found in some cases on microfilm, microfiche or hard copy. Information in categories lettered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 xml:space="preserve">“e,” “g,” “j,” “l,” </w:t>
      </w:r>
      <w:r>
        <w:rPr>
          <w:rFonts w:ascii="Times New Roman" w:hAnsi="Times New Roman"/>
          <w:b w:val="false"/>
          <w:i w:val="false"/>
          <w:color w:val="000000"/>
          <w:sz w:val="22"/>
        </w:rPr>
        <w:t xml:space="preserve">and </w:t>
      </w:r>
      <w:r>
        <w:rPr>
          <w:rFonts w:ascii="Times New Roman" w:hAnsi="Times New Roman"/>
          <w:b w:val="false"/>
          <w:i/>
          <w:color w:val="000000"/>
          <w:sz w:val="22"/>
        </w:rPr>
        <w:t xml:space="preserve">“m” </w:t>
      </w:r>
      <w:r>
        <w:rPr>
          <w:rFonts w:ascii="Times New Roman" w:hAnsi="Times New Roman"/>
          <w:b w:val="false"/>
          <w:i w:val="false"/>
          <w:color w:val="000000"/>
          <w:sz w:val="22"/>
        </w:rPr>
        <w:t xml:space="preserve">can be matched, collated, and compared. Information in categories </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can be matched, collated, and compared only with accounts receivable (see category </w:t>
      </w:r>
      <w:r>
        <w:rPr>
          <w:rFonts w:ascii="Times New Roman" w:hAnsi="Times New Roman"/>
          <w:b w:val="false"/>
          <w:i/>
          <w:color w:val="000000"/>
          <w:sz w:val="22"/>
        </w:rPr>
        <w:t>“c”</w:t>
      </w:r>
      <w:r>
        <w:rPr>
          <w:rFonts w:ascii="Times New Roman" w:hAnsi="Times New Roman"/>
          <w:b w:val="false"/>
          <w:i w:val="false"/>
          <w:color w:val="000000"/>
          <w:sz w:val="22"/>
        </w:rPr>
        <w:t>). The remaining categories cannot be matched, collated, or compared.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17.14(4)</w:t>
      </w:r>
      <w:r>
        <w:rPr>
          <w:rFonts w:ascii="Times New Roman" w:hAnsi="Times New Roman"/>
          <w:b w:val="false"/>
          <w:i w:val="false"/>
          <w:color w:val="000000"/>
          <w:sz w:val="22"/>
        </w:rPr>
        <w:t> </w:t>
      </w:r>
      <w:r>
        <w:rPr>
          <w:rFonts w:ascii="Times New Roman" w:hAnsi="Times New Roman"/>
          <w:b w:val="false"/>
          <w:i/>
          <w:color w:val="000000"/>
          <w:sz w:val="22"/>
        </w:rPr>
        <w:t xml:space="preserve">University of Northern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Academic achievement center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Academic advising examination services/orientation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Academic computing center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Accounts receivable/payable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Admissions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Affirmative action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Alumni foundation/development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Architect/planning/engineering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Athletic department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Budget management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College of education/school of business advising center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Continuing education/correspondence/extension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Financial aid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Grants and contracts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Housing/dining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Library/archives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Personnel/budget/payroll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Physical plant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Purchasing/inventory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School of business division of external services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Student information systems (student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Student union/student activities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Academic affairs information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Ancillary services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Counseling/health/pharmacy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Deans/department heads/faculty advisors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Handicapped services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Institutional officials records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Institutional research records systems including social/behavioral research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Operations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Placement/career center/cooperative education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Price laboratory management/records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Public safety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ah.</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Small business assistance center (hazardous waste)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Special events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aj.</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Speech/hearing/reading clinics records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ak.</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Student field experience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United faculty records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UNISA records systems #</w:t>
      </w:r>
    </w:p>
    <w:p>
      <w:pPr>
        <w:spacing w:before="0" w:after="0"/>
        <w:ind w:left="120"/>
        <w:jc w:val="both"/>
      </w:pPr>
      <w:r>
        <w:rPr>
          <w:rFonts w:ascii="Times New Roman" w:hAnsi="Times New Roman"/>
          <w:b w:val="false"/>
          <w:i w:val="false"/>
          <w:color w:val="000000"/>
          <w:sz w:val="22"/>
        </w:rPr>
        <w:t xml:space="preserve">All of the above listed records systems are collected pursuant to the authority of Iowa Code chapters </w:t>
      </w:r>
      <w:hyperlink r:id="rId42">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262A</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265</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268</w:t>
        </w:r>
      </w:hyperlink>
      <w:r>
        <w:rPr>
          <w:rFonts w:ascii="Times New Roman" w:hAnsi="Times New Roman"/>
          <w:b w:val="false"/>
          <w:i w:val="false"/>
          <w:color w:val="000000"/>
          <w:sz w:val="22"/>
        </w:rPr>
        <w:t>. Means of storage include electronic unless otherwise noted. Moreover, some records may also be stored in micrographic or paper forms. All or parts of information in each system may be matched, collated, and compared except for those systems noted by an asterisk (*).</w:t>
      </w:r>
    </w:p>
    <w:p>
      <w:pPr>
        <w:spacing w:before="0" w:after="0"/>
        <w:ind w:left="120"/>
        <w:jc w:val="both"/>
      </w:pPr>
      <w:r>
        <w:rPr>
          <w:rFonts w:ascii="Times New Roman" w:hAnsi="Times New Roman"/>
          <w:b w:val="false"/>
          <w:i w:val="false"/>
          <w:color w:val="000000"/>
          <w:sz w:val="22"/>
        </w:rPr>
        <w:t># Storage in paper or micrographic form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17.14(5)</w:t>
      </w:r>
      <w:r>
        <w:rPr>
          <w:rFonts w:ascii="Times New Roman" w:hAnsi="Times New Roman"/>
          <w:b w:val="false"/>
          <w:i w:val="false"/>
          <w:color w:val="000000"/>
          <w:sz w:val="22"/>
        </w:rPr>
        <w:t> </w:t>
      </w:r>
      <w:r>
        <w:rPr>
          <w:rFonts w:ascii="Times New Roman" w:hAnsi="Times New Roman"/>
          <w:b w:val="false"/>
          <w:i/>
          <w:color w:val="000000"/>
          <w:sz w:val="22"/>
        </w:rPr>
        <w:t xml:space="preserve">Iowa School for the Deaf.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Academic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Business—payroll and purchasing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Personnel</w:t>
      </w:r>
    </w:p>
    <w:p>
      <w:pPr>
        <w:spacing w:before="0" w:after="0"/>
        <w:ind w:left="120"/>
        <w:jc w:val="both"/>
      </w:pPr>
      <w:r>
        <w:rPr>
          <w:rFonts w:ascii="Times New Roman" w:hAnsi="Times New Roman"/>
          <w:b w:val="false"/>
          <w:i w:val="false"/>
          <w:color w:val="000000"/>
          <w:sz w:val="22"/>
        </w:rPr>
        <w:t xml:space="preserve">All of the above listed records, in whole or in part, are maintained on paper and in electronic form. The records stored in electronic form for systems </w:t>
      </w:r>
      <w:r>
        <w:rPr>
          <w:rFonts w:ascii="Times New Roman" w:hAnsi="Times New Roman"/>
          <w:b w:val="false"/>
          <w:i/>
          <w:color w:val="000000"/>
          <w:sz w:val="22"/>
        </w:rPr>
        <w:t xml:space="preserve">“a,” “b,” “d,” </w:t>
      </w:r>
      <w:r>
        <w:rPr>
          <w:rFonts w:ascii="Times New Roman" w:hAnsi="Times New Roman"/>
          <w:b w:val="false"/>
          <w:i w:val="false"/>
          <w:color w:val="000000"/>
          <w:sz w:val="22"/>
        </w:rPr>
        <w:t xml:space="preserve">and </w:t>
      </w:r>
      <w:r>
        <w:rPr>
          <w:rFonts w:ascii="Times New Roman" w:hAnsi="Times New Roman"/>
          <w:b w:val="false"/>
          <w:i/>
          <w:color w:val="000000"/>
          <w:sz w:val="22"/>
        </w:rPr>
        <w:t xml:space="preserve">“e” </w:t>
      </w:r>
      <w:r>
        <w:rPr>
          <w:rFonts w:ascii="Times New Roman" w:hAnsi="Times New Roman"/>
          <w:b w:val="false"/>
          <w:i w:val="false"/>
          <w:color w:val="000000"/>
          <w:sz w:val="22"/>
        </w:rPr>
        <w:t xml:space="preserve">can be matched, collated, and compared. Records stored in electronic form for system </w:t>
      </w:r>
      <w:r>
        <w:rPr>
          <w:rFonts w:ascii="Times New Roman" w:hAnsi="Times New Roman"/>
          <w:b w:val="false"/>
          <w:i/>
          <w:color w:val="000000"/>
          <w:sz w:val="22"/>
        </w:rPr>
        <w:t xml:space="preserve">“c” </w:t>
      </w:r>
      <w:r>
        <w:rPr>
          <w:rFonts w:ascii="Times New Roman" w:hAnsi="Times New Roman"/>
          <w:b w:val="false"/>
          <w:i w:val="false"/>
          <w:color w:val="000000"/>
          <w:sz w:val="22"/>
        </w:rPr>
        <w:t xml:space="preserve">cannot be matched, collated or compared to any other of the systems. All of the above listed records are collected pursuant to the authority of Iowa Code chapters </w:t>
      </w:r>
      <w:hyperlink r:id="rId46">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270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17.14(6)</w:t>
      </w:r>
      <w:r>
        <w:rPr>
          <w:rFonts w:ascii="Times New Roman" w:hAnsi="Times New Roman"/>
          <w:b w:val="false"/>
          <w:i w:val="false"/>
          <w:color w:val="000000"/>
          <w:sz w:val="22"/>
        </w:rPr>
        <w:t> </w:t>
      </w:r>
      <w:r>
        <w:rPr>
          <w:rFonts w:ascii="Times New Roman" w:hAnsi="Times New Roman"/>
          <w:b w:val="false"/>
          <w:i/>
          <w:color w:val="000000"/>
          <w:sz w:val="22"/>
        </w:rPr>
        <w:t xml:space="preserve">Iowa Braille and Sight Saving School.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Payroll and personnel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Faculty and administrative personnel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Financial accounting data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Student record information system (academic and medical)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Annual budget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Evaluation report system for all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Consultative reports completed for other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Gifts and grants record keeping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State large print orders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State lend/lease depository system</w:t>
      </w:r>
    </w:p>
    <w:p>
      <w:pPr>
        <w:spacing w:before="0" w:after="0"/>
        <w:ind w:left="120"/>
        <w:jc w:val="both"/>
      </w:pPr>
      <w:r>
        <w:rPr>
          <w:rFonts w:ascii="Times New Roman" w:hAnsi="Times New Roman"/>
          <w:b w:val="false"/>
          <w:i w:val="false"/>
          <w:color w:val="000000"/>
          <w:sz w:val="22"/>
        </w:rPr>
        <w:t xml:space="preserve">Records in </w:t>
      </w:r>
      <w:r>
        <w:rPr>
          <w:rFonts w:ascii="Times New Roman" w:hAnsi="Times New Roman"/>
          <w:b w:val="false"/>
          <w:i/>
          <w:color w:val="000000"/>
          <w:sz w:val="22"/>
        </w:rPr>
        <w:t>“a,” “c,”</w:t>
      </w:r>
      <w:r>
        <w:rPr>
          <w:rFonts w:ascii="Times New Roman" w:hAnsi="Times New Roman"/>
          <w:b w:val="false"/>
          <w:i w:val="false"/>
          <w:color w:val="000000"/>
          <w:sz w:val="22"/>
        </w:rPr>
        <w:t xml:space="preserve"> and </w:t>
      </w:r>
      <w:r>
        <w:rPr>
          <w:rFonts w:ascii="Times New Roman" w:hAnsi="Times New Roman"/>
          <w:b w:val="false"/>
          <w:i/>
          <w:color w:val="000000"/>
          <w:sz w:val="22"/>
        </w:rPr>
        <w:t xml:space="preserve">“e” </w:t>
      </w:r>
      <w:r>
        <w:rPr>
          <w:rFonts w:ascii="Times New Roman" w:hAnsi="Times New Roman"/>
          <w:b w:val="false"/>
          <w:i w:val="false"/>
          <w:color w:val="000000"/>
          <w:sz w:val="22"/>
        </w:rPr>
        <w:t xml:space="preserve">are stored in electronic form and can be matched, collated, and compared. Records in </w:t>
      </w:r>
      <w:r>
        <w:rPr>
          <w:rFonts w:ascii="Times New Roman" w:hAnsi="Times New Roman"/>
          <w:b w:val="false"/>
          <w:i/>
          <w:color w:val="000000"/>
          <w:sz w:val="22"/>
        </w:rPr>
        <w:t>“b,” “d,”</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r>
        <w:rPr>
          <w:rFonts w:ascii="Times New Roman" w:hAnsi="Times New Roman"/>
          <w:b w:val="false"/>
          <w:i w:val="false"/>
          <w:color w:val="000000"/>
          <w:sz w:val="22"/>
        </w:rPr>
        <w:t xml:space="preserve"> are stored on paper and cannot be matched, collated, or compared. All of the above listed records are collected pursuant to the authority of Iowa Code chapters </w:t>
      </w:r>
      <w:hyperlink r:id="rId48">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262A</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269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681—17.15</w:t>
      </w:r>
      <w:r>
        <w:rPr>
          <w:rFonts w:ascii="Times New Roman" w:hAnsi="Times New Roman"/>
          <w:b/>
          <w:i w:val="false"/>
          <w:color w:val="000000"/>
          <w:sz w:val="22"/>
        </w:rPr>
        <w:t xml:space="preserve">(22)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w:t>
      </w:r>
      <w:hyperlink r:id="rId51">
        <w:r>
          <w:rPr>
            <w:rStyle w:val="Hyperlink"/>
            <w:rFonts w:ascii="Times New Roman" w:hAnsi="Times New Roman"/>
            <w:b w:val="false"/>
            <w:i w:val="false"/>
            <w:color w:val="000000"/>
            <w:sz w:val="22"/>
          </w:rPr>
          <w:t>rule 17.1(22)</w:t>
        </w:r>
      </w:hyperlink>
      <w:r>
        <w:rPr>
          <w:rFonts w:ascii="Times New Roman" w:hAnsi="Times New Roman"/>
          <w:b w:val="false"/>
          <w:i w:val="false"/>
          <w:color w:val="000000"/>
          <w:sz w:val="22"/>
        </w:rPr>
        <w:t>. These records are routinely available to the public. However, the agency’s files of these records may contain confidential information. In addition, some records may contain information about individuals. All records are stored both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17.15(1)</w:t>
      </w:r>
      <w:r>
        <w:rPr>
          <w:rFonts w:ascii="Times New Roman" w:hAnsi="Times New Roman"/>
          <w:b w:val="false"/>
          <w:i w:val="false"/>
          <w:color w:val="000000"/>
          <w:sz w:val="22"/>
        </w:rPr>
        <w:t> </w:t>
      </w:r>
      <w:r>
        <w:rPr>
          <w:rFonts w:ascii="Times New Roman" w:hAnsi="Times New Roman"/>
          <w:b w:val="false"/>
          <w:i w:val="false"/>
          <w:color w:val="000000"/>
          <w:sz w:val="22"/>
        </w:rPr>
        <w:t xml:space="preserve">Rule making. Rule-making records may contain information about individuals making written or oral comments on proposed rules. This information is collected pursuant to Iowa Code section </w:t>
      </w:r>
      <w:hyperlink r:id="rId52">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17.15(2)</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records. Agendas, minutes, and materials presented to the state board of regents are available from the office of the state board of regents, except those records concerning closed sessions which are confidential under Iowa Code section </w:t>
      </w:r>
      <w:hyperlink r:id="rId53">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and other provisions of law. Board records contain information about people who participate in meetings. This information is collected pursuant to Iowa Code section </w:t>
      </w:r>
      <w:hyperlink r:id="rId54">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17.15(3)</w:t>
      </w:r>
      <w:r>
        <w:rPr>
          <w:rFonts w:ascii="Times New Roman" w:hAnsi="Times New Roman"/>
          <w:b w:val="false"/>
          <w:i w:val="false"/>
          <w:color w:val="000000"/>
          <w:sz w:val="22"/>
        </w:rPr>
        <w:t> </w:t>
      </w:r>
      <w:r>
        <w:rPr>
          <w:rFonts w:ascii="Times New Roman" w:hAnsi="Times New Roman"/>
          <w:b w:val="false"/>
          <w:i w:val="false"/>
          <w:color w:val="000000"/>
          <w:sz w:val="22"/>
        </w:rPr>
        <w:t>Publications. News releases, annual reports, project reports, agency newsletters, etc., are available through the institutions’ offices for public information. Brochures describing various agency programs are available at local offices of the agency.</w:t>
      </w:r>
    </w:p>
    <w:p>
      <w:pPr>
        <w:spacing w:before="0" w:after="0"/>
        <w:ind w:left="120"/>
        <w:jc w:val="both"/>
      </w:pPr>
      <w:r>
        <w:rPr>
          <w:rFonts w:ascii="Times New Roman" w:hAnsi="Times New Roman"/>
          <w:b w:val="false"/>
          <w:i w:val="false"/>
          <w:color w:val="000000"/>
          <w:sz w:val="22"/>
        </w:rPr>
        <w:t>Agency news releases, project reports, and newsletters may contain information about individuals, including agency staff or members of agency councils or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17.15(4)</w:t>
      </w:r>
      <w:r>
        <w:rPr>
          <w:rFonts w:ascii="Times New Roman" w:hAnsi="Times New Roman"/>
          <w:b w:val="false"/>
          <w:i w:val="false"/>
          <w:color w:val="000000"/>
          <w:sz w:val="22"/>
        </w:rPr>
        <w:t> </w:t>
      </w:r>
      <w:r>
        <w:rPr>
          <w:rFonts w:ascii="Times New Roman" w:hAnsi="Times New Roman"/>
          <w:b w:val="false"/>
          <w:i w:val="false"/>
          <w:color w:val="000000"/>
          <w:sz w:val="22"/>
        </w:rPr>
        <w:t>Statistical reports. Periodic reports for various agency programs are available through the institutions’ office for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17.15(5)</w:t>
      </w:r>
      <w:r>
        <w:rPr>
          <w:rFonts w:ascii="Times New Roman" w:hAnsi="Times New Roman"/>
          <w:b w:val="false"/>
          <w:i w:val="false"/>
          <w:color w:val="000000"/>
          <w:sz w:val="22"/>
        </w:rPr>
        <w:t> </w:t>
      </w:r>
      <w:r>
        <w:rPr>
          <w:rFonts w:ascii="Times New Roman" w:hAnsi="Times New Roman"/>
          <w:b w:val="false"/>
          <w:i w:val="false"/>
          <w:color w:val="000000"/>
          <w:sz w:val="22"/>
        </w:rPr>
        <w:t>Grants. Records on persons receiving grants are available through the institutions’ offices for public information. The records may contain information about employees of a grantee.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17.15(6)</w:t>
      </w:r>
      <w:r>
        <w:rPr>
          <w:rFonts w:ascii="Times New Roman" w:hAnsi="Times New Roman"/>
          <w:b w:val="false"/>
          <w:i w:val="false"/>
          <w:color w:val="000000"/>
          <w:sz w:val="22"/>
        </w:rPr>
        <w:t> </w:t>
      </w:r>
      <w:r>
        <w:rPr>
          <w:rFonts w:ascii="Times New Roman" w:hAnsi="Times New Roman"/>
          <w:b w:val="false"/>
          <w:i w:val="false"/>
          <w:color w:val="000000"/>
          <w:sz w:val="22"/>
        </w:rPr>
        <w:t>Published materials. 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17.15(7)</w:t>
      </w:r>
      <w:r>
        <w:rPr>
          <w:rFonts w:ascii="Times New Roman" w:hAnsi="Times New Roman"/>
          <w:b w:val="false"/>
          <w:i w:val="false"/>
          <w:color w:val="000000"/>
          <w:sz w:val="22"/>
        </w:rPr>
        <w:t> </w:t>
      </w:r>
      <w:r>
        <w:rPr>
          <w:rFonts w:ascii="Times New Roman" w:hAnsi="Times New Roman"/>
          <w:b w:val="false"/>
          <w:i w:val="false"/>
          <w:color w:val="000000"/>
          <w:sz w:val="22"/>
        </w:rPr>
        <w:t>Policy manuals. The agency employees’ manual, containing the policies and procedures for programs administered by the agency, is available in every office of the agency.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17.15(8)</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 The agency maintains a variety of records which do not generally contain information pertaining to named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17.15(9)</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17.15(10)</w:t>
      </w:r>
      <w:r>
        <w:rPr>
          <w:rFonts w:ascii="Times New Roman" w:hAnsi="Times New Roman"/>
          <w:b w:val="false"/>
          <w:i w:val="false"/>
          <w:color w:val="000000"/>
          <w:sz w:val="22"/>
        </w:rPr>
        <w:t> </w:t>
      </w:r>
      <w:r>
        <w:rPr>
          <w:rFonts w:ascii="Times New Roman" w:hAnsi="Times New Roman"/>
          <w:b w:val="false"/>
          <w:i w:val="false"/>
          <w:color w:val="000000"/>
          <w:sz w:val="22"/>
        </w:rPr>
        <w:t>All data processing systems used by the agency permit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i w:val="false"/>
          <w:color w:val="000000"/>
          <w:sz w:val="22"/>
        </w:rPr>
        <w:t>681—17.16</w:t>
      </w:r>
      <w:r>
        <w:rPr>
          <w:rFonts w:ascii="Times New Roman" w:hAnsi="Times New Roman"/>
          <w:b/>
          <w:i w:val="false"/>
          <w:color w:val="000000"/>
          <w:sz w:val="22"/>
        </w:rPr>
        <w:t xml:space="preserve">(22)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agency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5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agency which are governed by the regulations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regulations of the agency.</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6">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5/27/88, after Notice 3/23/88—published 6/15/88, effective 7/1/88]</w:t>
      </w:r>
    </w:p>
    <w:p>
      <w:pPr>
        <w:spacing w:before="0" w:after="0"/>
        <w:ind w:left="120"/>
        <w:jc w:val="center"/>
      </w:pPr>
      <w:r>
        <w:rPr>
          <w:rFonts w:ascii="Times New Roman" w:hAnsi="Times New Roman"/>
          <w:b w:val="false"/>
          <w:i w:val="false"/>
          <w:color w:val="000000"/>
          <w:sz w:val="21"/>
        </w:rPr>
        <w:t>[Filed 5/19/95, Notice 4/12/95—published 6/7/95, effective 7/12/95]</w:t>
      </w:r>
    </w:p>
    <w:p>
      <w:pPr>
        <w:spacing w:before="0" w:after="0"/>
        <w:ind w:left="120"/>
        <w:jc w:val="center"/>
      </w:pPr>
      <w:r>
        <w:rPr>
          <w:rFonts w:ascii="Times New Roman" w:hAnsi="Times New Roman"/>
          <w:b w:val="false"/>
          <w:i w:val="false"/>
          <w:color w:val="000000"/>
          <w:sz w:val="21"/>
        </w:rPr>
        <w:t>[Filed 5/5/06, Notice 3/1/06—published 5/24/06, effective 6/28/06]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81.17.10.pdf" Type="http://schemas.openxmlformats.org/officeDocument/2006/relationships/hyperlink" Id="rId5"/>
    <Relationship TargetMode="External" Target="https://www.legis.iowa.gov/docs/ico/chapter/2A.3.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ac/rule/681.17.7.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21.5.pdf" Type="http://schemas.openxmlformats.org/officeDocument/2006/relationships/hyperlink" Id="rId10"/>
    <Relationship TargetMode="External" Target="https://www.legis.iowa.gov/docs/ico/chapter/72.3.pdf" Type="http://schemas.openxmlformats.org/officeDocument/2006/relationships/hyperlink" Id="rId11"/>
    <Relationship TargetMode="External" Target="https://www.legis.iowa.gov/docs/ico/chapter/422.17.pdf" Type="http://schemas.openxmlformats.org/officeDocument/2006/relationships/hyperlink" Id="rId12"/>
    <Relationship TargetMode="External" Target="https://www.legis.iowa.gov/docs/ico/chapter/422.20.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228.2.pdf" Type="http://schemas.openxmlformats.org/officeDocument/2006/relationships/hyperlink" Id="rId15"/>
    <Relationship TargetMode="External" Target="https://www.legis.iowa.gov/docs/ico/chapter/135.40.pdf" Type="http://schemas.openxmlformats.org/officeDocument/2006/relationships/hyperlink" Id="rId16"/>
    <Relationship TargetMode="External" Target="https://www.legis.iowa.gov/docs/ico/chapter/602.10112.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622.10.pdf" Type="http://schemas.openxmlformats.org/officeDocument/2006/relationships/hyperlink" Id="rId19"/>
    <Relationship TargetMode="External" Target="https://www.legis.iowa.gov/docs/ico/chapter/622.11.pdf" Type="http://schemas.openxmlformats.org/officeDocument/2006/relationships/hyperlink" Id="rId20"/>
    <Relationship TargetMode="External" Target="https://www.legis.iowa.gov/docs/ico/chapter/622.10.pdf" Type="http://schemas.openxmlformats.org/officeDocument/2006/relationships/hyperlink" Id="rId21"/>
    <Relationship TargetMode="External" Target="https://www.legis.iowa.gov/docs/ico/chapter/622.11.pdf" Type="http://schemas.openxmlformats.org/officeDocument/2006/relationships/hyperlink" Id="rId22"/>
    <Relationship TargetMode="External" Target="https://www.legis.iowa.gov/docs/ico/chapter/692.pdf" Type="http://schemas.openxmlformats.org/officeDocument/2006/relationships/hyperlink" Id="rId23"/>
    <Relationship TargetMode="External" Target="https://www.legis.iowa.gov/docs/ico/chapter/692.pdf" Type="http://schemas.openxmlformats.org/officeDocument/2006/relationships/hyperlink" Id="rId24"/>
    <Relationship TargetMode="External" Target="https://www.legis.iowa.gov/docs/ico/chapter/76.11.pdf" Type="http://schemas.openxmlformats.org/officeDocument/2006/relationships/hyperlink" Id="rId25"/>
    <Relationship TargetMode="External" Target="https://www.legis.iowa.gov/docs/ico/chapter/263B.10.pdf" Type="http://schemas.openxmlformats.org/officeDocument/2006/relationships/hyperlink" Id="rId26"/>
    <Relationship TargetMode="External" Target="https://www.legis.iowa.gov/docs/ico/chapter/216.15.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co/chapter/17A.3.pdf" Type="http://schemas.openxmlformats.org/officeDocument/2006/relationships/hyperlink" Id="rId29"/>
    <Relationship TargetMode="External" Target="https://www.legis.iowa.gov/docs/ico/chapter/17A.2.pdf" Type="http://schemas.openxmlformats.org/officeDocument/2006/relationships/hyperlink" Id="rId30"/>
    <Relationship TargetMode="External" Target="https://www.legis.iowa.gov/docs/ico/chapter/17A.3.pdf" Type="http://schemas.openxmlformats.org/officeDocument/2006/relationships/hyperlink" Id="rId31"/>
    <Relationship TargetMode="External" Target="https://www.legis.iowa.gov/docs/iac/rule/681.17.1.pdf" Type="http://schemas.openxmlformats.org/officeDocument/2006/relationships/hyperlink" Id="rId32"/>
    <Relationship TargetMode="External" Target="https://www.legis.iowa.gov/docs/ico/chapter/262.pdf" Type="http://schemas.openxmlformats.org/officeDocument/2006/relationships/hyperlink" Id="rId33"/>
    <Relationship TargetMode="External" Target="https://www.legis.iowa.gov/docs/ico/chapter/262.pdf" Type="http://schemas.openxmlformats.org/officeDocument/2006/relationships/hyperlink" Id="rId34"/>
    <Relationship TargetMode="External" Target="https://www.legis.iowa.gov/docs/ico/chapter/262A.pdf" Type="http://schemas.openxmlformats.org/officeDocument/2006/relationships/hyperlink" Id="rId35"/>
    <Relationship TargetMode="External" Target="https://www.legis.iowa.gov/docs/ico/chapter/263.pdf" Type="http://schemas.openxmlformats.org/officeDocument/2006/relationships/hyperlink" Id="rId36"/>
    <Relationship TargetMode="External" Target="https://www.legis.iowa.gov/docs/ico/chapter/263A.pdf" Type="http://schemas.openxmlformats.org/officeDocument/2006/relationships/hyperlink" Id="rId37"/>
    <Relationship TargetMode="External" Target="https://www.legis.iowa.gov/docs/ico/chapter/271.pdf" Type="http://schemas.openxmlformats.org/officeDocument/2006/relationships/hyperlink" Id="rId38"/>
    <Relationship TargetMode="External" Target="https://www.legis.iowa.gov/docs/ico/chapter/262.pdf" Type="http://schemas.openxmlformats.org/officeDocument/2006/relationships/hyperlink" Id="rId39"/>
    <Relationship TargetMode="External" Target="https://www.legis.iowa.gov/docs/ico/chapter/262A.pdf" Type="http://schemas.openxmlformats.org/officeDocument/2006/relationships/hyperlink" Id="rId40"/>
    <Relationship TargetMode="External" Target="https://www.legis.iowa.gov/docs/ico/chapter/266.pdf" Type="http://schemas.openxmlformats.org/officeDocument/2006/relationships/hyperlink" Id="rId41"/>
    <Relationship TargetMode="External" Target="https://www.legis.iowa.gov/docs/ico/chapter/262.pdf" Type="http://schemas.openxmlformats.org/officeDocument/2006/relationships/hyperlink" Id="rId42"/>
    <Relationship TargetMode="External" Target="https://www.legis.iowa.gov/docs/ico/chapter/262A.pdf" Type="http://schemas.openxmlformats.org/officeDocument/2006/relationships/hyperlink" Id="rId43"/>
    <Relationship TargetMode="External" Target="https://www.legis.iowa.gov/docs/ico/chapter/265.pdf" Type="http://schemas.openxmlformats.org/officeDocument/2006/relationships/hyperlink" Id="rId44"/>
    <Relationship TargetMode="External" Target="https://www.legis.iowa.gov/docs/ico/chapter/268.pdf" Type="http://schemas.openxmlformats.org/officeDocument/2006/relationships/hyperlink" Id="rId45"/>
    <Relationship TargetMode="External" Target="https://www.legis.iowa.gov/docs/ico/chapter/262.pdf" Type="http://schemas.openxmlformats.org/officeDocument/2006/relationships/hyperlink" Id="rId46"/>
    <Relationship TargetMode="External" Target="https://www.legis.iowa.gov/docs/ico/chapter/270.pdf" Type="http://schemas.openxmlformats.org/officeDocument/2006/relationships/hyperlink" Id="rId47"/>
    <Relationship TargetMode="External" Target="https://www.legis.iowa.gov/docs/ico/chapter/262.pdf" Type="http://schemas.openxmlformats.org/officeDocument/2006/relationships/hyperlink" Id="rId48"/>
    <Relationship TargetMode="External" Target="https://www.legis.iowa.gov/docs/ico/chapter/262A.pdf" Type="http://schemas.openxmlformats.org/officeDocument/2006/relationships/hyperlink" Id="rId49"/>
    <Relationship TargetMode="External" Target="https://www.legis.iowa.gov/docs/ico/chapter/269.pdf" Type="http://schemas.openxmlformats.org/officeDocument/2006/relationships/hyperlink" Id="rId50"/>
    <Relationship TargetMode="External" Target="https://www.legis.iowa.gov/docs/iac/rule/681.17.1.pdf" Type="http://schemas.openxmlformats.org/officeDocument/2006/relationships/hyperlink" Id="rId51"/>
    <Relationship TargetMode="External" Target="https://www.legis.iowa.gov/docs/ico/chapter/17A.4.pdf" Type="http://schemas.openxmlformats.org/officeDocument/2006/relationships/hyperlink" Id="rId52"/>
    <Relationship TargetMode="External" Target="https://www.legis.iowa.gov/docs/ico/chapter/21.5.pdf" Type="http://schemas.openxmlformats.org/officeDocument/2006/relationships/hyperlink" Id="rId53"/>
    <Relationship TargetMode="External" Target="https://www.legis.iowa.gov/docs/ico/chapter/21.3.pdf" Type="http://schemas.openxmlformats.org/officeDocument/2006/relationships/hyperlink" Id="rId54"/>
    <Relationship TargetMode="External" Target="https://www.legis.iowa.gov/docs/ico/chapter/22.pdf" Type="http://schemas.openxmlformats.org/officeDocument/2006/relationships/hyperlink" Id="rId55"/>
    <Relationship TargetMode="External" Target="https://www.legis.iowa.gov/docs/ico/chapter/22.11.pdf" Type="http://schemas.openxmlformats.org/officeDocument/2006/relationships/hyperlink" Id="rId5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