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IOWA STATE UNIVERSITY OF SCIENCE AND TECHNOLOGY</w:t>
      </w:r>
      <w:r>
        <w:br/>
      </w:r>
      <w:r>
        <w:rPr>
          <w:rFonts w:ascii="Times New Roman" w:hAnsi="Times New Roman"/>
          <w:b w:val="false"/>
          <w:i w:val="false"/>
          <w:color w:val="000000"/>
          <w:sz w:val="21"/>
        </w:rPr>
        <w:t>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681—13.1</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Statement of university mission. </w:t>
      </w:r>
      <w:r>
        <w:rPr>
          <w:rFonts w:ascii="Times New Roman" w:hAnsi="Times New Roman"/>
          <w:b w:val="false"/>
          <w:i w:val="false"/>
          <w:color w:val="000000"/>
          <w:sz w:val="22"/>
        </w:rPr>
        <w:t xml:space="preserve">Iowa State University of science and technology is a public land-grant institution serving the people of Iowa, the nation, and the world through its interrelated programs of instruction, research, extension and professional service. With an institutional emphasis in areas related to science and technology, the university carries out its traditional mission of discovering, developing, disseminating and preserving knowledge. The university’s mission and vision may be found in the strategic plan at </w:t>
      </w:r>
      <w:hyperlink r:id="rId5">
        <w:r>
          <w:rPr>
            <w:rStyle w:val="Hyperlink"/>
            <w:rFonts w:ascii="Times New Roman" w:hAnsi="Times New Roman"/>
            <w:b w:val="false"/>
            <w:i w:val="false"/>
            <w:color w:val="000000"/>
            <w:sz w:val="22"/>
            <w:u w:val="single"/>
          </w:rPr>
          <w:t>www.president.iastate.edu/projects/mission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university has three statutory officers: president, secretary, and treasurer. The president is the chief administrative officer of the university and has authority and duties as have been delegated by the board of regents.</w:t>
      </w:r>
    </w:p>
    <w:p>
      <w:pPr>
        <w:spacing w:before="0" w:after="0"/>
        <w:ind w:left="120"/>
        <w:jc w:val="both"/>
      </w:pPr>
      <w:r>
        <w:rPr>
          <w:rFonts w:ascii="Times New Roman" w:hAnsi="Times New Roman"/>
          <w:b w:val="false"/>
          <w:i w:val="false"/>
          <w:color w:val="000000"/>
          <w:sz w:val="22"/>
        </w:rPr>
        <w:t xml:space="preserve">A detailed listing of the university units is shown on the organizational chart at the following website: </w:t>
      </w:r>
      <w:hyperlink r:id="rId6">
        <w:r>
          <w:rPr>
            <w:rStyle w:val="Hyperlink"/>
            <w:rFonts w:ascii="Times New Roman" w:hAnsi="Times New Roman"/>
            <w:b w:val="false"/>
            <w:i w:val="false"/>
            <w:color w:val="000000"/>
            <w:sz w:val="22"/>
            <w:u w:val="single"/>
          </w:rPr>
          <w:t>www.president.iastate.edu/sites/default/files/org/univorg.pdf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senior vice president and provost oversees the academic, research, and extension activities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academic mission of the university is principally carried out through its eight colleges: graduate, agriculture and life sciences, engineering, human sciences, liberal arts and sciences, design, business and veterinary medicine. The dean of each college is its chief administrative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Extension and outreach are integral parts of the land-grant university system and provide the link whereby the findings of research are taken to the people of Iowa. The chief administrative officer is the vice president for extension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vice president for research oversees the university’s broad range of research, which contributes to economic development in the state and the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senior vice president for student affairs oversees the various services provided to students, including student activities, student health and student housing and dining.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senior vice president for operations and finance oversees the various business-related functions of the university, including physical plant, safety, accounting and purchasing.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Inquiries, submissions, and requests should be addressed to the Office of Strategic Relations and Communications. Contact information for the Office of Strategic Relations and Communications may be found online at the following address: </w:t>
      </w:r>
      <w:hyperlink r:id="rId7">
        <w:r>
          <w:rPr>
            <w:rStyle w:val="Hyperlink"/>
            <w:rFonts w:ascii="Times New Roman" w:hAnsi="Times New Roman"/>
            <w:b w:val="false"/>
            <w:i w:val="false"/>
            <w:color w:val="000000"/>
            <w:sz w:val="22"/>
            <w:u w:val="single"/>
          </w:rPr>
          <w:t>www.ur.iastate.edu</w:t>
        </w:r>
      </w:hyperlink>
      <w:r>
        <w:rPr>
          <w:rFonts w:ascii="Times New Roman" w:hAnsi="Times New Roman"/>
          <w:b w:val="false"/>
          <w:i w:val="false"/>
          <w:color w:val="000000"/>
          <w:sz w:val="22"/>
        </w:rPr>
        <w:t xml:space="preserve">. Communications may also be addressed to the office of the Board of Regents, 11260 Aurora Avenue, Urbandale, Iowa 50322-7905. Generally, inquiries, submissions, and requests by the public may be submitted by informal letter or email. However, application for some purposes is to be made on a specified form. Rule </w:t>
      </w:r>
      <w:hyperlink r:id="rId8">
        <w:r>
          <w:rPr>
            <w:rStyle w:val="Hyperlink"/>
            <w:rFonts w:ascii="Times New Roman" w:hAnsi="Times New Roman"/>
            <w:b w:val="false"/>
            <w:i w:val="false"/>
            <w:color w:val="000000"/>
            <w:sz w:val="22"/>
          </w:rPr>
          <w:t>681—13.6</w:t>
        </w:r>
      </w:hyperlink>
      <w:r>
        <w:rPr>
          <w:rFonts w:ascii="Times New Roman" w:hAnsi="Times New Roman"/>
          <w:b w:val="false"/>
          <w:i w:val="false"/>
          <w:color w:val="000000"/>
          <w:sz w:val="22"/>
        </w:rPr>
        <w:t>(262) provides an address for obtaining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color w:val="000000"/>
          <w:sz w:val="22"/>
        </w:rPr>
        <w:t xml:space="preserve">Policy library. </w:t>
      </w:r>
      <w:r>
        <w:rPr>
          <w:rFonts w:ascii="Times New Roman" w:hAnsi="Times New Roman"/>
          <w:b w:val="false"/>
          <w:i w:val="false"/>
          <w:color w:val="000000"/>
          <w:sz w:val="22"/>
        </w:rPr>
        <w:t xml:space="preserve">The university policy library contains the policies governing the internal administrative operation of the university. It is available online at the following address: </w:t>
      </w:r>
      <w:hyperlink r:id="rId9">
        <w:r>
          <w:rPr>
            <w:rStyle w:val="Hyperlink"/>
            <w:rFonts w:ascii="Times New Roman" w:hAnsi="Times New Roman"/>
            <w:b w:val="false"/>
            <w:i w:val="false"/>
            <w:color w:val="000000"/>
            <w:sz w:val="22"/>
            <w:u w:val="single"/>
          </w:rPr>
          <w:t>www.policy.iastate.edu/</w:t>
        </w:r>
      </w:hyperlink>
      <w:r>
        <w:rPr>
          <w:rFonts w:ascii="Times New Roman" w:hAnsi="Times New Roman"/>
          <w:b w:val="false"/>
          <w:i w:val="false"/>
          <w:color w:val="000000"/>
          <w:sz w:val="22"/>
        </w:rPr>
        <w:t>. Copies of the policies may be obtained from the Iowa State University Policy Administrator, 3550 Beardshear Hall, telephone (515)294-1385.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681—13.2</w:t>
      </w:r>
      <w:r>
        <w:rPr>
          <w:rFonts w:ascii="Times New Roman" w:hAnsi="Times New Roman"/>
          <w:b w:val="false"/>
          <w:i w:val="false"/>
          <w:color w:val="000000"/>
          <w:sz w:val="22"/>
        </w:rPr>
        <w:t xml:space="preserve"> to </w:t>
      </w:r>
      <w:r>
        <w:rPr>
          <w:rFonts w:ascii="Times New Roman" w:hAnsi="Times New Roman"/>
          <w:b/>
          <w:i w:val="false"/>
          <w:color w:val="000000"/>
          <w:sz w:val="22"/>
        </w:rPr>
        <w:t>13.5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681—13.6</w:t>
      </w:r>
      <w:r>
        <w:rPr>
          <w:rFonts w:ascii="Times New Roman" w:hAnsi="Times New Roman"/>
          <w:b/>
          <w:i w:val="false"/>
          <w:color w:val="000000"/>
          <w:sz w:val="22"/>
        </w:rPr>
        <w:t xml:space="preserve">(262)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university uses a number of forms (primarily electronic) in dealing with the public. Forms may be found via the University Forms website at </w:t>
      </w:r>
      <w:hyperlink r:id="rId10">
        <w:r>
          <w:rPr>
            <w:rStyle w:val="Hyperlink"/>
            <w:rFonts w:ascii="Times New Roman" w:hAnsi="Times New Roman"/>
            <w:b w:val="false"/>
            <w:i w:val="false"/>
            <w:color w:val="000000"/>
            <w:sz w:val="22"/>
            <w:u w:val="single"/>
          </w:rPr>
          <w:t>www.policy.iastate.edu/forms.php</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681—13.7</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9/11/02.</w:t>
      </w:r>
    </w:p>
    <w:p>
      <w:pPr>
        <w:spacing w:before="0" w:after="0"/>
        <w:ind w:left="120"/>
        <w:jc w:val="both"/>
      </w:pPr>
      <w:r>
        <w:rPr>
          <w:rFonts w:ascii="Times New Roman" w:hAnsi="Times New Roman"/>
          <w:b/>
          <w:i w:val="false"/>
          <w:color w:val="000000"/>
          <w:sz w:val="22"/>
        </w:rPr>
        <w:t>681—13.8</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 xml:space="preserve">Except for authority retained by the board of regents in the rules adopted under [681] of the Iowa Administrative Code or in the regents policy manual, the board of regents has delegated to the president authority to enter into contracts and agreements. The president has further delegated authority for entering into such contracts and agreements as outlined in the university’s contracting authority policy. This policy is available for review at the following website: </w:t>
      </w:r>
      <w:hyperlink r:id="rId11">
        <w:r>
          <w:rPr>
            <w:rStyle w:val="Hyperlink"/>
            <w:rFonts w:ascii="Times New Roman" w:hAnsi="Times New Roman"/>
            <w:b w:val="false"/>
            <w:i w:val="false"/>
            <w:color w:val="000000"/>
            <w:sz w:val="22"/>
            <w:u w:val="single"/>
          </w:rPr>
          <w:t>www.policy.iastate.edu/policy/contracting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2672C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681—13.9</w:t>
      </w:r>
      <w:r>
        <w:rPr>
          <w:rFonts w:ascii="Times New Roman" w:hAnsi="Times New Roman"/>
          <w:b/>
          <w:i w:val="false"/>
          <w:color w:val="000000"/>
          <w:sz w:val="22"/>
        </w:rPr>
        <w:t xml:space="preserve">(262) </w:t>
      </w:r>
      <w:r>
        <w:rPr>
          <w:rFonts w:ascii="Times New Roman" w:hAnsi="Times New Roman"/>
          <w:b/>
          <w:i w:val="false"/>
          <w:color w:val="000000"/>
          <w:sz w:val="22"/>
        </w:rPr>
        <w:t xml:space="preserve">Lost and found. </w:t>
      </w:r>
      <w:r>
        <w:rPr>
          <w:rFonts w:ascii="Times New Roman" w:hAnsi="Times New Roman"/>
          <w:b w:val="false"/>
          <w:i w:val="false"/>
          <w:color w:val="000000"/>
          <w:sz w:val="22"/>
        </w:rPr>
        <w:t xml:space="preserve">Inquiries about items lost or found may be made by contacting Central Stores at (515)294-5762. A listing of lost and found items may be found at </w:t>
      </w:r>
      <w:hyperlink r:id="rId12">
        <w:r>
          <w:rPr>
            <w:rStyle w:val="Hyperlink"/>
            <w:rFonts w:ascii="Times New Roman" w:hAnsi="Times New Roman"/>
            <w:b w:val="false"/>
            <w:i w:val="false"/>
            <w:color w:val="000000"/>
            <w:sz w:val="22"/>
            <w:u w:val="single"/>
          </w:rPr>
          <w:t>www.iastate.edu/found/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USE OF FACILITIES</w:t>
      </w:r>
    </w:p>
    <w:p>
      <w:pPr>
        <w:spacing w:before="0" w:after="0"/>
        <w:ind w:left="120"/>
        <w:jc w:val="both"/>
      </w:pPr>
      <w:r>
        <w:rPr>
          <w:rFonts w:ascii="Times New Roman" w:hAnsi="Times New Roman"/>
          <w:b/>
          <w:i w:val="false"/>
          <w:color w:val="000000"/>
          <w:sz w:val="22"/>
        </w:rPr>
        <w:t>681—13.10</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priority for facilities and grounds use. </w:t>
      </w:r>
      <w:r>
        <w:rPr>
          <w:rFonts w:ascii="Times New Roman" w:hAnsi="Times New Roman"/>
          <w:b w:val="false"/>
          <w:i w:val="false"/>
          <w:color w:val="000000"/>
          <w:sz w:val="22"/>
        </w:rPr>
        <w:t xml:space="preserve">University facilities and grounds are primarily dedicated to the university’s missions of teaching, research and service. While facilities and grounds are generally open to noncommercial use by the public, students, student organizations and staff, use for other than university-related purposes must not substantially interfere with university activities and must be in conformity with the requirements of this chapter. University-related activities, including the activities of recognized campus and student organizations, will be given priority.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specifically indicated, the policies stipulated in rules </w:t>
      </w:r>
      <w:hyperlink r:id="rId13">
        <w:r>
          <w:rPr>
            <w:rStyle w:val="Hyperlink"/>
            <w:rFonts w:ascii="Times New Roman" w:hAnsi="Times New Roman"/>
            <w:b w:val="false"/>
            <w:i w:val="false"/>
            <w:color w:val="000000"/>
            <w:sz w:val="22"/>
          </w:rPr>
          <w:t>681—13.11</w:t>
        </w:r>
      </w:hyperlink>
      <w:r>
        <w:rPr>
          <w:rFonts w:ascii="Times New Roman" w:hAnsi="Times New Roman"/>
          <w:b w:val="false"/>
          <w:i w:val="false"/>
          <w:color w:val="000000"/>
          <w:sz w:val="22"/>
        </w:rPr>
        <w:t xml:space="preserve">(262) to </w:t>
      </w:r>
      <w:hyperlink r:id="rId14">
        <w:r>
          <w:rPr>
            <w:rStyle w:val="Hyperlink"/>
            <w:rFonts w:ascii="Times New Roman" w:hAnsi="Times New Roman"/>
            <w:b w:val="false"/>
            <w:i w:val="false"/>
            <w:color w:val="000000"/>
            <w:sz w:val="22"/>
          </w:rPr>
          <w:t>681—13.13</w:t>
        </w:r>
      </w:hyperlink>
      <w:r>
        <w:rPr>
          <w:rFonts w:ascii="Times New Roman" w:hAnsi="Times New Roman"/>
          <w:b w:val="false"/>
          <w:i w:val="false"/>
          <w:color w:val="000000"/>
          <w:sz w:val="22"/>
        </w:rPr>
        <w:t xml:space="preserve">(262) are applicable to noncommercial uses.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val="false"/>
          <w:color w:val="000000"/>
          <w:sz w:val="22"/>
        </w:rPr>
        <w:t xml:space="preserve">Commercial uses, including solicitation, advertising and sales, are subject to the university’s rule on commercial and charitable uses in rule </w:t>
      </w:r>
      <w:hyperlink r:id="rId15">
        <w:r>
          <w:rPr>
            <w:rStyle w:val="Hyperlink"/>
            <w:rFonts w:ascii="Times New Roman" w:hAnsi="Times New Roman"/>
            <w:b w:val="false"/>
            <w:i w:val="false"/>
            <w:color w:val="000000"/>
            <w:sz w:val="22"/>
          </w:rPr>
          <w:t>681—13.15</w:t>
        </w:r>
      </w:hyperlink>
      <w:r>
        <w:rPr>
          <w:rFonts w:ascii="Times New Roman" w:hAnsi="Times New Roman"/>
          <w:b w:val="false"/>
          <w:i w:val="false"/>
          <w:color w:val="000000"/>
          <w:sz w:val="22"/>
        </w:rPr>
        <w:t>(262).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681—13.11</w:t>
      </w:r>
      <w:r>
        <w:rPr>
          <w:rFonts w:ascii="Times New Roman" w:hAnsi="Times New Roman"/>
          <w:b/>
          <w:i w:val="false"/>
          <w:color w:val="000000"/>
          <w:sz w:val="22"/>
        </w:rPr>
        <w:t xml:space="preserve">(262) </w:t>
      </w:r>
      <w:r>
        <w:rPr>
          <w:rFonts w:ascii="Times New Roman" w:hAnsi="Times New Roman"/>
          <w:b/>
          <w:i w:val="false"/>
          <w:color w:val="000000"/>
          <w:sz w:val="22"/>
        </w:rPr>
        <w:t xml:space="preserve">Access to facilities and grounds. </w:t>
      </w:r>
      <w:r>
        <w:rPr>
          <w:rFonts w:ascii="Times New Roman" w:hAnsi="Times New Roman"/>
          <w:b w:val="false"/>
          <w:i w:val="false"/>
          <w:color w:val="000000"/>
          <w:sz w:val="22"/>
        </w:rPr>
        <w:t>University facilities and grounds are generally open to public access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Persons may not enter facilities or grounds without authorization when the facilities or grounds are locked, when signs indicate they are closed to the public or when they are closed to the public for specific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The following facilities and grounds are restricted areas. Access requires express permission of the relevant building supervisor, superintendent or other person in charge of the facility: individual residences or dwellings; research laboratories or facilities; farms and associated buildings; animal storage and confinement facilities; utility and maintenance closets; mechanical rooms; utility facilities; utility tunnels; storage areas; hazardous materials waste storage and handling areas; marked or fenced construction areas; institutional food preparation areas; private offices; workrooms; shops; areas where medical, psychological or other consultation takes place; radio and television studios; intercollegiate athletics competition facilities; or areas which bear signs indicating that access is restricted. The university has leased some of its facilities and grounds to other parties for use related to university purposes. Such areas are not open to public use except as provided by the lessee of the property or facility. The buildings at the Iowa State University Research Park are managed by a separate organization that regulates the use of these facilities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Access to facilities and grounds may be denied when they are closed to the public for special university events or when access would conflict with an approved use of the facilities or grounds. The university may limit or control access to areas of the campus for ceremonial events and celebrations such as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val="false"/>
          <w:color w:val="000000"/>
          <w:sz w:val="22"/>
        </w:rPr>
        <w:t>Unapproved uses of university facilities and grounds by the general public are subject to preemption for university activities, for use by recognized student and campus organizations and for use by students, faculty and staff for purposes related to the university’s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13.11(5)</w:t>
      </w:r>
      <w:r>
        <w:rPr>
          <w:rFonts w:ascii="Times New Roman" w:hAnsi="Times New Roman"/>
          <w:b w:val="false"/>
          <w:i w:val="false"/>
          <w:color w:val="000000"/>
          <w:sz w:val="22"/>
        </w:rPr>
        <w:t> </w:t>
      </w:r>
      <w:r>
        <w:rPr>
          <w:rFonts w:ascii="Times New Roman" w:hAnsi="Times New Roman"/>
          <w:b w:val="false"/>
          <w:i w:val="false"/>
          <w:color w:val="000000"/>
          <w:sz w:val="22"/>
        </w:rPr>
        <w:t>Access to performances, art exhibits, museums and other exhibitions may be regulated by requirement of payment of a fee for entry. Visitors are required to abide by policies established for the various facilities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13.11(6)</w:t>
      </w:r>
      <w:r>
        <w:rPr>
          <w:rFonts w:ascii="Times New Roman" w:hAnsi="Times New Roman"/>
          <w:b w:val="false"/>
          <w:i w:val="false"/>
          <w:color w:val="000000"/>
          <w:sz w:val="22"/>
        </w:rPr>
        <w:t> </w:t>
      </w:r>
      <w:r>
        <w:rPr>
          <w:rFonts w:ascii="Times New Roman" w:hAnsi="Times New Roman"/>
          <w:b w:val="false"/>
          <w:i w:val="false"/>
          <w:color w:val="000000"/>
          <w:sz w:val="22"/>
        </w:rPr>
        <w:t>Access to campus roads and parking is governed by university parking and traffic regulations, as well as signage erected upon campus roadways and parking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681—13.12</w:t>
      </w:r>
      <w:r>
        <w:rPr>
          <w:rFonts w:ascii="Times New Roman" w:hAnsi="Times New Roman"/>
          <w:b/>
          <w:i w:val="false"/>
          <w:color w:val="000000"/>
          <w:sz w:val="22"/>
        </w:rPr>
        <w:t xml:space="preserve">(262) </w:t>
      </w:r>
      <w:r>
        <w:rPr>
          <w:rFonts w:ascii="Times New Roman" w:hAnsi="Times New Roman"/>
          <w:b/>
          <w:i w:val="false"/>
          <w:color w:val="000000"/>
          <w:sz w:val="22"/>
        </w:rPr>
        <w:t xml:space="preserve">When authorization is required for use of facilities and grounds open for general use. </w:t>
      </w:r>
      <w:r>
        <w:rPr>
          <w:rFonts w:ascii="Times New Roman" w:hAnsi="Times New Roman"/>
          <w:b w:val="false"/>
          <w:i w:val="false"/>
          <w:color w:val="000000"/>
          <w:sz w:val="22"/>
        </w:rPr>
        <w:t xml:space="preserve">To prevent conflicts in the use of facilities and grounds, groups or persons wishing to use facilities and grounds, whether indoors or outdoors, should schedule use of university facilities and grounds as provided in this rule. ISU has designated public forum areas with few restrictions. Public events require filing of a notice, or approval depending on the event. “Public events” are defined as outdoor events in which more than 50 persons are participating or at which the sponsor reasonably expects more than 50 persons to be involved, or indoor events in which more than 15 persons are participating or at which the sponsor reasonably expects more than 15 persons to be involved. Organizations and groups desiring to use university facilities and grounds should contact the offices listed in subrule </w:t>
      </w:r>
      <w:hyperlink r:id="rId16">
        <w:r>
          <w:rPr>
            <w:rStyle w:val="Hyperlink"/>
            <w:rFonts w:ascii="Times New Roman" w:hAnsi="Times New Roman"/>
            <w:b w:val="false"/>
            <w:i w:val="false"/>
            <w:color w:val="000000"/>
            <w:sz w:val="22"/>
          </w:rPr>
          <w:t>13.12(3)</w:t>
        </w:r>
      </w:hyperlink>
      <w:r>
        <w:rPr>
          <w:rFonts w:ascii="Times New Roman" w:hAnsi="Times New Roman"/>
          <w:b w:val="false"/>
          <w:i w:val="false"/>
          <w:color w:val="000000"/>
          <w:sz w:val="22"/>
        </w:rPr>
        <w:t xml:space="preserve"> to determine availability and fees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Outdoor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Designated public forums. </w:t>
      </w:r>
      <w:r>
        <w:rPr>
          <w:rFonts w:ascii="Times New Roman" w:hAnsi="Times New Roman"/>
          <w:b w:val="false"/>
          <w:i w:val="false"/>
          <w:color w:val="000000"/>
          <w:sz w:val="22"/>
        </w:rPr>
        <w:t>The Edward S. Allen Area of Free Debate, located west and south of the Hub, and the area south of the Campanile have been designated as public forums for noncommercial expression. If these areas have not been reserved for use for university purposes or by student, faculty or staff organizations, any member of the public or of the university community may use these areas for expressive activities on a first-come, first-served basis. Signs or placards, each of which is carried by one or two persons, are permitted. Freestanding displays are permitted as long as the display occupies a space of less than 200 cubic feet and has a footprint of not more than 100 square feet, weighs less than 300 pounds and is accompanied at all times by an individual responsible for the display. Leafleting may be conducted if done in a way that avoids substantial littering of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Uses that require only notice. </w:t>
      </w:r>
      <w:r>
        <w:rPr>
          <w:rFonts w:ascii="Times New Roman" w:hAnsi="Times New Roman"/>
          <w:b w:val="false"/>
          <w:i w:val="false"/>
          <w:color w:val="000000"/>
          <w:sz w:val="22"/>
        </w:rPr>
        <w:t>Student organizations, university departments, and others wishing to use outdoor areas other than a designated public forum for a public event must notify the Memorial Union Event Management office. If possible, such notice should be submitted at least 24 hours in advance of the event but, in any case, must be submitted at least 3 hours prior to the event. No approval is necessary if the event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weekdays between the hours of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 p.m., the event will be held at least 100 feet away from buildings that normally hold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other person or group has been authorized to use the area or has filed a notice of intent to use that area or an adjacent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organizers do not intend to use amplification equipment or equipment requiring use of electrical power connections. Hand-held megaphones are permitted if used so as to direct the sound away from nearby buildings that normally hold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Participants will not use displays other than signs or banners carried at all times by one or two participants (unattended displays may not be used without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event is not held at one of the two public forum areas, the event will occur only between the hours of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10 p.m.;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sponsor of the event indicates that the event will comply with the general restrictions indicated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that require approval. </w:t>
      </w:r>
      <w:r>
        <w:rPr>
          <w:rFonts w:ascii="Times New Roman" w:hAnsi="Times New Roman"/>
          <w:b w:val="false"/>
          <w:i w:val="false"/>
          <w:color w:val="000000"/>
          <w:sz w:val="22"/>
        </w:rPr>
        <w:t>A public event not at a designated public forum, and which does not meet the above criteria, requires prior approval by the filing of an Online Event Authorization Request Form with the Student Activities Center when recognized student organizations make the request and with Facilities Planning and Management when university departments and nonuniversity entities make the request. It is preferred that the online request be made at least ten business days and not less than four business days in advance of the proposed event. The Student Activities Center or Facilities Planning and Management will make every effort to provide approval or nonapproval, with a statement of the reasons for nonapproval, in a timely manner. The sponsors of the event may request a waiver of the four-day requirement. A waiver may be granted if the Student Activities Center or Facilities Planning and Management determines that there are good reasons for an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events will be based upon whether the event meets the general rules indicated in rule </w:t>
      </w:r>
      <w:hyperlink r:id="rId17">
        <w:r>
          <w:rPr>
            <w:rStyle w:val="Hyperlink"/>
            <w:rFonts w:ascii="Times New Roman" w:hAnsi="Times New Roman"/>
            <w:b w:val="false"/>
            <w:i w:val="false"/>
            <w:color w:val="000000"/>
            <w:sz w:val="22"/>
          </w:rPr>
          <w:t>681—13.14</w:t>
        </w:r>
      </w:hyperlink>
      <w:r>
        <w:rPr>
          <w:rFonts w:ascii="Times New Roman" w:hAnsi="Times New Roman"/>
          <w:b w:val="false"/>
          <w:i w:val="false"/>
          <w:color w:val="000000"/>
          <w:sz w:val="22"/>
        </w:rPr>
        <w:t>(262) and whether the event is appropriate for the location. Approval may be conditioned upon sponsors making reasonable assurances that the event will comply with the general rules. In addition, reasonable time, place and manner restrictions may be required. Unless the event will violate the law, events will not be disapproved based upon the content of proposed speaking or expressive activity. Persons denied authorization may appeal to the senior vice president for business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approval of the event, the organization shall make particular arrangements regarding location, electrical power needs, custodial services, and provision for liability insurance as directed by the Student Activities Center or Facilities Planning and Management. If parking lots will be involved, the organization must receive clearance from the Parking Division, (515)294-3388. If streets will be involved, the organization must receive clearance from the office of the senior vice president for operations and finance, (515)294-6162. Preferred locations for outdoor events covered under this subrule are the areas south or north of the Campanile, west of Curtiss Hall, south of MacKay Hall, south of the Hub, south of the Parks Library, and west of Marston Hall provided the events do not conflict with university classes or scheduled activities and provided the events conform to appropriate uses for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Indoor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policy regarding use. </w:t>
      </w:r>
      <w:r>
        <w:rPr>
          <w:rFonts w:ascii="Times New Roman" w:hAnsi="Times New Roman"/>
          <w:b w:val="false"/>
          <w:i w:val="false"/>
          <w:color w:val="000000"/>
          <w:sz w:val="22"/>
        </w:rPr>
        <w:t>Any use of indoor areas must not conflict with university programs and events and must be compatible with the purpose of the facility or the particular area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of the general public and campus community are free to enter university facilities, other than restricted areas, during business hours as necessary to transact business, seek information about the university or deliver petitions or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and groups desiring to use university buildings and facilities for meetings, events, and conferences should contact the offices listed in </w:t>
      </w:r>
      <w:hyperlink r:id="rId18">
        <w:r>
          <w:rPr>
            <w:rStyle w:val="Hyperlink"/>
            <w:rFonts w:ascii="Times New Roman" w:hAnsi="Times New Roman"/>
            <w:b w:val="false"/>
            <w:i w:val="false"/>
            <w:color w:val="000000"/>
            <w:sz w:val="22"/>
          </w:rPr>
          <w:t>13.12(3)</w:t>
        </w:r>
      </w:hyperlink>
      <w:r>
        <w:rPr>
          <w:rFonts w:ascii="Times New Roman" w:hAnsi="Times New Roman"/>
          <w:b w:val="false"/>
          <w:i w:val="false"/>
          <w:color w:val="000000"/>
          <w:sz w:val="22"/>
        </w:rPr>
        <w:t xml:space="preserve"> to determine availability and fees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Organizations (other than recognized campus and student organizations) using classrooms, auditoriums, and meeting rooms will be charged the customary rental of those facilities. All users will be responsible for costs incurred for setup, equipment use, cleanup and use of services and materials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avoid disruption, the following kinds of indoor areas are not available for non-university-related assembly or solicitation: hallways, stairways, waiting rooms, residence halls and apartments, dining facilities, workrooms, common areas provided around service windows, the Lloyd Veterinary Medical Center and the Thielen Student Health Center. Atria and open areas in buildings are generally available for use except when they are used as waiting areas or common areas around service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Uses that require scheduling. </w:t>
      </w:r>
      <w:r>
        <w:rPr>
          <w:rFonts w:ascii="Times New Roman" w:hAnsi="Times New Roman"/>
          <w:b w:val="false"/>
          <w:i w:val="false"/>
          <w:color w:val="000000"/>
          <w:sz w:val="22"/>
        </w:rPr>
        <w:t>To avoid conflicts with university activities and permitted use by others, organized use of indoor areas by groups of 15 or fewer persons that will substantially exclude others from using the same or adjacent areas, other than transitory passage through public areas and hallways, requires scheduling through the Memorial Union Event Management Office when recognized student organizations make the request and with Facilities Planning and Management or Conference Planning and Management when university departments or nonuniversity entities make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that require approval. </w:t>
      </w:r>
      <w:r>
        <w:rPr>
          <w:rFonts w:ascii="Times New Roman" w:hAnsi="Times New Roman"/>
          <w:b w:val="false"/>
          <w:i w:val="false"/>
          <w:color w:val="000000"/>
          <w:sz w:val="22"/>
        </w:rPr>
        <w:t>Organized or concerted assembly in or solicitation at indoor areas by groups involving more than 15 persons for non-university-related purposes must be approved by the filing of an Online Event Authorization Request Form with the Student Activities Center when recognized student organizations make the request and with Facilities Planning and Management or Conference Planning and Management when university departments or nonuniversity entities make the request. It is preferred that the online request be made at least ten business days and not less than four business days in advance of the activity. The Student Activities Center and Facilities Planning and Management or Conference Planning and Management will make every effort to provide approval or nonapproval, with a statement of the reasons for nonapproval, in a timely manner. The sponsors of the event may request waiver of the four-day requirement. A waiver may be granted if the Student Activities Center or Facilities Planning and Management or Conference Planning and Management determines that there are good reasons for an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events will be based upon whether the event meets the general rules indicated in rule </w:t>
      </w:r>
      <w:hyperlink r:id="rId19">
        <w:r>
          <w:rPr>
            <w:rStyle w:val="Hyperlink"/>
            <w:rFonts w:ascii="Times New Roman" w:hAnsi="Times New Roman"/>
            <w:b w:val="false"/>
            <w:i w:val="false"/>
            <w:color w:val="000000"/>
            <w:sz w:val="22"/>
          </w:rPr>
          <w:t>681—13.14</w:t>
        </w:r>
      </w:hyperlink>
      <w:r>
        <w:rPr>
          <w:rFonts w:ascii="Times New Roman" w:hAnsi="Times New Roman"/>
          <w:b w:val="false"/>
          <w:i w:val="false"/>
          <w:color w:val="000000"/>
          <w:sz w:val="22"/>
        </w:rPr>
        <w:t>(262) and whether the event is appropriate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Approval may be conditioned upon sponsors making reasonable assurances that the event will comply with the general rules. In addition, reasonable time, place and manner restrictions may be required. Unless the event will violate the law, events will not be disapproved based upon the content of proposed speaking or expressive activity. Persons denied authorization may appeal to the senior vice president for business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Facilities and grounds managed by separate university offices or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Activities Center and users must coordinate use of these facilities with the listed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Common areas in buildings—building supervisor for the building can be found at </w:t>
      </w:r>
      <w:hyperlink r:id="rId20">
        <w:r>
          <w:rPr>
            <w:rStyle w:val="Hyperlink"/>
            <w:rFonts w:ascii="Times New Roman" w:hAnsi="Times New Roman"/>
            <w:b w:val="false"/>
            <w:i w:val="false"/>
            <w:color w:val="000000"/>
            <w:sz w:val="22"/>
            <w:u w:val="single"/>
          </w:rPr>
          <w:t>www.fpm.iastate.edu/maps/buildings/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in academic or administrative buildings—Room Scheduling, General Services Building, (515)294-4493. Room Reservation Request Forms are available at </w:t>
      </w:r>
      <w:hyperlink r:id="rId21">
        <w:r>
          <w:rPr>
            <w:rStyle w:val="Hyperlink"/>
            <w:rFonts w:ascii="Times New Roman" w:hAnsi="Times New Roman"/>
            <w:b w:val="false"/>
            <w:i w:val="false"/>
            <w:color w:val="000000"/>
            <w:sz w:val="22"/>
            <w:u w:val="single"/>
          </w:rPr>
          <w:t>www.fpm.iastate.edu/roomscheduling/department_form/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Memorial Union—Event Management Office, 3630 Memorial Union, (515)294-1437;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State Center—Center Office, 4 Scheman Conference Center, (515)294-3347;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Residence Halls—(515)294-2900 (general); (515)294-6428 (meeting rooms); (515)294-8384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Schilletter and University Village (SUV) Office—(515)294-5360;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Fredericksen Court Office—(515)294-2107;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Recreation facilities and grounds—Recreation Services Administrative Office, 1180 State Gym, (515)294-4980. Recreation facilities and grounds are listed at </w:t>
      </w:r>
      <w:hyperlink r:id="rId22">
        <w:r>
          <w:rPr>
            <w:rStyle w:val="Hyperlink"/>
            <w:rFonts w:ascii="Times New Roman" w:hAnsi="Times New Roman"/>
            <w:b w:val="false"/>
            <w:i w:val="false"/>
            <w:color w:val="000000"/>
            <w:sz w:val="22"/>
            <w:u w:val="single"/>
          </w:rPr>
          <w:t>www.recservices.iastate.edu/facilities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Howe Hall Auditorium—Engineering Distance Education, (515)294-7470;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University Studios—(515)294-6014;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Farm Bureau Pavilion—Animal Science, (515)294-5424;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Athletics facilities and grounds—Athletic Department, Jacobson Athletic Building, (515)294-3662. Athletic facilities and grounds are listed at </w:t>
      </w:r>
      <w:hyperlink r:id="rId23">
        <w:r>
          <w:rPr>
            <w:rStyle w:val="Hyperlink"/>
            <w:rFonts w:ascii="Times New Roman" w:hAnsi="Times New Roman"/>
            <w:b w:val="false"/>
            <w:i w:val="false"/>
            <w:color w:val="000000"/>
            <w:sz w:val="22"/>
            <w:u w:val="single"/>
          </w:rPr>
          <w:t>www.cyclones.com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Alumni Center—Alumni Association, 420 Beach Avenue, (515)294-4625;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Reiman Gardens—1407 University Boulevard, (515)294-8994.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and student organizations have priority for use of residence facilities and grounds, recreation facilities and grounds and the Memorial Union. Students and student organizations may directly contact the offices listed above to schedule use of meeting rooms and other facilities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Organizations (other than recognized campus and student organizations) using facilities and grounds will be charged the customary rental of those facilities and grounds. All users will be responsible for costs incurred for setup, equipment use, cleanup and use of services and materials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part of the university’s comprehensive effort to conserve energy and save money, activities will generally be scheduled in buildings normally open and operational in the evenings. More information may be obtained through the Room Scheduling Office, (515)294-5338. The ISU policy on facilities and grounds use after hours may be found in the policy library.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681—13.13</w:t>
      </w:r>
      <w:r>
        <w:rPr>
          <w:rFonts w:ascii="Times New Roman" w:hAnsi="Times New Roman"/>
          <w:b/>
          <w:i w:val="false"/>
          <w:color w:val="000000"/>
          <w:sz w:val="22"/>
        </w:rPr>
        <w:t xml:space="preserve">(262) </w:t>
      </w:r>
      <w:r>
        <w:rPr>
          <w:rFonts w:ascii="Times New Roman" w:hAnsi="Times New Roman"/>
          <w:b/>
          <w:i w:val="false"/>
          <w:color w:val="000000"/>
          <w:sz w:val="22"/>
        </w:rPr>
        <w:t xml:space="preserve">Display of noninstructional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Displays within buildings. </w:t>
      </w:r>
      <w:r>
        <w:rPr>
          <w:rFonts w:ascii="Times New Roman" w:hAnsi="Times New Roman"/>
          <w:b w:val="false"/>
          <w:i w:val="false"/>
          <w:color w:val="000000"/>
          <w:sz w:val="22"/>
        </w:rPr>
        <w:t>Posters, advertisements, or other visual display materials may be affixed only on permanent building bulletin boards. Such display materials may not have a surface area of greater than 300 square inches. Additional information regarding displays within buildings may be found in the ISU policy on facilities and grounds use activities in the policy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bulletin boards may be used by Iowa State University students and organizations as well as the general public without approval for 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Bulletin board notices must include the date they are posted or the date of the event and may be posted no more than one month in advance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Undated and early notices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Properly posted notices will be removed after 30 days or, in the case of advertisements for an event, after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bulletin boards are limited to the use of designated departments or organizations. Use of these bulletin boards must be approved by the official representative of the respective department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Exterior displays.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Residence department buildings. </w:t>
      </w:r>
      <w:r>
        <w:rPr>
          <w:rFonts w:ascii="Times New Roman" w:hAnsi="Times New Roman"/>
          <w:b w:val="false"/>
          <w:i w:val="false"/>
          <w:color w:val="000000"/>
          <w:sz w:val="22"/>
        </w:rPr>
        <w:t>Signs, banners, and other display materials may be affixed to buildings only with the authorization of the coordinator of residence life in each residence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Academic buildings. </w:t>
      </w:r>
      <w:r>
        <w:rPr>
          <w:rFonts w:ascii="Times New Roman" w:hAnsi="Times New Roman"/>
          <w:b w:val="false"/>
          <w:i w:val="false"/>
          <w:color w:val="000000"/>
          <w:sz w:val="22"/>
        </w:rPr>
        <w:t>Signs, banners, and other display materials may not be affixed to buildings. Rare exceptions may be made in cases in which the display materials are clearly associated with an academic function. Prior approval must be obtained from the Student Activities Center and from Facilities Planning and Management by the submission of an Activity Authorization Form. Such forms are available at the Student Activities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Exterior display, not on buildings. </w:t>
      </w:r>
      <w:r>
        <w:rPr>
          <w:rFonts w:ascii="Times New Roman" w:hAnsi="Times New Roman"/>
          <w:b w:val="false"/>
          <w:i w:val="false"/>
          <w:color w:val="000000"/>
          <w:sz w:val="22"/>
        </w:rPr>
        <w:t xml:space="preserve">Signs, banners, and other display materials may not be affixed to sidewalks, trees, fences, shrubs, light poles, or any other fixture of the landscape, nor may freestanding displays be placed in any area other than those areas scheduled through the activity authorization process. Except for those displays indicated in </w:t>
      </w:r>
      <w:hyperlink r:id="rId24">
        <w:r>
          <w:rPr>
            <w:rStyle w:val="Hyperlink"/>
            <w:rFonts w:ascii="Times New Roman" w:hAnsi="Times New Roman"/>
            <w:b w:val="false"/>
            <w:i w:val="false"/>
            <w:color w:val="000000"/>
            <w:sz w:val="22"/>
          </w:rPr>
          <w:t>13.12(1)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13.12(1)</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at events for which approval is not required, prior approval of displays must be obtained from the Student Activities Center by the submission of an Online Event Authorization Request Form for recognized student organizations or from Facilities Planning and Management for university departments or nonuniversity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Cleanup and repair. </w:t>
      </w:r>
      <w:r>
        <w:rPr>
          <w:rFonts w:ascii="Times New Roman" w:hAnsi="Times New Roman"/>
          <w:b w:val="false"/>
          <w:i w:val="false"/>
          <w:color w:val="000000"/>
          <w:sz w:val="22"/>
        </w:rPr>
        <w:t>All visual displays should be removed as they become outdated or after authorization has expired. Cleanup and repair charges may be billed to the organization/department/individual for failure to clean up promptly. Organizations, departments, individuals, or nonuniversity entities may be billed for cleanup and repair expenses for illegally posted materials. Additional information regarding exterior displays may be found in the ISU policy on facilities and grounds use activities in the policy library.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STANDARDS OF CONDUCT ON CAMPUS</w:t>
      </w:r>
    </w:p>
    <w:p>
      <w:pPr>
        <w:spacing w:before="0" w:after="0"/>
        <w:ind w:left="120"/>
        <w:jc w:val="both"/>
      </w:pPr>
      <w:r>
        <w:rPr>
          <w:rFonts w:ascii="Times New Roman" w:hAnsi="Times New Roman"/>
          <w:b/>
          <w:i w:val="false"/>
          <w:color w:val="000000"/>
          <w:sz w:val="22"/>
        </w:rPr>
        <w:t>681—13.14</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rules for facilities and grounds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University facilities and grounds may not be used in a manner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Substantially disrupts university events or the lawful use by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Substantially interferes with the free flow of vehicle or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in injury or creates the threat of injury to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Involves commission of a crime or illegal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Damages or defaces university property or threatens to damage property;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Results in significant littering, pollution or other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No person shall engage in harassment or stalking as defined by Iowa criminal law or engage in harassment in violation of university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13.14(3)</w:t>
      </w:r>
      <w:r>
        <w:rPr>
          <w:rFonts w:ascii="Times New Roman" w:hAnsi="Times New Roman"/>
          <w:b w:val="false"/>
          <w:i w:val="false"/>
          <w:color w:val="000000"/>
          <w:sz w:val="22"/>
        </w:rPr>
        <w:t> </w:t>
      </w:r>
      <w:r>
        <w:rPr>
          <w:rFonts w:ascii="Times New Roman" w:hAnsi="Times New Roman"/>
          <w:b w:val="false"/>
          <w:i w:val="false"/>
          <w:color w:val="000000"/>
          <w:sz w:val="22"/>
        </w:rPr>
        <w:t>No person may engage in public urination, defecation or other actions that create a sanitary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13.14(4)</w:t>
      </w:r>
      <w:r>
        <w:rPr>
          <w:rFonts w:ascii="Times New Roman" w:hAnsi="Times New Roman"/>
          <w:b w:val="false"/>
          <w:i w:val="false"/>
          <w:color w:val="000000"/>
          <w:sz w:val="22"/>
        </w:rPr>
        <w:t> </w:t>
      </w:r>
      <w:r>
        <w:rPr>
          <w:rFonts w:ascii="Times New Roman" w:hAnsi="Times New Roman"/>
          <w:b w:val="false"/>
          <w:i w:val="false"/>
          <w:color w:val="000000"/>
          <w:sz w:val="22"/>
        </w:rPr>
        <w:t>A person who enters specialized facilities, such as libraries, recreation facilities and grounds, clinics, research laboratories and other research facilities, and areas not open to the general public must comply with policies established by such facilities and grounds. Questions about applicable policies should be directed to the manager or supervisor of the facility or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13.14(5)</w:t>
      </w:r>
      <w:r>
        <w:rPr>
          <w:rFonts w:ascii="Times New Roman" w:hAnsi="Times New Roman"/>
          <w:b w:val="false"/>
          <w:i w:val="false"/>
          <w:color w:val="000000"/>
          <w:sz w:val="22"/>
        </w:rPr>
        <w:t> </w:t>
      </w:r>
      <w:r>
        <w:rPr>
          <w:rFonts w:ascii="Times New Roman" w:hAnsi="Times New Roman"/>
          <w:b w:val="false"/>
          <w:i w:val="false"/>
          <w:color w:val="000000"/>
          <w:sz w:val="22"/>
        </w:rPr>
        <w:t>Weapons are not permitted on the campus except for purposes of law enforcement and as specifically authorized for purposes of instruction, research or service. A weapon is any instrument or device which is designed primarily for use in inflicting death or injury upon a human being or animal and which is capable of inflicting death or injury when used in the manner for which it was designed. Weapons include any pistol, revolver, shotgun, machine gun, rifle or other firearm, BB or pellet gun, taser or stun gun, bomb, grenade, mine or other explosive or incendiary device, ammunition, archery equipment, dagger, stiletto, switchblade knife, or knife having a blade exceeding five inches in length. Residents of university housing may possess knives having a blade exceeding five inches for cooking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13.14(6)</w:t>
      </w:r>
      <w:r>
        <w:rPr>
          <w:rFonts w:ascii="Times New Roman" w:hAnsi="Times New Roman"/>
          <w:b w:val="false"/>
          <w:i w:val="false"/>
          <w:color w:val="000000"/>
          <w:sz w:val="22"/>
        </w:rPr>
        <w:t> </w:t>
      </w:r>
      <w:r>
        <w:rPr>
          <w:rFonts w:ascii="Times New Roman" w:hAnsi="Times New Roman"/>
          <w:b w:val="false"/>
          <w:i w:val="false"/>
          <w:color w:val="000000"/>
          <w:sz w:val="22"/>
        </w:rPr>
        <w:t>Consumption of alcohol is not permitted in outdoor areas of the campus. An exception is made for the consumption of alcoholic beverages served at approved events for which a valid liquor permit has been issued as provided by state law, and for private events or in designated areas at events. Unauthorized alcoholic beverages are subject to confiscation.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13.14(7)</w:t>
      </w:r>
      <w:r>
        <w:rPr>
          <w:rFonts w:ascii="Times New Roman" w:hAnsi="Times New Roman"/>
          <w:b w:val="false"/>
          <w:i w:val="false"/>
          <w:color w:val="000000"/>
          <w:sz w:val="22"/>
        </w:rPr>
        <w:t> </w:t>
      </w:r>
      <w:r>
        <w:rPr>
          <w:rFonts w:ascii="Times New Roman" w:hAnsi="Times New Roman"/>
          <w:b w:val="false"/>
          <w:i w:val="false"/>
          <w:color w:val="000000"/>
          <w:sz w:val="22"/>
        </w:rPr>
        <w:t>Vehicles are not permitted off roadways or parking areas without permission from Manager, Facilities Services, 152 General Services Building, telephone (515)294-0692 or from the Director of the Parking Department, 27 Armory, telephone (515)294-1987.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13.14(8)</w:t>
      </w:r>
      <w:r>
        <w:rPr>
          <w:rFonts w:ascii="Times New Roman" w:hAnsi="Times New Roman"/>
          <w:b w:val="false"/>
          <w:i w:val="false"/>
          <w:color w:val="000000"/>
          <w:sz w:val="22"/>
        </w:rPr>
        <w:t> </w:t>
      </w:r>
      <w:r>
        <w:rPr>
          <w:rFonts w:ascii="Times New Roman" w:hAnsi="Times New Roman"/>
          <w:b w:val="false"/>
          <w:i w:val="false"/>
          <w:color w:val="000000"/>
          <w:sz w:val="22"/>
        </w:rPr>
        <w:t>For reasons of safety, sanitation, and preservation of campus property, camping is not permitted except for special events approved by the senior vice president for operations and finance or senior vice president for student affairs.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681—13.15</w:t>
      </w:r>
      <w:r>
        <w:rPr>
          <w:rFonts w:ascii="Times New Roman" w:hAnsi="Times New Roman"/>
          <w:b/>
          <w:i w:val="false"/>
          <w:color w:val="000000"/>
          <w:sz w:val="22"/>
        </w:rPr>
        <w:t xml:space="preserve">(262) </w:t>
      </w:r>
      <w:r>
        <w:rPr>
          <w:rFonts w:ascii="Times New Roman" w:hAnsi="Times New Roman"/>
          <w:b/>
          <w:i w:val="false"/>
          <w:color w:val="000000"/>
          <w:sz w:val="22"/>
        </w:rPr>
        <w:t xml:space="preserve">Commercial and charitable uses. </w:t>
      </w:r>
      <w:r>
        <w:rPr>
          <w:rFonts w:ascii="Times New Roman" w:hAnsi="Times New Roman"/>
          <w:b w:val="false"/>
          <w:i w:val="false"/>
          <w:color w:val="000000"/>
          <w:sz w:val="22"/>
        </w:rPr>
        <w:t>This rule applies to commercial and charitable uses other than those of university units, of university-affiliated entities or of recognized campus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Commercial solicitation, advertising and sales. </w:t>
      </w:r>
      <w:r>
        <w:rPr>
          <w:rFonts w:ascii="Times New Roman" w:hAnsi="Times New Roman"/>
          <w:b w:val="false"/>
          <w:i w:val="false"/>
          <w:color w:val="000000"/>
          <w:sz w:val="22"/>
        </w:rPr>
        <w:t>Commercial solicitation, advertising and sales are not permitted on the campus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Newspapers and periodicals may be distributed in established locations in accordance with the university’s periodical distribution policy, which is available from the senior vice president for operations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Commercial advertising or displays on bulletin boards must conform to the provisions of subrule </w:t>
      </w:r>
      <w:hyperlink r:id="rId26">
        <w:r>
          <w:rPr>
            <w:rStyle w:val="Hyperlink"/>
            <w:rFonts w:ascii="Times New Roman" w:hAnsi="Times New Roman"/>
            <w:b w:val="false"/>
            <w:i w:val="false"/>
            <w:color w:val="000000"/>
            <w:sz w:val="22"/>
          </w:rPr>
          <w:t>13.13(1)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Commercial sales or solicitation may be approved by the senior vice president for operations and finance. Such activity may be approved for academic areas of the campus if the activity directly relates to the academic program. Otherwise, such commercial activity may be approved only in the area directly to the north of the Memorial Union, with priority being given to all other campus-related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Charitable solicitation. </w:t>
      </w:r>
      <w:r>
        <w:rPr>
          <w:rFonts w:ascii="Times New Roman" w:hAnsi="Times New Roman"/>
          <w:b w:val="false"/>
          <w:i w:val="false"/>
          <w:color w:val="000000"/>
          <w:sz w:val="22"/>
        </w:rPr>
        <w:t>Use of university mail systems and related facilities may be approved by the senior vice president for operations and finance for the solicitation of employees by charitable organizations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once a year through an on-campus coordinated campaign of all eligible organizations meeting the conditions and giving written notice to the university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university mail system or other university facilities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27">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681—13.16</w:t>
      </w:r>
      <w:r>
        <w:rPr>
          <w:rFonts w:ascii="Times New Roman" w:hAnsi="Times New Roman"/>
          <w:b/>
          <w:i w:val="false"/>
          <w:color w:val="000000"/>
          <w:sz w:val="22"/>
        </w:rPr>
        <w:t xml:space="preserve">(262) </w:t>
      </w:r>
      <w:r>
        <w:rPr>
          <w:rFonts w:ascii="Times New Roman" w:hAnsi="Times New Roman"/>
          <w:b/>
          <w:i w:val="false"/>
          <w:color w:val="000000"/>
          <w:sz w:val="22"/>
        </w:rPr>
        <w:t xml:space="preserve">Conduct at public events. </w:t>
      </w:r>
      <w:r>
        <w:rPr>
          <w:rFonts w:ascii="Times New Roman" w:hAnsi="Times New Roman"/>
          <w:b w:val="false"/>
          <w:i w:val="false"/>
          <w:color w:val="000000"/>
          <w:sz w:val="22"/>
        </w:rPr>
        <w:t>The following rules are intended to ensure the safety of students, faculty, staff and visitors to the campus and to ensure widest enjoyment of the benefit of public events at Iowa State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No person may engage in behavior that causes or threatens injury or damage to property, that results in disruption of a public event or that causes unreasonable interference with others’ enjoyment of a public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Special rules may be enforced with respect to events that are open to the public, based upon the nature of the event. For example, performers may require that no cameras or audio- or video-recording devices be permitted in the arena. Persons may be refused entry with items that may be used as projectiles. Umbrellas and other items that may obstruct the views of other attendees may be excluded from facilities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Possession of, carrying in or consumption of alcohol is not permitted at public events. An exception may be made for the consumption of beer or wine served at approved events for which a valid liquor permit has been issued as provided by state law, and for designated events or designated areas at events. Unauthorized alcoholic beverages are subject to confiscation.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Aisles, walkways and stairs must be kept clear of hazards and obstacles. Knapsacks, duffel bags, backpacks, bags or other containers shall be small enough to fit completely on or under one seat, and shall be so kept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13.16(5)</w:t>
      </w:r>
      <w:r>
        <w:rPr>
          <w:rFonts w:ascii="Times New Roman" w:hAnsi="Times New Roman"/>
          <w:b w:val="false"/>
          <w:i w:val="false"/>
          <w:color w:val="000000"/>
          <w:sz w:val="22"/>
        </w:rPr>
        <w:t> </w:t>
      </w:r>
      <w:r>
        <w:rPr>
          <w:rFonts w:ascii="Times New Roman" w:hAnsi="Times New Roman"/>
          <w:b w:val="false"/>
          <w:i w:val="false"/>
          <w:color w:val="000000"/>
          <w:sz w:val="22"/>
        </w:rPr>
        <w:t>Laser pointers and similar devices are not permitted at athletic and performing events and are subject to confiscation. A person who uses any such device to interfere with athletes and performances is subject to immediate removal from the facility and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13.16(6)</w:t>
      </w:r>
      <w:r>
        <w:rPr>
          <w:rFonts w:ascii="Times New Roman" w:hAnsi="Times New Roman"/>
          <w:b w:val="false"/>
          <w:i w:val="false"/>
          <w:color w:val="000000"/>
          <w:sz w:val="22"/>
        </w:rPr>
        <w:t> </w:t>
      </w:r>
      <w:r>
        <w:rPr>
          <w:rFonts w:ascii="Times New Roman" w:hAnsi="Times New Roman"/>
          <w:b w:val="false"/>
          <w:i w:val="false"/>
          <w:color w:val="000000"/>
          <w:sz w:val="22"/>
        </w:rPr>
        <w:t>Iowa State University reserves the right to reassign parking and seating locations at public events for purposes of access, efficiency or to reduce the likelihood of disruption.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13.16(7)</w:t>
      </w:r>
      <w:r>
        <w:rPr>
          <w:rFonts w:ascii="Times New Roman" w:hAnsi="Times New Roman"/>
          <w:b w:val="false"/>
          <w:i w:val="false"/>
          <w:color w:val="000000"/>
          <w:sz w:val="22"/>
        </w:rPr>
        <w:t> </w:t>
      </w:r>
      <w:r>
        <w:rPr>
          <w:rFonts w:ascii="Times New Roman" w:hAnsi="Times New Roman"/>
          <w:b w:val="false"/>
          <w:i w:val="false"/>
          <w:color w:val="000000"/>
          <w:sz w:val="22"/>
        </w:rPr>
        <w:t>Any person carrying containers or bags which may contain materials not permitted at public events may be required either to open the container or bag to assure compliance, or to check the container or bag, if such facilities are available for storage of such items, or to dispose of such materials, or to return the materials to the person’s automobile. In addition, a patron may be subject to search using a magnetometer to ensure the absence of weapons or other hazardous or banned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13.16(8)</w:t>
      </w:r>
      <w:r>
        <w:rPr>
          <w:rFonts w:ascii="Times New Roman" w:hAnsi="Times New Roman"/>
          <w:b w:val="false"/>
          <w:i w:val="false"/>
          <w:color w:val="000000"/>
          <w:sz w:val="22"/>
        </w:rPr>
        <w:t> </w:t>
      </w:r>
      <w:r>
        <w:rPr>
          <w:rFonts w:ascii="Times New Roman" w:hAnsi="Times New Roman"/>
          <w:b w:val="false"/>
          <w:i w:val="false"/>
          <w:color w:val="000000"/>
          <w:sz w:val="22"/>
        </w:rPr>
        <w:t>Auditorium doors will be closed when performances begin. A latecomer may be required to wait to be seated until an appropriate program break. Standing in aisles during performances is not permitted, except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13.16(9)</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a person attending events may enter facilities and grounds efficiently, a person leaving the facility or grounds early in the event may be denied the right to secure a pass to reenter.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681—13.17</w:t>
      </w:r>
      <w:r>
        <w:rPr>
          <w:rFonts w:ascii="Times New Roman" w:hAnsi="Times New Roman"/>
          <w:b/>
          <w:i w:val="false"/>
          <w:color w:val="000000"/>
          <w:sz w:val="22"/>
        </w:rPr>
        <w:t xml:space="preserve">(262) </w:t>
      </w:r>
      <w:r>
        <w:rPr>
          <w:rFonts w:ascii="Times New Roman" w:hAnsi="Times New Roman"/>
          <w:b/>
          <w:i w:val="false"/>
          <w:color w:val="000000"/>
          <w:sz w:val="22"/>
        </w:rPr>
        <w:t xml:space="preserve">Regulation of smoking, alcohol and food and beverages.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Iowa smokefree air Act (Iowa Code chapter </w:t>
      </w:r>
      <w:hyperlink r:id="rId29">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Iowa State University has adopted a smoke-free campus policy, which is incorporated by reference herein. The policy is available on the Internet at the following address: </w:t>
      </w:r>
      <w:hyperlink r:id="rId30">
        <w:r>
          <w:rPr>
            <w:rStyle w:val="Hyperlink"/>
            <w:rFonts w:ascii="Times New Roman" w:hAnsi="Times New Roman"/>
            <w:b w:val="false"/>
            <w:i w:val="false"/>
            <w:color w:val="000000"/>
            <w:sz w:val="22"/>
            <w:u w:val="single"/>
          </w:rPr>
          <w:t>policy.iastate.edu/policy/smoking/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13.17(2)</w:t>
      </w:r>
      <w:r>
        <w:rPr>
          <w:rFonts w:ascii="Times New Roman" w:hAnsi="Times New Roman"/>
          <w:b w:val="false"/>
          <w:i w:val="false"/>
          <w:color w:val="000000"/>
          <w:sz w:val="22"/>
        </w:rPr>
        <w:t> </w:t>
      </w:r>
      <w:r>
        <w:rPr>
          <w:rFonts w:ascii="Times New Roman" w:hAnsi="Times New Roman"/>
          <w:b w:val="false"/>
          <w:i w:val="false"/>
          <w:color w:val="000000"/>
          <w:sz w:val="22"/>
        </w:rPr>
        <w:t>Unless specifically authorized, the consumption of alcoholic beverages is not permitted on the campus, within university buildings, within university vehicles, or on other university property. Alcohol may be consumed in residences or privately leased units on the campus as allowed by law and the rules or lease agreement applicable to the unit. Otherwise, the university will determine the time, place, and conditions under which alcoholic beverages are consumed on university property. Events at which alcoholic beverages are served require evidence of a properly issued state alcohol permit. Persons violating state law with respect to possession and consumption of alcohol are subject to citation, arrest or exclusion from the campus. The ISU policy on alcohol, drugs, and other intoxicants may be found in the policy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13.17(3)</w:t>
      </w:r>
      <w:r>
        <w:rPr>
          <w:rFonts w:ascii="Times New Roman" w:hAnsi="Times New Roman"/>
          <w:b w:val="false"/>
          <w:i w:val="false"/>
          <w:color w:val="000000"/>
          <w:sz w:val="22"/>
        </w:rPr>
        <w:t> </w:t>
      </w:r>
      <w:r>
        <w:rPr>
          <w:rFonts w:ascii="Times New Roman" w:hAnsi="Times New Roman"/>
          <w:b w:val="false"/>
          <w:i w:val="false"/>
          <w:color w:val="000000"/>
          <w:sz w:val="22"/>
        </w:rPr>
        <w:t>Food and beverages shall be consumed in academic buildings only in areas designated by the responsible departmental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681—13.18</w:t>
      </w:r>
      <w:r>
        <w:rPr>
          <w:rFonts w:ascii="Times New Roman" w:hAnsi="Times New Roman"/>
          <w:b/>
          <w:i w:val="false"/>
          <w:color w:val="000000"/>
          <w:sz w:val="22"/>
        </w:rPr>
        <w:t xml:space="preserve">(262) </w:t>
      </w:r>
      <w:r>
        <w:rPr>
          <w:rFonts w:ascii="Times New Roman" w:hAnsi="Times New Roman"/>
          <w:b/>
          <w:i w:val="false"/>
          <w:color w:val="000000"/>
          <w:sz w:val="22"/>
        </w:rPr>
        <w:t xml:space="preserve">Animals on campus.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All livestock and other domesticated animals, including but not limited to fowl, cats, dogs, cows, horses, mules, sheep, goats, swine, or reptiles, when on university property, must be kept confined or otherwise physically constrained. Any such animal found running at large on university grounds or found within university facilities and not part of a university-sponsored research program or project may be impounded. Consistent with the laws of the state of Iowa, such animals may be turned over to a city pound or other appropriate state or university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For sanitation and safety reasons, except as provided below, animals are not permitted in university buildings. This prohibition shall not apply to animals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Specially trained for and under the control of an individual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Used for teaching and research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Receiving treatment at the Lloyd Veterinary Medical Center or other approved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13.18(3)</w:t>
      </w:r>
      <w:r>
        <w:rPr>
          <w:rFonts w:ascii="Times New Roman" w:hAnsi="Times New Roman"/>
          <w:b w:val="false"/>
          <w:i w:val="false"/>
          <w:color w:val="000000"/>
          <w:sz w:val="22"/>
        </w:rPr>
        <w:t> </w:t>
      </w:r>
      <w:r>
        <w:rPr>
          <w:rFonts w:ascii="Times New Roman" w:hAnsi="Times New Roman"/>
          <w:b w:val="false"/>
          <w:i w:val="false"/>
          <w:color w:val="000000"/>
          <w:sz w:val="22"/>
        </w:rPr>
        <w:t>Pets are permitted on the campus in outdoor areas when properly controlled and confined and when their presence does not jeopardize the safety or sanitation of university facilities or grounds or the safety of individuals on the campus. In the case of pets such as dogs, proper confinement shall consist of a cage or a leash of sufficient strength to restrain the dog held by a person competent to govern the behavior of the dog.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pets brought on the campus must be properly licensed and vaccinated under the laws of Iowa, and tags indicating such license and vaccination shall at all times be attached to the collar of the pet.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those cases in which impoundment is necessary, the owner of the animal or its claimant shall be personally responsible for all costs associated with reclaiming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walks an animal on public areas of the campus shall be responsible for the control and behavior of the animal, as well as the prompt collection and disposal of the solid waste excreted by that animal.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681—13.19</w:t>
      </w:r>
      <w:r>
        <w:rPr>
          <w:rFonts w:ascii="Times New Roman" w:hAnsi="Times New Roman"/>
          <w:b/>
          <w:i w:val="false"/>
          <w:color w:val="000000"/>
          <w:sz w:val="22"/>
        </w:rPr>
        <w:t xml:space="preserve">(262) </w:t>
      </w:r>
      <w:r>
        <w:rPr>
          <w:rFonts w:ascii="Times New Roman" w:hAnsi="Times New Roman"/>
          <w:b/>
          <w:i w:val="false"/>
          <w:color w:val="000000"/>
          <w:sz w:val="22"/>
        </w:rPr>
        <w:t xml:space="preserve">Authority to order persons off the campus. </w:t>
      </w:r>
      <w:r>
        <w:rPr>
          <w:rFonts w:ascii="Times New Roman" w:hAnsi="Times New Roman"/>
          <w:b w:val="false"/>
          <w:i w:val="false"/>
          <w:color w:val="000000"/>
          <w:sz w:val="22"/>
        </w:rPr>
        <w:t>Any person violating university regulations may have the person’s permission to remain in or on university premises revoked. A person who does not voluntarily leave, or who immediately returns, is subject to arrest for trespassing under state law. A person who has engaged in serious or repeat violations of university regulations, who has committed crimes, or who has endangered other persons may be banned by the director of public safety or the director’s designee from all or part of the campus. Such orders shall be issued in writing. Any person who is subject to such an order may appeal such action to the senior vice president for operations and finance, who shall promptly handle the appeal. A person who violates such orders is subject to arrest and prosecution for trespassing.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12/22/76, Notice 11/17/76—published 1/12/77, effective 2/16/77]</w:t>
      </w:r>
    </w:p>
    <w:p>
      <w:pPr>
        <w:spacing w:before="0" w:after="0"/>
        <w:ind w:left="120"/>
        <w:jc w:val="center"/>
      </w:pPr>
      <w:r>
        <w:rPr>
          <w:rFonts w:ascii="Times New Roman" w:hAnsi="Times New Roman"/>
          <w:b w:val="false"/>
          <w:i w:val="false"/>
          <w:color w:val="000000"/>
          <w:sz w:val="21"/>
        </w:rPr>
        <w:t>[Filed emergency after Notice 10/17/78, Notice 8/23/78—published 11/1/78, effective 10/17/78]</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8/28/80, Notice 2/20/80—published 9/17/80, effective 10/22/80]</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9/30/88, Notice 8/10/88—published 10/19/88, effective 1/18/89]</w:t>
      </w:r>
    </w:p>
    <w:p>
      <w:pPr>
        <w:spacing w:before="0" w:after="0"/>
        <w:ind w:left="120"/>
        <w:jc w:val="center"/>
      </w:pPr>
      <w:r>
        <w:rPr>
          <w:rFonts w:ascii="Times New Roman" w:hAnsi="Times New Roman"/>
          <w:b w:val="false"/>
          <w:i w:val="false"/>
          <w:color w:val="000000"/>
          <w:sz w:val="21"/>
        </w:rPr>
        <w:t>[Filed 5/25/89, Notice 3/22/89—published 6/14/89, effective 7/19/89]</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7/19/02, Notice 5/15/02—published 8/7/02, effective 9/11/02]</w:t>
      </w:r>
    </w:p>
    <w:p>
      <w:pPr>
        <w:spacing w:before="0" w:after="0"/>
        <w:ind w:left="120"/>
        <w:jc w:val="center"/>
      </w:pPr>
      <w:r>
        <w:rPr>
          <w:rFonts w:ascii="Times New Roman" w:hAnsi="Times New Roman"/>
          <w:b w:val="false"/>
          <w:i w:val="false"/>
          <w:color w:val="000000"/>
          <w:sz w:val="21"/>
        </w:rPr>
        <w:t>[Filed ARC 8070B</w:t>
      </w:r>
      <w:r>
        <w:rPr>
          <w:rFonts w:ascii="Times New Roman" w:hAnsi="Times New Roman"/>
          <w:b w:val="false"/>
          <w:i w:val="false"/>
          <w:color w:val="000000"/>
          <w:sz w:val="21"/>
        </w:rPr>
        <w:t xml:space="preserve"> (Notice ARC 7905B, IAB 7/1/09)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1078C</w:t>
      </w:r>
      <w:r>
        <w:rPr>
          <w:rFonts w:ascii="Times New Roman" w:hAnsi="Times New Roman"/>
          <w:b w:val="false"/>
          <w:i w:val="false"/>
          <w:color w:val="000000"/>
          <w:sz w:val="21"/>
        </w:rPr>
        <w:t xml:space="preserve"> (Notice ARC 0818C, IAB 7/10/13)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2672C</w:t>
      </w:r>
      <w:r>
        <w:rPr>
          <w:rFonts w:ascii="Times New Roman" w:hAnsi="Times New Roman"/>
          <w:b w:val="false"/>
          <w:i w:val="false"/>
          <w:color w:val="000000"/>
          <w:sz w:val="21"/>
        </w:rPr>
        <w:t xml:space="preserve"> (Notice ARC 2540C, IAB 5/25/16)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5951C</w:t>
      </w:r>
      <w:r>
        <w:rPr>
          <w:rFonts w:ascii="Times New Roman" w:hAnsi="Times New Roman"/>
          <w:b w:val="false"/>
          <w:i w:val="false"/>
          <w:color w:val="000000"/>
          <w:sz w:val="21"/>
        </w:rPr>
        <w:t xml:space="preserve"> (Notice ARC 5699C,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president.iastate.edu/projects/mission" Type="http://schemas.openxmlformats.org/officeDocument/2006/relationships/hyperlink" Id="rId5"/>
    <Relationship TargetMode="External" Target="http://www.president.iastate.edu/sites/default/files/org/univorg.pdf" Type="http://schemas.openxmlformats.org/officeDocument/2006/relationships/hyperlink" Id="rId6"/>
    <Relationship TargetMode="External" Target="http://www.ur.iastate.edu" Type="http://schemas.openxmlformats.org/officeDocument/2006/relationships/hyperlink" Id="rId7"/>
    <Relationship TargetMode="External" Target="https://www.legis.iowa.gov/docs/iac/rule/681.13.6.pdf" Type="http://schemas.openxmlformats.org/officeDocument/2006/relationships/hyperlink" Id="rId8"/>
    <Relationship TargetMode="External" Target="http://www.policy.iastate.edu/" Type="http://schemas.openxmlformats.org/officeDocument/2006/relationships/hyperlink" Id="rId9"/>
    <Relationship TargetMode="External" Target="http://www.policy.iastate.edu/forms.php" Type="http://schemas.openxmlformats.org/officeDocument/2006/relationships/hyperlink" Id="rId10"/>
    <Relationship TargetMode="External" Target="http://www.policy.iastate.edu/policy/contracting" Type="http://schemas.openxmlformats.org/officeDocument/2006/relationships/hyperlink" Id="rId11"/>
    <Relationship TargetMode="External" Target="http://www.iastate.edu/found/" Type="http://schemas.openxmlformats.org/officeDocument/2006/relationships/hyperlink" Id="rId12"/>
    <Relationship TargetMode="External" Target="https://www.legis.iowa.gov/docs/iac/rule/681.13.11.pdf" Type="http://schemas.openxmlformats.org/officeDocument/2006/relationships/hyperlink" Id="rId13"/>
    <Relationship TargetMode="External" Target="https://www.legis.iowa.gov/docs/iac/rule/681.13.13.pdf" Type="http://schemas.openxmlformats.org/officeDocument/2006/relationships/hyperlink" Id="rId14"/>
    <Relationship TargetMode="External" Target="https://www.legis.iowa.gov/docs/iac/rule/681.13.15.pdf" Type="http://schemas.openxmlformats.org/officeDocument/2006/relationships/hyperlink" Id="rId15"/>
    <Relationship TargetMode="External" Target="https://www.legis.iowa.gov/docs/iac/rule/681.13.12.pdf" Type="http://schemas.openxmlformats.org/officeDocument/2006/relationships/hyperlink" Id="rId16"/>
    <Relationship TargetMode="External" Target="https://www.legis.iowa.gov/docs/iac/rule/681.13.14.pdf" Type="http://schemas.openxmlformats.org/officeDocument/2006/relationships/hyperlink" Id="rId17"/>
    <Relationship TargetMode="External" Target="https://www.legis.iowa.gov/docs/iac/rule/681.13.12.pdf" Type="http://schemas.openxmlformats.org/officeDocument/2006/relationships/hyperlink" Id="rId18"/>
    <Relationship TargetMode="External" Target="https://www.legis.iowa.gov/docs/iac/rule/681.13.14.pdf" Type="http://schemas.openxmlformats.org/officeDocument/2006/relationships/hyperlink" Id="rId19"/>
    <Relationship TargetMode="External" Target="http://www.fpm.iastate.edu/maps/buildings/" Type="http://schemas.openxmlformats.org/officeDocument/2006/relationships/hyperlink" Id="rId20"/>
    <Relationship TargetMode="External" Target="http://www.fpm.iastate.edu/roomscheduling/department_form/" Type="http://schemas.openxmlformats.org/officeDocument/2006/relationships/hyperlink" Id="rId21"/>
    <Relationship TargetMode="External" Target="http://www.recservices.iastate.edu/facilities" Type="http://schemas.openxmlformats.org/officeDocument/2006/relationships/hyperlink" Id="rId22"/>
    <Relationship TargetMode="External" Target="http://www.cyclones.com" Type="http://schemas.openxmlformats.org/officeDocument/2006/relationships/hyperlink" Id="rId23"/>
    <Relationship TargetMode="External" Target="https://www.legis.iowa.gov/docs/iac/rule/681.13.12.pdf" Type="http://schemas.openxmlformats.org/officeDocument/2006/relationships/hyperlink" Id="rId24"/>
    <Relationship TargetMode="External" Target="https://www.legis.iowa.gov/docs/iac/rule/681.13.12.pdf" Type="http://schemas.openxmlformats.org/officeDocument/2006/relationships/hyperlink" Id="rId25"/>
    <Relationship TargetMode="External" Target="https://www.legis.iowa.gov/docs/iac/rule/681.13.13.pdf" Type="http://schemas.openxmlformats.org/officeDocument/2006/relationships/hyperlink" Id="rId26"/>
    <Relationship TargetMode="External" Target="https://www.legis.iowa.gov/docs/ico/chapter/70A.14.pdf" Type="http://schemas.openxmlformats.org/officeDocument/2006/relationships/hyperlink" Id="rId27"/>
    <Relationship TargetMode="External" Target="https://www.legis.iowa.gov/docs/ico/chapter/70A.15.pdf" Type="http://schemas.openxmlformats.org/officeDocument/2006/relationships/hyperlink" Id="rId28"/>
    <Relationship TargetMode="External" Target="https://www.legis.iowa.gov/docs/ico/chapter/142D.pdf" Type="http://schemas.openxmlformats.org/officeDocument/2006/relationships/hyperlink" Id="rId29"/>
    <Relationship TargetMode="External" Target="http://policy.iastate.edu/policy/smoking/"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262.9.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