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RECORDS MANAGEMENT</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681—10.1</w:t>
      </w:r>
      <w:r>
        <w:rPr>
          <w:rFonts w:ascii="Times New Roman" w:hAnsi="Times New Roman"/>
          <w:b/>
          <w:i w:val="false"/>
          <w:color w:val="000000"/>
          <w:sz w:val="22"/>
        </w:rPr>
        <w:t xml:space="preserve">(305) </w:t>
      </w:r>
      <w:r>
        <w:rPr>
          <w:rFonts w:ascii="Times New Roman" w:hAnsi="Times New Roman"/>
          <w:b/>
          <w:i w:val="false"/>
          <w:color w:val="000000"/>
          <w:sz w:val="22"/>
        </w:rPr>
        <w:t xml:space="preserve">Records management. </w:t>
      </w:r>
      <w:r>
        <w:rPr>
          <w:rFonts w:ascii="Times New Roman" w:hAnsi="Times New Roman"/>
          <w:b w:val="false"/>
          <w:i w:val="false"/>
          <w:color w:val="000000"/>
          <w:sz w:val="22"/>
        </w:rPr>
        <w:t xml:space="preserve">The board of regents’ office and each institution governed by the board of regents shall develop internal rules for the economical, efficient, and systematic management of its records. Each institutional and board office records management system shall be approved by the board of regents when found by the board to be consistent with the objectives of Iowa Code chapter </w:t>
      </w:r>
      <w:hyperlink r:id="rId5">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681—10.2</w:t>
      </w:r>
      <w:r>
        <w:rPr>
          <w:rFonts w:ascii="Times New Roman" w:hAnsi="Times New Roman"/>
          <w:b/>
          <w:i w:val="false"/>
          <w:color w:val="000000"/>
          <w:sz w:val="22"/>
        </w:rPr>
        <w:t xml:space="preserve">(305) </w:t>
      </w:r>
      <w:r>
        <w:rPr>
          <w:rFonts w:ascii="Times New Roman" w:hAnsi="Times New Roman"/>
          <w:b/>
          <w:i w:val="false"/>
          <w:color w:val="000000"/>
          <w:sz w:val="22"/>
        </w:rPr>
        <w:t xml:space="preserve">Records system. </w:t>
      </w:r>
      <w:r>
        <w:rPr>
          <w:rFonts w:ascii="Times New Roman" w:hAnsi="Times New Roman"/>
          <w:b w:val="false"/>
          <w:i w:val="false"/>
          <w:color w:val="000000"/>
          <w:sz w:val="22"/>
        </w:rPr>
        <w:t>Each system shall incorporate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records of transactions of the official business of the institution or board office, including design, handling, maintenance, filing, storage,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utilization of space,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Schedules for retention of records, and the form in which they are to be retained, either in offices or archives.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Schedules for destruction of records and the method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Standards for reproduction of records.</w:t>
      </w:r>
    </w:p>
    <w:p>
      <w:pPr>
        <w:spacing w:before="210" w:after="0"/>
        <w:ind w:left="120"/>
        <w:jc w:val="both"/>
      </w:pPr>
      <w:r>
        <w:rPr>
          <w:rFonts w:ascii="Times New Roman" w:hAnsi="Times New Roman"/>
          <w:b/>
          <w:i w:val="false"/>
          <w:color w:val="000000"/>
          <w:sz w:val="22"/>
        </w:rPr>
        <w:t>681—10.3</w:t>
      </w:r>
      <w:r>
        <w:rPr>
          <w:rFonts w:ascii="Times New Roman" w:hAnsi="Times New Roman"/>
          <w:b/>
          <w:i w:val="false"/>
          <w:color w:val="000000"/>
          <w:sz w:val="22"/>
        </w:rPr>
        <w:t xml:space="preserve">(305) </w:t>
      </w:r>
      <w:r>
        <w:rPr>
          <w:rFonts w:ascii="Times New Roman" w:hAnsi="Times New Roman"/>
          <w:b/>
          <w:i w:val="false"/>
          <w:color w:val="000000"/>
          <w:sz w:val="22"/>
        </w:rPr>
        <w:t xml:space="preserve">Public inspection. </w:t>
      </w:r>
      <w:r>
        <w:rPr>
          <w:rFonts w:ascii="Times New Roman" w:hAnsi="Times New Roman"/>
          <w:b w:val="false"/>
          <w:i w:val="false"/>
          <w:color w:val="000000"/>
          <w:sz w:val="22"/>
        </w:rPr>
        <w:t>The system governing the records management procedure for each institution and the board office shall be available for public inspection at the respective institution and the office of the Executive Director, State Board of Regents, 11260 Aurora Avenue, Urbandale, Iowa 50322.</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6/27/75]</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5/5/06, Notice 3/1/06—published 5/24/06, effective 6/28/06]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pdf" Type="http://schemas.openxmlformats.org/officeDocument/2006/relationships/hyperlink" Id="rId5"/>
    <Relationship TargetMode="External" Target="https://www.legis.iowa.gov/docs/ico/chapter/30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