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CARE OF AND ACCESS TO PERMANENT RECORDS COLLECTIONS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671—8.1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record with enduring value shall be transferred to the state archives of Iowa in accordance with a state records commission adopted records series retention and disposition schedule. The state archives of Iowa shall provide a secure environment for the storage and use of these records so that they may be preserved and made available to future generations of researchers in accordance with Iowa Code Supplement section </w:t>
      </w:r>
      <w:hyperlink r:id="rId5">
        <w:r>
          <w:rPr>
            <w:rStyle w:val="Hyperlink"/>
            <w:rFonts w:ascii="Times New Roman" w:hAnsi="Times New Roman"/>
            <w:b w:val="false"/>
            <w:i w:val="false"/>
            <w:color w:val="000000"/>
            <w:sz w:val="22"/>
          </w:rPr>
          <w:t>305.9(1)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671—8.2</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transferred to the state archives of Iowa shall be cared for and administered in accordance with </w:t>
      </w:r>
      <w:hyperlink r:id="rId6">
        <w:r>
          <w:rPr>
            <w:rStyle w:val="Hyperlink"/>
            <w:rFonts w:ascii="Times New Roman" w:hAnsi="Times New Roman"/>
            <w:b w:val="false"/>
            <w:i w:val="false"/>
            <w:color w:val="000000"/>
            <w:sz w:val="22"/>
          </w:rPr>
          <w:t>223—Chapter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transferred to the state archives of Iowa shall be made accessible to researchers in accordance with </w:t>
      </w:r>
      <w:hyperlink r:id="rId7">
        <w:r>
          <w:rPr>
            <w:rStyle w:val="Hyperlink"/>
            <w:rFonts w:ascii="Times New Roman" w:hAnsi="Times New Roman"/>
            <w:b w:val="false"/>
            <w:i w:val="false"/>
            <w:color w:val="000000"/>
            <w:sz w:val="22"/>
          </w:rPr>
          <w:t>223—Chapter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archives and records bureau, with prior approval of the state archivist, may loan an agency record from the state archives of Iowa to an authorized user appointed in accordance with </w:t>
      </w:r>
      <w:hyperlink r:id="rId8">
        <w:r>
          <w:rPr>
            <w:rStyle w:val="Hyperlink"/>
            <w:rFonts w:ascii="Times New Roman" w:hAnsi="Times New Roman"/>
            <w:b w:val="false"/>
            <w:i w:val="false"/>
            <w:color w:val="000000"/>
            <w:sz w:val="22"/>
          </w:rPr>
          <w:t>671—subrule 5.4(1)</w:t>
        </w:r>
      </w:hyperlink>
      <w:r>
        <w:rPr>
          <w:rFonts w:ascii="Times New Roman" w:hAnsi="Times New Roman"/>
          <w:b w:val="false"/>
          <w:i w:val="false"/>
          <w:color w:val="000000"/>
          <w:sz w:val="22"/>
        </w:rPr>
        <w:t xml:space="preserve"> for the agency from which that record originated.</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9">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9.pdf" Type="http://schemas.openxmlformats.org/officeDocument/2006/relationships/hyperlink" Id="rId5"/>
    <Relationship TargetMode="External" Target="https://www.legis.iowa.gov/docs/iac/chapter/223.13.pdf" Type="http://schemas.openxmlformats.org/officeDocument/2006/relationships/hyperlink" Id="rId6"/>
    <Relationship TargetMode="External" Target="https://www.legis.iowa.gov/docs/iac/chapter/223.22.pdf" Type="http://schemas.openxmlformats.org/officeDocument/2006/relationships/hyperlink" Id="rId7"/>
    <Relationship TargetMode="External" Target="https://www.legis.iowa.gov/docs/iac/rule/671.5.4.pdf" Type="http://schemas.openxmlformats.org/officeDocument/2006/relationships/hyperlink" Id="rId8"/>
    <Relationship TargetMode="External" Target="https://www.legis.iowa.gov/docs/ico/chapter/30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