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504</w:t>
      </w:r>
    </w:p>
    <w:p>
      <w:pPr>
        <w:spacing w:before="0" w:after="0"/>
        <w:ind w:left="120"/>
        <w:jc w:val="center"/>
      </w:pPr>
      <w:r>
        <w:rPr>
          <w:rFonts w:ascii="Times New Roman" w:hAnsi="Times New Roman"/>
          <w:b w:val="false"/>
          <w:i w:val="false"/>
          <w:color w:val="000000"/>
          <w:sz w:val="21"/>
        </w:rPr>
        <w:t>STANDARDS FOR ELECTRICAL WORK</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661—504.1</w:t>
      </w:r>
      <w:r>
        <w:rPr>
          <w:rFonts w:ascii="Times New Roman" w:hAnsi="Times New Roman"/>
          <w:b/>
          <w:i w:val="false"/>
          <w:color w:val="000000"/>
          <w:sz w:val="22"/>
        </w:rPr>
        <w:t xml:space="preserve">(103) </w:t>
      </w:r>
      <w:r>
        <w:rPr>
          <w:rFonts w:ascii="Times New Roman" w:hAnsi="Times New Roman"/>
          <w:b/>
          <w:i w:val="false"/>
          <w:color w:val="000000"/>
          <w:sz w:val="22"/>
        </w:rPr>
        <w:t xml:space="preserve">Installation requirements. </w:t>
      </w:r>
      <w:r>
        <w:rPr>
          <w:rFonts w:ascii="Times New Roman" w:hAnsi="Times New Roman"/>
          <w:b w:val="false"/>
          <w:i w:val="false"/>
          <w:color w:val="000000"/>
          <w:sz w:val="22"/>
        </w:rPr>
        <w:t xml:space="preserve">The provisions of the National Electrical Code, 2020 edition, published by the National Fire Protection Association, 1 Batterymarch Park, Quincy, MA 02169-7471, are adopted as the requirements for electrical installations performed by persons licensed pursuant to </w:t>
      </w:r>
      <w:hyperlink r:id="rId5">
        <w:r>
          <w:rPr>
            <w:rStyle w:val="Hyperlink"/>
            <w:rFonts w:ascii="Times New Roman" w:hAnsi="Times New Roman"/>
            <w:b w:val="false"/>
            <w:i w:val="false"/>
            <w:color w:val="000000"/>
            <w:sz w:val="22"/>
          </w:rPr>
          <w:t>661—Chapters 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503</w:t>
        </w:r>
      </w:hyperlink>
      <w:r>
        <w:rPr>
          <w:rFonts w:ascii="Times New Roman" w:hAnsi="Times New Roman"/>
          <w:b w:val="false"/>
          <w:i w:val="false"/>
          <w:color w:val="000000"/>
          <w:sz w:val="22"/>
        </w:rPr>
        <w:t xml:space="preserve"> and to installations subject to inspection pursuant to Iowa Code chapter </w:t>
      </w:r>
      <w:hyperlink r:id="rId7">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The following amendments are effective as of May 1, 2021, shall not expire, and shall remain in effect until, at minimum, the effective date of rules adopted by the board in regard to either (1) a subsequent edition of the National Electrical Code; or (2) subsequent amendments, issued and adopted by the National Fire Protection Association, to the National Electrical Code, 2020 edition: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504.1(1)</w:t>
      </w:r>
      <w:r>
        <w:rPr>
          <w:rFonts w:ascii="Times New Roman" w:hAnsi="Times New Roman"/>
          <w:b w:val="false"/>
          <w:i w:val="false"/>
          <w:color w:val="000000"/>
          <w:sz w:val="22"/>
        </w:rPr>
        <w:t> </w:t>
      </w:r>
      <w:r>
        <w:rPr>
          <w:rFonts w:ascii="Times New Roman" w:hAnsi="Times New Roman"/>
          <w:b w:val="false"/>
          <w:i w:val="false"/>
          <w:color w:val="000000"/>
          <w:sz w:val="22"/>
        </w:rPr>
        <w:t>Delete section 210.8(A) and insert in lieu thereof the following new section:</w:t>
      </w:r>
    </w:p>
    <w:p>
      <w:pPr>
        <w:spacing w:before="0" w:after="0"/>
        <w:ind w:left="120"/>
        <w:jc w:val="both"/>
      </w:pPr>
      <w:r>
        <w:rPr>
          <w:rFonts w:ascii="Times New Roman" w:hAnsi="Times New Roman"/>
          <w:b w:val="false"/>
          <w:i w:val="false"/>
          <w:color w:val="000000"/>
          <w:sz w:val="22"/>
        </w:rPr>
        <w:t xml:space="preserve">210.8(A) Dwelling Units. </w:t>
      </w:r>
    </w:p>
    <w:p>
      <w:pPr>
        <w:spacing w:before="0" w:after="0"/>
        <w:ind w:left="120"/>
        <w:jc w:val="both"/>
      </w:pPr>
      <w:r>
        <w:rPr>
          <w:rFonts w:ascii="Times New Roman" w:hAnsi="Times New Roman"/>
          <w:b w:val="false"/>
          <w:i w:val="false"/>
          <w:color w:val="000000"/>
          <w:sz w:val="22"/>
        </w:rPr>
        <w:t>All 125-volt, single-phase, 15- and 20-ampere receptacles installed in locations specified in 210.8(A)(1) through 210.8(A)(11) shall have ground-fault circuit-interrupter protection for personnel.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Bathrooms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Garages and also accessory buildings that have a floor located at or below grade level not intended to be habitable rooms and limited to storage areas, work areas or similar 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Outdoors</w:t>
      </w:r>
      <w:r>
        <w:br/>
      </w:r>
    </w:p>
    <w:p>
      <w:pPr>
        <w:spacing w:before="0" w:after="0"/>
        <w:ind w:left="120"/>
        <w:jc w:val="both"/>
      </w:pPr>
      <w:r>
        <w:rPr>
          <w:rFonts w:ascii="Times New Roman" w:hAnsi="Times New Roman"/>
          <w:b w:val="false"/>
          <w:i w:val="false"/>
          <w:color w:val="000000"/>
          <w:sz w:val="22"/>
        </w:rPr>
        <w:t>Exception to (3): Receptacles that are not readily accessible and are supplied branch circuit dedicated to electrical snow-melting, deicing, or pipeline and vessel heating equipment shall be permitted to be installed in accordance with 426.28 or 427.22, as applicable.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Crawl spaces – at or below grade level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Basements</w:t>
      </w:r>
    </w:p>
    <w:p>
      <w:pPr>
        <w:spacing w:before="0" w:after="0"/>
        <w:ind w:left="120"/>
        <w:jc w:val="both"/>
      </w:pPr>
      <w:r>
        <w:rPr>
          <w:rFonts w:ascii="Times New Roman" w:hAnsi="Times New Roman"/>
          <w:b w:val="false"/>
          <w:i w:val="false"/>
          <w:color w:val="000000"/>
          <w:sz w:val="22"/>
        </w:rPr>
        <w:t>Exception to (5): A receptacle supplying only a permanently installed fire alarm or burglar alarm system shall not be required to have ground-fault circuit-interrupter protection.</w:t>
      </w:r>
    </w:p>
    <w:p>
      <w:pPr>
        <w:spacing w:before="0" w:after="0"/>
        <w:ind w:left="120"/>
        <w:jc w:val="both"/>
      </w:pPr>
      <w:r>
        <w:rPr>
          <w:rFonts w:ascii="Times New Roman" w:hAnsi="Times New Roman"/>
          <w:b w:val="false"/>
          <w:i w:val="false"/>
          <w:color w:val="000000"/>
          <w:sz w:val="22"/>
        </w:rPr>
        <w:t>Informational Note: See 760.41B and 760.121(B) for power supply requirements for fire alarm systems.</w:t>
      </w:r>
    </w:p>
    <w:p>
      <w:pPr>
        <w:spacing w:before="0" w:after="0"/>
        <w:ind w:left="120"/>
        <w:jc w:val="both"/>
      </w:pPr>
      <w:r>
        <w:rPr>
          <w:rFonts w:ascii="Times New Roman" w:hAnsi="Times New Roman"/>
          <w:b w:val="false"/>
          <w:i w:val="false"/>
          <w:color w:val="000000"/>
          <w:sz w:val="22"/>
        </w:rPr>
        <w:t>Receptacles installed under the exception to 210.8(A)(5) shall not be considered as meeting the requirements of 210.52(G)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Kitchens – where the receptacles are installed to serve the countertop surfaces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Sinks – where receptacles are installed within 1.8 m (6 ft) from the top inside edge of the bowl of the sink</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Boathouses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Bathtubs or shower stalls – where receptacles are installed within 1.8 m (6 ft) of the outside edge of the bathtub or shower stall</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Laundry areas</w:t>
      </w:r>
    </w:p>
    <w:p>
      <w:pPr>
        <w:spacing w:before="0" w:after="0"/>
        <w:ind w:left="120"/>
        <w:jc w:val="both"/>
      </w:pPr>
      <w:r>
        <w:rPr>
          <w:rFonts w:ascii="Times New Roman" w:hAnsi="Times New Roman"/>
          <w:b w:val="false"/>
          <w:i w:val="false"/>
          <w:color w:val="000000"/>
          <w:sz w:val="22"/>
        </w:rPr>
        <w:t>Exception to (1) through (3), (5) through (8), and (10): Listed locking support and mounting receptacles utilized in combination with compatible attachment fittings installed for the purpose of serving a ceiling luminaire or ceiling fan shall not be required to be ground-fault circuit-interrupter protected. If a general-purpose convenience receptacle is integral to the ceiling luminaire or ceiling fan, GFCI protection shall be provided.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Indoor damp and wet 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504.1(2)</w:t>
      </w:r>
      <w:r>
        <w:rPr>
          <w:rFonts w:ascii="Times New Roman" w:hAnsi="Times New Roman"/>
          <w:b w:val="false"/>
          <w:i w:val="false"/>
          <w:color w:val="000000"/>
          <w:sz w:val="22"/>
        </w:rPr>
        <w:t> </w:t>
      </w:r>
      <w:r>
        <w:rPr>
          <w:rFonts w:ascii="Times New Roman" w:hAnsi="Times New Roman"/>
          <w:b w:val="false"/>
          <w:i w:val="false"/>
          <w:color w:val="000000"/>
          <w:sz w:val="22"/>
        </w:rPr>
        <w:t>Delete section 210.8(F).</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9825B</w:t>
      </w:r>
      <w:r>
        <w:rPr>
          <w:rFonts w:ascii="Times New Roman" w:hAnsi="Times New Roman"/>
          <w:b w:val="false"/>
          <w:i w:val="false"/>
          <w:color w:val="000000"/>
          <w:sz w:val="16"/>
        </w:rPr>
        <w:t>, IAB 11/2/11, effective 1/1/12</w:t>
      </w:r>
      <w:r>
        <w:rPr>
          <w:rFonts w:ascii="Times New Roman" w:hAnsi="Times New Roman"/>
          <w:b w:val="false"/>
          <w:i w:val="false"/>
          <w:color w:val="000000"/>
          <w:sz w:val="16"/>
        </w:rPr>
        <w:t xml:space="preserve">; </w:t>
      </w:r>
      <w:r>
        <w:rPr>
          <w:rFonts w:ascii="Times New Roman" w:hAnsi="Times New Roman"/>
          <w:b/>
          <w:i w:val="false"/>
          <w:color w:val="000000"/>
          <w:sz w:val="16"/>
        </w:rPr>
        <w:t>ARC 1715C</w:t>
      </w:r>
      <w:r>
        <w:rPr>
          <w:rFonts w:ascii="Times New Roman" w:hAnsi="Times New Roman"/>
          <w:b w:val="false"/>
          <w:i w:val="false"/>
          <w:color w:val="000000"/>
          <w:sz w:val="16"/>
        </w:rPr>
        <w:t>, IAB 11/12/14,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3466C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i w:val="false"/>
          <w:color w:val="000000"/>
          <w:sz w:val="16"/>
        </w:rPr>
        <w:t>ARC 5287C</w:t>
      </w:r>
      <w:r>
        <w:rPr>
          <w:rFonts w:ascii="Times New Roman" w:hAnsi="Times New Roman"/>
          <w:b w:val="false"/>
          <w:i w:val="false"/>
          <w:color w:val="000000"/>
          <w:sz w:val="16"/>
        </w:rPr>
        <w:t>, IAB 11/18/20, effective 1/1/21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5523C</w:t>
      </w:r>
      <w:r>
        <w:rPr>
          <w:rFonts w:ascii="Times New Roman" w:hAnsi="Times New Roman"/>
          <w:b w:val="false"/>
          <w:i w:val="false"/>
          <w:color w:val="000000"/>
          <w:sz w:val="16"/>
        </w:rPr>
        <w:t>, IAB 3/24/21,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6072C</w:t>
      </w:r>
      <w:r>
        <w:rPr>
          <w:rFonts w:ascii="Times New Roman" w:hAnsi="Times New Roman"/>
          <w:b w:val="false"/>
          <w:i w:val="false"/>
          <w:color w:val="000000"/>
          <w:sz w:val="16"/>
        </w:rPr>
        <w:t>, IAB 12/15/21, effective 1/1/22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12/17/07—published 1/16/08,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9825B</w:t>
      </w:r>
      <w:r>
        <w:rPr>
          <w:rFonts w:ascii="Times New Roman" w:hAnsi="Times New Roman"/>
          <w:b w:val="false"/>
          <w:i w:val="false"/>
          <w:color w:val="000000"/>
          <w:sz w:val="21"/>
        </w:rPr>
        <w:t xml:space="preserve"> (Notice ARC 9630B, IAB 7/27/11)</w:t>
      </w:r>
      <w:r>
        <w:rPr>
          <w:rFonts w:ascii="Times New Roman" w:hAnsi="Times New Roman"/>
          <w:b w:val="false"/>
          <w:i w:val="false"/>
          <w:color w:val="000000"/>
          <w:sz w:val="21"/>
        </w:rPr>
        <w:t>, IAB 11/2/11, effective 1/1/12]</w:t>
      </w:r>
    </w:p>
    <w:p>
      <w:pPr>
        <w:spacing w:before="0" w:after="0"/>
        <w:ind w:left="120"/>
        <w:jc w:val="center"/>
      </w:pPr>
      <w:r>
        <w:rPr>
          <w:rFonts w:ascii="Times New Roman" w:hAnsi="Times New Roman"/>
          <w:b w:val="false"/>
          <w:i w:val="false"/>
          <w:color w:val="000000"/>
          <w:sz w:val="21"/>
        </w:rPr>
        <w:t>[Filed ARC 1715C</w:t>
      </w:r>
      <w:r>
        <w:rPr>
          <w:rFonts w:ascii="Times New Roman" w:hAnsi="Times New Roman"/>
          <w:b w:val="false"/>
          <w:i w:val="false"/>
          <w:color w:val="000000"/>
          <w:sz w:val="21"/>
        </w:rPr>
        <w:t xml:space="preserve"> (Notice ARC 1557C, IAB 7/23/14)</w:t>
      </w:r>
      <w:r>
        <w:rPr>
          <w:rFonts w:ascii="Times New Roman" w:hAnsi="Times New Roman"/>
          <w:b w:val="false"/>
          <w:i w:val="false"/>
          <w:color w:val="000000"/>
          <w:sz w:val="21"/>
        </w:rPr>
        <w:t>, IAB 11/12/14, effective 1/1/15]</w:t>
      </w:r>
    </w:p>
    <w:p>
      <w:pPr>
        <w:spacing w:before="0" w:after="0"/>
        <w:ind w:left="120"/>
        <w:jc w:val="center"/>
      </w:pPr>
      <w:r>
        <w:rPr>
          <w:rFonts w:ascii="Times New Roman" w:hAnsi="Times New Roman"/>
          <w:b w:val="false"/>
          <w:i w:val="false"/>
          <w:color w:val="000000"/>
          <w:sz w:val="21"/>
        </w:rPr>
        <w:t>[Filed ARC 3466C</w:t>
      </w:r>
      <w:r>
        <w:rPr>
          <w:rFonts w:ascii="Times New Roman" w:hAnsi="Times New Roman"/>
          <w:b w:val="false"/>
          <w:i w:val="false"/>
          <w:color w:val="000000"/>
          <w:sz w:val="21"/>
        </w:rPr>
        <w:t xml:space="preserve"> (Notice ARC 3153C, IAB 7/5/17)</w:t>
      </w:r>
      <w:r>
        <w:rPr>
          <w:rFonts w:ascii="Times New Roman" w:hAnsi="Times New Roman"/>
          <w:b w:val="false"/>
          <w:i w:val="false"/>
          <w:color w:val="000000"/>
          <w:sz w:val="21"/>
        </w:rPr>
        <w:t>, IAB 11/22/17, effective 12/27/17]</w:t>
      </w:r>
    </w:p>
    <w:p>
      <w:pPr>
        <w:spacing w:before="0" w:after="0"/>
        <w:ind w:left="120"/>
        <w:jc w:val="center"/>
      </w:pPr>
      <w:r>
        <w:rPr>
          <w:rFonts w:ascii="Times New Roman" w:hAnsi="Times New Roman"/>
          <w:b w:val="false"/>
          <w:i w:val="false"/>
          <w:color w:val="000000"/>
          <w:sz w:val="21"/>
        </w:rPr>
        <w:t>[Filed ARC 5287C</w:t>
      </w:r>
      <w:r>
        <w:rPr>
          <w:rFonts w:ascii="Times New Roman" w:hAnsi="Times New Roman"/>
          <w:b w:val="false"/>
          <w:i w:val="false"/>
          <w:color w:val="000000"/>
          <w:sz w:val="21"/>
        </w:rPr>
        <w:t xml:space="preserve"> (Notice ARC 5152C, IAB 8/26/20)</w:t>
      </w:r>
      <w:r>
        <w:rPr>
          <w:rFonts w:ascii="Times New Roman" w:hAnsi="Times New Roman"/>
          <w:b w:val="false"/>
          <w:i w:val="false"/>
          <w:color w:val="000000"/>
          <w:sz w:val="21"/>
        </w:rPr>
        <w:t>, IAB 11/18/20, effective 1/1/21]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5523C, IAB 3/24/21, effective 4/1/21]</w:t>
      </w:r>
    </w:p>
    <w:p>
      <w:pPr>
        <w:spacing w:before="0" w:after="0"/>
        <w:ind w:left="120"/>
        <w:jc w:val="center"/>
      </w:pPr>
      <w:r>
        <w:rPr>
          <w:rFonts w:ascii="Times New Roman" w:hAnsi="Times New Roman"/>
          <w:b w:val="false"/>
          <w:i w:val="false"/>
          <w:color w:val="000000"/>
          <w:sz w:val="21"/>
        </w:rPr>
        <w:t>[Filed Emergency After Notice ARC 6072C</w:t>
      </w:r>
      <w:r>
        <w:rPr>
          <w:rFonts w:ascii="Times New Roman" w:hAnsi="Times New Roman"/>
          <w:b w:val="false"/>
          <w:i w:val="false"/>
          <w:color w:val="000000"/>
          <w:sz w:val="21"/>
        </w:rPr>
        <w:t xml:space="preserve"> (Amended Notice ARC 5918C, IAB 9/22/21; </w:t>
      </w:r>
      <w:r>
        <w:rPr>
          <w:rFonts w:ascii="Times New Roman" w:hAnsi="Times New Roman"/>
          <w:b w:val="false"/>
          <w:i w:val="false"/>
          <w:color w:val="000000"/>
          <w:sz w:val="21"/>
        </w:rPr>
        <w:t>Notice ARC 5838C, IAB 8/11/21)</w:t>
      </w:r>
      <w:r>
        <w:rPr>
          <w:rFonts w:ascii="Times New Roman" w:hAnsi="Times New Roman"/>
          <w:b w:val="false"/>
          <w:i w:val="false"/>
          <w:color w:val="000000"/>
          <w:sz w:val="21"/>
        </w:rPr>
        <w:t>, IAB 12/15/21, effective 1/1/22]</w:t>
      </w:r>
    </w:p>
    <w:p>
      <w:pPr>
        <w:pBdr>
          <w:bottom w:space="2"/>
        </w:pBdr>
        <w:spacing w:before="0" w:after="0"/>
        <w:ind w:left="120"/>
        <w:jc w:val="both"/>
      </w:pPr>
      <w:r>
        <w:rPr>
          <w:rFonts w:ascii="Times New Roman" w:hAnsi="Times New Roman"/>
          <w:b w:val="false"/>
          <w:i w:val="false"/>
          <w:color w:val="000000"/>
          <w:sz w:val="22"/>
        </w:rPr>
        <w:t>January 1, 2021, effective date of Chapter 504 [ARC 5287C] delayed 70 days by the Administrative Rules Review Committee at its meeting held December 8, 2020.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61.500.pdf" Type="http://schemas.openxmlformats.org/officeDocument/2006/relationships/hyperlink" Id="rId5"/>
    <Relationship TargetMode="External" Target="https://www.legis.iowa.gov/docs/iac/chapter/661.503.pdf" Type="http://schemas.openxmlformats.org/officeDocument/2006/relationships/hyperlink" Id="rId6"/>
    <Relationship TargetMode="External" Target="https://www.legis.iowa.gov/docs/ico/chapter/103.pdf" Type="http://schemas.openxmlformats.org/officeDocument/2006/relationships/hyperlink" Id="rId7"/>
    <Relationship TargetMode="External" Target="https://www.legis.iowa.gov/docs/ico/chapter/10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