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235</w:t>
      </w:r>
    </w:p>
    <w:p>
      <w:pPr>
        <w:spacing w:before="0" w:after="0"/>
        <w:ind w:left="120"/>
        <w:jc w:val="center"/>
      </w:pPr>
      <w:r>
        <w:rPr>
          <w:rFonts w:ascii="Times New Roman" w:hAnsi="Times New Roman"/>
          <w:b w:val="false"/>
          <w:i w:val="false"/>
          <w:color w:val="000000"/>
          <w:sz w:val="21"/>
        </w:rPr>
        <w:t>LICENSING FOR COMMERCIAL EXPLOSIVE CONTRACTORS AND BLASTERS</w:t>
      </w:r>
    </w:p>
    <w:p>
      <w:pPr>
        <w:spacing w:before="0" w:after="0"/>
        <w:ind w:left="120"/>
        <w:jc w:val="center"/>
      </w:pPr>
      <w:r>
        <w:rPr>
          <w:rFonts w:ascii="Times New Roman" w:hAnsi="Times New Roman"/>
          <w:b w:val="false"/>
          <w:i w:val="false"/>
          <w:color w:val="000000"/>
          <w:sz w:val="14"/>
        </w:rPr>
        <w:t>[Prior to 11/18/09, see 661—Ch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661—235.1</w:t>
      </w:r>
      <w:r>
        <w:rPr>
          <w:rFonts w:ascii="Times New Roman" w:hAnsi="Times New Roman"/>
          <w:b/>
          <w:i w:val="false"/>
          <w:color w:val="000000"/>
          <w:sz w:val="22"/>
        </w:rPr>
        <w:t xml:space="preserve">(101A)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set forth in Iowa Code section </w:t>
      </w:r>
      <w:hyperlink r:id="rId5">
        <w:r>
          <w:rPr>
            <w:rStyle w:val="Hyperlink"/>
            <w:rFonts w:ascii="Times New Roman" w:hAnsi="Times New Roman"/>
            <w:b w:val="false"/>
            <w:i w:val="false"/>
            <w:color w:val="000000"/>
            <w:sz w:val="22"/>
          </w:rPr>
          <w:t>101A.1</w:t>
        </w:r>
      </w:hyperlink>
      <w:r>
        <w:rPr>
          <w:rFonts w:ascii="Times New Roman" w:hAnsi="Times New Roman"/>
          <w:b w:val="false"/>
          <w:i w:val="false"/>
          <w:color w:val="000000"/>
          <w:sz w:val="22"/>
        </w:rPr>
        <w:t xml:space="preserve"> are incorporated herein by reference. For purposes of these rules,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“Actual possession” </w:t>
      </w:r>
      <w:r>
        <w:rPr>
          <w:rFonts w:ascii="Times New Roman" w:hAnsi="Times New Roman"/>
          <w:b w:val="false"/>
          <w:i w:val="false"/>
          <w:color w:val="000000"/>
          <w:sz w:val="22"/>
        </w:rPr>
        <w:t>means when a person is in immediate possession or control of explosive materials (e.g., an employee who physically handles explosive materials as part of the production process; or an employee, such as a blaster, who actually uses explosive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individual employed by a commercial explosive contractor or person associated with a commercial explosive contractor who meets the definition of “employee possessor” or “responsible person”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explosive blaster”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“blaster” </w:t>
      </w:r>
      <w:r>
        <w:rPr>
          <w:rFonts w:ascii="Times New Roman" w:hAnsi="Times New Roman"/>
          <w:b w:val="false"/>
          <w:i w:val="false"/>
          <w:color w:val="000000"/>
          <w:sz w:val="22"/>
        </w:rPr>
        <w:t>means any individual who conducts blasting or is in charge of or responsible for loading or detonation of any explosive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explosive contractor”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any business whose employees are engaged in the manufacture, importation, distribution, sale, or commercial use of explosives in the course of their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“Constructive possession” </w:t>
      </w:r>
      <w:r>
        <w:rPr>
          <w:rFonts w:ascii="Times New Roman" w:hAnsi="Times New Roman"/>
          <w:b w:val="false"/>
          <w:i w:val="false"/>
          <w:color w:val="000000"/>
          <w:sz w:val="22"/>
        </w:rPr>
        <w:t>means when an employee lacks direct physical control over explosive materials but exercises dominion and control over the explosive materials, either directly or indirectly through others (e.g., an employee at a construction site who keeps keys for magazines in which explosive materials are stored, or who directs the use of explosive materials by other employees; or an employee transporting explosive materials from a licensee to a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possessor” </w:t>
      </w:r>
      <w:r>
        <w:rPr>
          <w:rFonts w:ascii="Times New Roman" w:hAnsi="Times New Roman"/>
          <w:b w:val="false"/>
          <w:i w:val="false"/>
          <w:color w:val="000000"/>
          <w:sz w:val="22"/>
        </w:rPr>
        <w:t>means an individual who has actual or constructive possession of explosive materials during the course of the individual’s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“Offense directly relates” </w:t>
      </w:r>
      <w:r>
        <w:rPr>
          <w:rFonts w:ascii="Times New Roman" w:hAnsi="Times New Roman"/>
          <w:b w:val="false"/>
          <w:i w:val="false"/>
          <w:color w:val="000000"/>
          <w:sz w:val="22"/>
        </w:rPr>
        <w:t>refers to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actions taken in furtherance of an offense are actions customarily performed within the scope of practice of a licensed profession.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circumstances under which an offense was committed are circumstances customary to a licensed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person” </w:t>
      </w:r>
      <w:r>
        <w:rPr>
          <w:rFonts w:ascii="Times New Roman" w:hAnsi="Times New Roman"/>
          <w:b w:val="false"/>
          <w:i w:val="false"/>
          <w:color w:val="000000"/>
          <w:sz w:val="22"/>
        </w:rPr>
        <w:t>means an individual who has the power to direct the management and policies of the commercial explosive contractor pertaining to explosive materials. For example, responsible persons generally include sole proprietors and explosives facility site managers. In the case of a corporation, association, or similar organization, responsible persons generally include corporate directors and officers, as well as stockholders who have the power to direct management and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661—235.2</w:t>
      </w:r>
      <w:r>
        <w:rPr>
          <w:rFonts w:ascii="Times New Roman" w:hAnsi="Times New Roman"/>
          <w:b/>
          <w:i w:val="false"/>
          <w:color w:val="000000"/>
          <w:sz w:val="22"/>
        </w:rPr>
        <w:t xml:space="preserve">(101A) </w:t>
      </w:r>
      <w:r>
        <w:rPr>
          <w:rFonts w:ascii="Times New Roman" w:hAnsi="Times New Roman"/>
          <w:b/>
          <w:i w:val="false"/>
          <w:color w:val="000000"/>
          <w:sz w:val="22"/>
        </w:rPr>
        <w:t xml:space="preserve">Licenses required. </w:t>
      </w:r>
      <w:r>
        <w:rPr>
          <w:rFonts w:ascii="Times New Roman" w:hAnsi="Times New Roman"/>
          <w:b w:val="false"/>
          <w:i w:val="false"/>
          <w:color w:val="000000"/>
          <w:sz w:val="22"/>
        </w:rPr>
        <w:t>Except as specifically exempted by another provision of state or federal law, any business whose employees are engaged in the manufacture, importation, distribution, sale, or commercial use of explosives in the course of their employment shall be required to hold a current commercial explosive contractor license issued pursuant to this chapter. Any individual, except as specifically exempted by another provision of law, who conducts blasting or is in charge of or responsible for loading or detonation of any explosive material shall be required to hold a current commercial explosive blaster license issued pursuant to this chapter. A commercial explosive blaster license is not required to authorize a person solely to transport explosives from one location to another, to assist a licensed blaster, to train under a licensed blaster, or to engage in the manufacture of explosives.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Iowa Code section 101A.1 excludes “fireworks” from the definition of “explosive.” Consequently, working with fireworks does not necessitate a blaster license, nor does the manufacture, importation, distribution, sale, or commercial use of fireworks necessitate a commercial explosive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661—235.3</w:t>
      </w:r>
      <w:r>
        <w:rPr>
          <w:rFonts w:ascii="Times New Roman" w:hAnsi="Times New Roman"/>
          <w:b/>
          <w:i w:val="false"/>
          <w:color w:val="000000"/>
          <w:sz w:val="22"/>
        </w:rPr>
        <w:t xml:space="preserve">(101A,272C) </w:t>
      </w:r>
      <w:r>
        <w:rPr>
          <w:rFonts w:ascii="Times New Roman" w:hAnsi="Times New Roman"/>
          <w:b/>
          <w:i w:val="false"/>
          <w:color w:val="000000"/>
          <w:sz w:val="22"/>
        </w:rPr>
        <w:t xml:space="preserve">License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commercial explosive contractor or commercial explosive blaster license. </w:t>
      </w:r>
      <w:r>
        <w:rPr>
          <w:rFonts w:ascii="Times New Roman" w:hAnsi="Times New Roman"/>
          <w:b w:val="false"/>
          <w:i w:val="false"/>
          <w:color w:val="000000"/>
          <w:sz w:val="22"/>
        </w:rPr>
        <w:t>Applications for a commercial explosive contractor license or a commercial explosive blaster license are available on the department’s website. The application shall be filed no later than 30 days prior to the date of beginning work in this state or on which an existing license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235.3(2)</w:t>
      </w:r>
      <w:r>
        <w:rPr>
          <w:rFonts w:ascii="Times New Roman" w:hAnsi="Times New Roman"/>
          <w:b w:val="false"/>
          <w:i w:val="false"/>
          <w:color w:val="000000"/>
          <w:sz w:val="22"/>
        </w:rPr>
        <w:t> </w:t>
      </w:r>
      <w:r>
        <w:rPr>
          <w:rFonts w:ascii="Times New Roman" w:hAnsi="Times New Roman"/>
          <w:b w:val="false"/>
          <w:i/>
          <w:color w:val="000000"/>
          <w:sz w:val="22"/>
        </w:rPr>
        <w:t xml:space="preserve">Submission of application and required information. </w:t>
      </w:r>
      <w:r>
        <w:rPr>
          <w:rFonts w:ascii="Times New Roman" w:hAnsi="Times New Roman"/>
          <w:b w:val="false"/>
          <w:i w:val="false"/>
          <w:color w:val="000000"/>
          <w:sz w:val="22"/>
        </w:rPr>
        <w:t>A completed application for a license shall be submitted to the department at the address specified on the department’s website. An application will not be considered complete unless all required information is submitted, including required attachments and fees, and will not be processed until it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235.3(3)</w:t>
      </w:r>
      <w:r>
        <w:rPr>
          <w:rFonts w:ascii="Times New Roman" w:hAnsi="Times New Roman"/>
          <w:b w:val="false"/>
          <w:i w:val="false"/>
          <w:color w:val="000000"/>
          <w:sz w:val="22"/>
        </w:rPr>
        <w:t> </w:t>
      </w:r>
      <w:r>
        <w:rPr>
          <w:rFonts w:ascii="Times New Roman" w:hAnsi="Times New Roman"/>
          <w:b w:val="false"/>
          <w:i/>
          <w:color w:val="000000"/>
          <w:sz w:val="22"/>
        </w:rPr>
        <w:t xml:space="preserve">License fee. </w:t>
      </w:r>
      <w:r>
        <w:rPr>
          <w:rFonts w:ascii="Times New Roman" w:hAnsi="Times New Roman"/>
          <w:b w:val="false"/>
          <w:i w:val="false"/>
          <w:color w:val="000000"/>
          <w:sz w:val="22"/>
        </w:rPr>
        <w:t xml:space="preserve">Each license application shall be accompanied by a license fee as set forth in Iowa Code section </w:t>
      </w:r>
      <w:hyperlink r:id="rId6">
        <w:r>
          <w:rPr>
            <w:rStyle w:val="Hyperlink"/>
            <w:rFonts w:ascii="Times New Roman" w:hAnsi="Times New Roman"/>
            <w:b w:val="false"/>
            <w:i w:val="false"/>
            <w:color w:val="000000"/>
            <w:sz w:val="22"/>
          </w:rPr>
          <w:t>101A.2(2)</w:t>
        </w:r>
      </w:hyperlink>
      <w:r>
        <w:rPr>
          <w:rFonts w:ascii="Times New Roman" w:hAnsi="Times New Roman"/>
          <w:b w:val="false"/>
          <w:i w:val="false"/>
          <w:color w:val="000000"/>
          <w:sz w:val="22"/>
        </w:rPr>
        <w:t>. The department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235.3(4)</w:t>
      </w:r>
      <w:r>
        <w:rPr>
          <w:rFonts w:ascii="Times New Roman" w:hAnsi="Times New Roman"/>
          <w:b w:val="false"/>
          <w:i w:val="false"/>
          <w:color w:val="000000"/>
          <w:sz w:val="22"/>
        </w:rPr>
        <w:t> </w:t>
      </w:r>
      <w:r>
        <w:rPr>
          <w:rFonts w:ascii="Times New Roman" w:hAnsi="Times New Roman"/>
          <w:b w:val="false"/>
          <w:i/>
          <w:color w:val="000000"/>
          <w:sz w:val="22"/>
        </w:rPr>
        <w:t xml:space="preserve">License duration. </w:t>
      </w:r>
      <w:r>
        <w:rPr>
          <w:rFonts w:ascii="Times New Roman" w:hAnsi="Times New Roman"/>
          <w:b w:val="false"/>
          <w:i w:val="false"/>
          <w:color w:val="000000"/>
          <w:sz w:val="22"/>
        </w:rPr>
        <w:t>Licensure will normally be for three years and expire on December 31 of the third year after it is issued, except that a license issued in December of any year expires on December 31 after two years have passed from the date on which the license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235.3(5)</w:t>
      </w:r>
      <w:r>
        <w:rPr>
          <w:rFonts w:ascii="Times New Roman" w:hAnsi="Times New Roman"/>
          <w:b w:val="false"/>
          <w:i w:val="false"/>
          <w:color w:val="000000"/>
          <w:sz w:val="22"/>
        </w:rPr>
        <w:t> </w:t>
      </w:r>
      <w:r>
        <w:rPr>
          <w:rFonts w:ascii="Times New Roman" w:hAnsi="Times New Roman"/>
          <w:b w:val="false"/>
          <w:i/>
          <w:color w:val="000000"/>
          <w:sz w:val="22"/>
        </w:rPr>
        <w:t xml:space="preserve">Criminal history. </w:t>
      </w:r>
      <w:r>
        <w:rPr>
          <w:rFonts w:ascii="Times New Roman" w:hAnsi="Times New Roman"/>
          <w:b w:val="false"/>
          <w:i w:val="false"/>
          <w:color w:val="000000"/>
          <w:sz w:val="22"/>
        </w:rPr>
        <w:t xml:space="preserve">An applicant is subject to a national criminal history check pursuant to Iowa Code section </w:t>
      </w:r>
      <w:hyperlink r:id="rId7">
        <w:r>
          <w:rPr>
            <w:rStyle w:val="Hyperlink"/>
            <w:rFonts w:ascii="Times New Roman" w:hAnsi="Times New Roman"/>
            <w:b w:val="false"/>
            <w:i w:val="false"/>
            <w:color w:val="000000"/>
            <w:sz w:val="22"/>
          </w:rPr>
          <w:t>101A.2(3)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235.3(6)</w:t>
      </w:r>
      <w:r>
        <w:rPr>
          <w:rFonts w:ascii="Times New Roman" w:hAnsi="Times New Roman"/>
          <w:b w:val="false"/>
          <w:i w:val="false"/>
          <w:color w:val="000000"/>
          <w:sz w:val="22"/>
        </w:rPr>
        <w:t> </w:t>
      </w:r>
      <w:r>
        <w:rPr>
          <w:rFonts w:ascii="Times New Roman" w:hAnsi="Times New Roman"/>
          <w:b w:val="false"/>
          <w:i/>
          <w:color w:val="000000"/>
          <w:sz w:val="22"/>
        </w:rPr>
        <w:t xml:space="preserve">Veterans and military service members. </w:t>
      </w:r>
      <w:r>
        <w:rPr>
          <w:rFonts w:ascii="Times New Roman" w:hAnsi="Times New Roman"/>
          <w:b w:val="false"/>
          <w:i w:val="false"/>
          <w:color w:val="000000"/>
          <w:sz w:val="22"/>
        </w:rPr>
        <w:t xml:space="preserve">Any individual while serving honorably on federal active duty, state active duty, or national guard duty, as defined in Iowa Code section </w:t>
      </w:r>
      <w:hyperlink r:id="rId8">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xml:space="preserve">, applying for licensure as a commercial explosive contractor or blaster should apply for licensure in accordance with </w:t>
      </w:r>
      <w:hyperlink r:id="rId9">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661—235.4</w:t>
      </w:r>
      <w:r>
        <w:rPr>
          <w:rFonts w:ascii="Times New Roman" w:hAnsi="Times New Roman"/>
          <w:b/>
          <w:i w:val="false"/>
          <w:color w:val="000000"/>
          <w:sz w:val="22"/>
        </w:rPr>
        <w:t xml:space="preserve">(101A) </w:t>
      </w:r>
      <w:r>
        <w:rPr>
          <w:rFonts w:ascii="Times New Roman" w:hAnsi="Times New Roman"/>
          <w:b/>
          <w:i w:val="false"/>
          <w:color w:val="000000"/>
          <w:sz w:val="22"/>
        </w:rPr>
        <w:t xml:space="preserve">Issuance of commercial explosive contractor license. </w:t>
      </w:r>
      <w:r>
        <w:rPr>
          <w:rFonts w:ascii="Times New Roman" w:hAnsi="Times New Roman"/>
          <w:b w:val="false"/>
          <w:i w:val="false"/>
          <w:color w:val="000000"/>
          <w:sz w:val="22"/>
        </w:rPr>
        <w:t>A commercial explosive contractor license will be issued if all of the following conditions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235.4(1)</w:t>
      </w:r>
      <w:r>
        <w:rPr>
          <w:rFonts w:ascii="Times New Roman" w:hAnsi="Times New Roman"/>
          <w:b w:val="false"/>
          <w:i w:val="false"/>
          <w:color w:val="000000"/>
          <w:sz w:val="22"/>
        </w:rPr>
        <w:t> </w:t>
      </w:r>
      <w:r>
        <w:rPr>
          <w:rFonts w:ascii="Times New Roman" w:hAnsi="Times New Roman"/>
          <w:b w:val="false"/>
          <w:i w:val="false"/>
          <w:color w:val="000000"/>
          <w:sz w:val="22"/>
        </w:rPr>
        <w:t>All items required on the application have been completed, and any items the department deems necessary to verify have been appropriately verified.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235.4(2)</w:t>
      </w:r>
      <w:r>
        <w:rPr>
          <w:rFonts w:ascii="Times New Roman" w:hAnsi="Times New Roman"/>
          <w:b w:val="false"/>
          <w:i w:val="false"/>
          <w:color w:val="000000"/>
          <w:sz w:val="22"/>
        </w:rPr>
        <w:t> </w:t>
      </w:r>
      <w:r>
        <w:rPr>
          <w:rFonts w:ascii="Times New Roman" w:hAnsi="Times New Roman"/>
          <w:b w:val="false"/>
          <w:i w:val="false"/>
          <w:color w:val="000000"/>
          <w:sz w:val="22"/>
        </w:rPr>
        <w:t>No applicant for whom commercial explosive licensure is sought nor any person who will have, at any time, possession of explosives in the course of employment with the prospective contractor licensee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been convicted of any offense involving explosives or firearms;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been previously disqualified from being licensed to handle explosives in this or any other state. The department may grant a license to a person previously disqualified if the department is satisfied that the condition or conditions that led to the disqualification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an unlawful user of or be addicted to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been adjudged mentally incompetent at any time by any court, been committed by any court to any mental institution, received inpatient treatment for any mental illness in the past three years, or received treatment by a health care professional for a serious mental illness or disorder that impairs a person’s capacity to function normally and safely, both toward themselves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235.4(3)</w:t>
      </w:r>
      <w:r>
        <w:rPr>
          <w:rFonts w:ascii="Times New Roman" w:hAnsi="Times New Roman"/>
          <w:b w:val="false"/>
          <w:i w:val="false"/>
          <w:color w:val="000000"/>
          <w:sz w:val="22"/>
        </w:rPr>
        <w:t> </w:t>
      </w:r>
      <w:r>
        <w:rPr>
          <w:rFonts w:ascii="Times New Roman" w:hAnsi="Times New Roman"/>
          <w:b w:val="false"/>
          <w:i w:val="false"/>
          <w:color w:val="000000"/>
          <w:sz w:val="22"/>
        </w:rPr>
        <w:t>The applicant has at least one responsible person or employee licensed as a commercial explosive blaster.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661—235.5</w:t>
      </w:r>
      <w:r>
        <w:rPr>
          <w:rFonts w:ascii="Times New Roman" w:hAnsi="Times New Roman"/>
          <w:b/>
          <w:i w:val="false"/>
          <w:color w:val="000000"/>
          <w:sz w:val="22"/>
        </w:rPr>
        <w:t xml:space="preserve">(101A) </w:t>
      </w:r>
      <w:r>
        <w:rPr>
          <w:rFonts w:ascii="Times New Roman" w:hAnsi="Times New Roman"/>
          <w:b/>
          <w:i w:val="false"/>
          <w:color w:val="000000"/>
          <w:sz w:val="22"/>
        </w:rPr>
        <w:t xml:space="preserve">Issuance of a commercial explosive blaster license. </w:t>
      </w:r>
      <w:r>
        <w:rPr>
          <w:rFonts w:ascii="Times New Roman" w:hAnsi="Times New Roman"/>
          <w:b w:val="false"/>
          <w:i w:val="false"/>
          <w:color w:val="000000"/>
          <w:sz w:val="22"/>
        </w:rPr>
        <w:t>A commercial explosive blaster license will be issued if all of the following conditions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235.5(1)</w:t>
      </w:r>
      <w:r>
        <w:rPr>
          <w:rFonts w:ascii="Times New Roman" w:hAnsi="Times New Roman"/>
          <w:b w:val="false"/>
          <w:i w:val="false"/>
          <w:color w:val="000000"/>
          <w:sz w:val="22"/>
        </w:rPr>
        <w:t> </w:t>
      </w:r>
      <w:r>
        <w:rPr>
          <w:rFonts w:ascii="Times New Roman" w:hAnsi="Times New Roman"/>
          <w:b w:val="false"/>
          <w:i w:val="false"/>
          <w:color w:val="000000"/>
          <w:sz w:val="22"/>
        </w:rPr>
        <w:t>The applicant is an employee of a licensed commercial explosive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after a commercial explosive blaster license is issued, such employment ceases, the employing contractor and the commercial explosive blaster shall each notify the department within three business days of the final day of employment that the employment has ceased, and the commercial explosive blaster license shall be suspended until the commercial explosive blaster is again employed with a licensed commercial explosive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reemployment, the employer shall notify the department that the commercial explosive blaster is again employed with a licensed commercial explosive contractor, and the department will reinstate the commercial explosive blaster license as soon as practical, provided that the commercial explosive blaster is not disqualified from holding a license pursuant to any provision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that a commercial explosive blaster is disqualified from holding a license, the department shall revoke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235.5(2)</w:t>
      </w:r>
      <w:r>
        <w:rPr>
          <w:rFonts w:ascii="Times New Roman" w:hAnsi="Times New Roman"/>
          <w:b w:val="false"/>
          <w:i w:val="false"/>
          <w:color w:val="000000"/>
          <w:sz w:val="22"/>
        </w:rPr>
        <w:t> </w:t>
      </w:r>
      <w:r>
        <w:rPr>
          <w:rFonts w:ascii="Times New Roman" w:hAnsi="Times New Roman"/>
          <w:b w:val="false"/>
          <w:i w:val="false"/>
          <w:color w:val="000000"/>
          <w:sz w:val="22"/>
        </w:rPr>
        <w:t>All items required on the application have been completed and any items the department deems necessary to verify have been verified and found to be true.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235.5(3)</w:t>
      </w:r>
      <w:r>
        <w:rPr>
          <w:rFonts w:ascii="Times New Roman" w:hAnsi="Times New Roman"/>
          <w:b w:val="false"/>
          <w:i w:val="false"/>
          <w:color w:val="000000"/>
          <w:sz w:val="22"/>
        </w:rPr>
        <w:t> </w:t>
      </w:r>
      <w:r>
        <w:rPr>
          <w:rFonts w:ascii="Times New Roman" w:hAnsi="Times New Roman"/>
          <w:b w:val="false"/>
          <w:i w:val="false"/>
          <w:color w:val="000000"/>
          <w:sz w:val="22"/>
        </w:rPr>
        <w:t>The applicant is not or has not been: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Convicted of any offense involving explosives or firearms;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Previously disqualified from being licensed to handle explosives in this or any other state. The department may grant a license to a person previously disqualified if the department is satisfied that the condition or conditions that led to the disqualification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unlawful user of or addicted to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Adjudged mentally incompetent at any time by any court or committed by any court to any mental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recipient of inpatient treatment for any mental illness in the past three years or a recipient of treatment by a health care professional for a serious mental illness or disorder that impairs a person’s capacity to function normally and safely toward themselves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235.5(4)</w:t>
      </w:r>
      <w:r>
        <w:rPr>
          <w:rFonts w:ascii="Times New Roman" w:hAnsi="Times New Roman"/>
          <w:b w:val="false"/>
          <w:i w:val="false"/>
          <w:color w:val="000000"/>
          <w:sz w:val="22"/>
        </w:rPr>
        <w:t> </w:t>
      </w:r>
      <w:r>
        <w:rPr>
          <w:rFonts w:ascii="Times New Roman" w:hAnsi="Times New Roman"/>
          <w:b w:val="false"/>
          <w:i w:val="false"/>
          <w:color w:val="000000"/>
          <w:sz w:val="22"/>
        </w:rPr>
        <w:t>The applicant has satisfactorily completed training approved by the department for the handling and use of explosives as described on the department’s website. The training may be provided by the employer or by a reputable third party knowledgeable about the storage, handling, and use of explosives. The department may accept related job experience of 640 hours or more in lieu of training if the experience is documented by a sworn affidavit provided by the employing commercial explosive contractor licensee.</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The department may issue a commercial explosive blaster license to a person licensed or certified as a blaster in another state, provided that the department finds that the requirements for licensing or certification in the other state are comparable to those provided for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235.5(5)</w:t>
      </w:r>
      <w:r>
        <w:rPr>
          <w:rFonts w:ascii="Times New Roman" w:hAnsi="Times New Roman"/>
          <w:b w:val="false"/>
          <w:i w:val="false"/>
          <w:color w:val="000000"/>
          <w:sz w:val="22"/>
        </w:rPr>
        <w:t> </w:t>
      </w:r>
      <w:r>
        <w:rPr>
          <w:rFonts w:ascii="Times New Roman" w:hAnsi="Times New Roman"/>
          <w:b w:val="false"/>
          <w:i w:val="false"/>
          <w:color w:val="000000"/>
          <w:sz w:val="22"/>
        </w:rPr>
        <w:t>An applicant for a renewal license has completed continuing education from a nationally recognized institution in professional explosives storage, handling, and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235.5(6)</w:t>
      </w:r>
      <w:r>
        <w:rPr>
          <w:rFonts w:ascii="Times New Roman" w:hAnsi="Times New Roman"/>
          <w:b w:val="false"/>
          <w:i w:val="false"/>
          <w:color w:val="000000"/>
          <w:sz w:val="22"/>
        </w:rPr>
        <w:t> </w:t>
      </w:r>
      <w:r>
        <w:rPr>
          <w:rFonts w:ascii="Times New Roman" w:hAnsi="Times New Roman"/>
          <w:b w:val="false"/>
          <w:i w:val="false"/>
          <w:color w:val="000000"/>
          <w:sz w:val="22"/>
        </w:rPr>
        <w:t>The applicant is 21 years of age or 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661—235.6</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of persons licensed in other jurisdictions.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235.6(1)</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“issuing jurisdiction” means the duly constituted authority in another state that has issued a professional license, certificate, or registration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235.6(2)</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of law, a commercial explosive contractor license or commercial blaster license will be issued without an examination to a person who establishes residency in this state or to a person who is married to an active duty member of the military forces of the United States and who is accompanying the member on an official permanent change of station to a military installation located in this state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currently licensed by at least one other issuing jurisdiction as a commercial explosive contractor or commercial blaster with a substantially similar scope of practice and the license is in good standing in all issuing jurisdictions in which the person holds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been licensed by another issuing jurisdiction for at least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person was licensed by the issuing jurisdiction, the issuing jurisdiction imposed minimum educational requirements and, if applicable, work experience, and the issuing jurisdiction verifies that the person met those requirements in order to be licensed in that issuing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previously passed an examination required by the other issuing jurisdiction for licensure,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a license revoked and has not voluntarily surrendered a license in any other issuing jurisdiction or country while under investigation for unprofessional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discipline imposed by any other regulating entity in this state or another issuing jurisdiction or country. If another jurisdiction has taken disciplinary action against the person, the department shall determine if the cause for the action was corrected and the matter resolved. If the department determines that the matter has not been resolved by the jurisdiction imposing discipline, the department shall not issue or deny a license to the person until the matter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 complaint, allegation, or investigation pending before any regulating entity in another issuing jurisdiction or country that relates to unprofessional conduct. If the person has any complaints, allegations, or investigations pending, the department shall not issue or deny a license to the person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person pays all applicable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 criminal history that would prevent the person from holding the commercial explosive contractor license or commercial blaster license applied for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235.6(3)</w:t>
      </w:r>
      <w:r>
        <w:rPr>
          <w:rFonts w:ascii="Times New Roman" w:hAnsi="Times New Roman"/>
          <w:b w:val="false"/>
          <w:i w:val="false"/>
          <w:color w:val="000000"/>
          <w:sz w:val="22"/>
        </w:rPr>
        <w:t> </w:t>
      </w:r>
      <w:r>
        <w:rPr>
          <w:rFonts w:ascii="Times New Roman" w:hAnsi="Times New Roman"/>
          <w:b w:val="false"/>
          <w:i w:val="false"/>
          <w:color w:val="000000"/>
          <w:sz w:val="22"/>
        </w:rPr>
        <w:t>A person licensed pursuant to this rule is subject to the laws regulating the person’s practice in this state and is subject to the jurisdiction of the department marshal.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235.6(4)</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ability of the department to require the submission of fingerprints or completion of a criminal history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ability of the department to require a person to take and pass an examination specific to the laws of this state prior to issuing a license. If the department requires an applicant to take and pass an examination specific to the laws of this state, the department will issue an applicant a temporary license that is valid for a period of three months and may be renewed once for an additional period of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235.6(5)</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0">
        <w:r>
          <w:rPr>
            <w:rStyle w:val="Hyperlink"/>
            <w:rFonts w:ascii="Times New Roman" w:hAnsi="Times New Roman"/>
            <w:b w:val="false"/>
            <w:i w:val="false"/>
            <w:color w:val="000000"/>
            <w:sz w:val="22"/>
          </w:rPr>
          <w:t>subrule 235.7(2)</w:t>
        </w:r>
      </w:hyperlink>
      <w:r>
        <w:rPr>
          <w:rFonts w:ascii="Times New Roman" w:hAnsi="Times New Roman"/>
          <w:b w:val="false"/>
          <w:i w:val="false"/>
          <w:color w:val="000000"/>
          <w:sz w:val="22"/>
        </w:rPr>
        <w:t>, a person applying for a license in this state who relocates to this state from another state that did not require a license to practice as a commercial explosive contractor or commercial blaster may be considered to have met any education, training, or work experience requirements imposed by the department in this state if the person has three or more years of related work experience with a substantially similar scope of practice within the four years preceding the date of application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235.6(6)</w:t>
      </w:r>
      <w:r>
        <w:rPr>
          <w:rFonts w:ascii="Times New Roman" w:hAnsi="Times New Roman"/>
          <w:b w:val="false"/>
          <w:i w:val="false"/>
          <w:color w:val="000000"/>
          <w:sz w:val="22"/>
        </w:rPr>
        <w:t> </w:t>
      </w:r>
      <w:r>
        <w:rPr>
          <w:rFonts w:ascii="Times New Roman" w:hAnsi="Times New Roman"/>
          <w:b w:val="false"/>
          <w:i w:val="false"/>
          <w:color w:val="000000"/>
          <w:sz w:val="22"/>
        </w:rPr>
        <w:t>A person applying for a license in this state under the requirements of this subrule shall submit the request in writing to the department providing proof of residency in this state and documentation to verify all conditions are met under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661—235.7</w:t>
      </w:r>
      <w:r>
        <w:rPr>
          <w:rFonts w:ascii="Times New Roman" w:hAnsi="Times New Roman"/>
          <w:b/>
          <w:i w:val="false"/>
          <w:color w:val="000000"/>
          <w:sz w:val="22"/>
        </w:rPr>
        <w:t xml:space="preserve">(101A) </w:t>
      </w:r>
      <w:r>
        <w:rPr>
          <w:rFonts w:ascii="Times New Roman" w:hAnsi="Times New Roman"/>
          <w:b/>
          <w:i w:val="false"/>
          <w:color w:val="000000"/>
          <w:sz w:val="22"/>
        </w:rPr>
        <w:t xml:space="preserve">Inventory and records. </w:t>
      </w:r>
      <w:r>
        <w:rPr>
          <w:rFonts w:ascii="Times New Roman" w:hAnsi="Times New Roman"/>
          <w:b w:val="false"/>
          <w:i w:val="false"/>
          <w:color w:val="000000"/>
          <w:sz w:val="22"/>
        </w:rPr>
        <w:t xml:space="preserve">Each licensed commercial explosive business shall maintain records as referenced in the National Fire Protection Association (NFA) chapter 495, “Explosive Materials Code,” as adopted by reference in rule </w:t>
      </w:r>
      <w:hyperlink r:id="rId11">
        <w:r>
          <w:rPr>
            <w:rStyle w:val="Hyperlink"/>
            <w:rFonts w:ascii="Times New Roman" w:hAnsi="Times New Roman"/>
            <w:b w:val="false"/>
            <w:i w:val="false"/>
            <w:color w:val="000000"/>
            <w:sz w:val="22"/>
          </w:rPr>
          <w:t>661—231.1</w:t>
        </w:r>
      </w:hyperlink>
      <w:r>
        <w:rPr>
          <w:rFonts w:ascii="Times New Roman" w:hAnsi="Times New Roman"/>
          <w:b w:val="false"/>
          <w:i w:val="false"/>
          <w:color w:val="000000"/>
          <w:sz w:val="22"/>
        </w:rPr>
        <w:t>(101A).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661—235.8</w:t>
      </w:r>
      <w:r>
        <w:rPr>
          <w:rFonts w:ascii="Times New Roman" w:hAnsi="Times New Roman"/>
          <w:b/>
          <w:i w:val="false"/>
          <w:color w:val="000000"/>
          <w:sz w:val="22"/>
        </w:rPr>
        <w:t xml:space="preserve">(101A) </w:t>
      </w:r>
      <w:r>
        <w:rPr>
          <w:rFonts w:ascii="Times New Roman" w:hAnsi="Times New Roman"/>
          <w:b/>
          <w:i w:val="false"/>
          <w:color w:val="000000"/>
          <w:sz w:val="22"/>
        </w:rPr>
        <w:t xml:space="preserve">Complaints. </w:t>
      </w:r>
      <w:r>
        <w:rPr>
          <w:rFonts w:ascii="Times New Roman" w:hAnsi="Times New Roman"/>
          <w:b w:val="false"/>
          <w:i w:val="false"/>
          <w:color w:val="000000"/>
          <w:sz w:val="22"/>
        </w:rPr>
        <w:t xml:space="preserve">Complaints regarding the performance of any licensed contractor or blaster, failure of a licensed contractor or blaster to meet any of the requirements established in Iowa Code chapter </w:t>
      </w:r>
      <w:hyperlink r:id="rId12">
        <w:r>
          <w:rPr>
            <w:rStyle w:val="Hyperlink"/>
            <w:rFonts w:ascii="Times New Roman" w:hAnsi="Times New Roman"/>
            <w:b w:val="false"/>
            <w:i w:val="false"/>
            <w:color w:val="000000"/>
            <w:sz w:val="22"/>
          </w:rPr>
          <w:t>101A</w:t>
        </w:r>
      </w:hyperlink>
      <w:r>
        <w:rPr>
          <w:rFonts w:ascii="Times New Roman" w:hAnsi="Times New Roman"/>
          <w:b w:val="false"/>
          <w:i w:val="false"/>
          <w:color w:val="000000"/>
          <w:sz w:val="22"/>
        </w:rPr>
        <w:t xml:space="preserve"> or this chapter or any other provision of law, or operation as a commercial explosive contractor or commercial blaster without licensure may be filed with the department. Complaints should be as specific as possible and clearly identify the contractor or blaster against whom the complaint is filed. Complaints should be submitted in writing to the department as indicated on the department’s website. A complaint may be submitted anonymously, but if the name and contact information of the complainant are provided, the complainant may be notified of the disposition of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661—235.9</w:t>
      </w:r>
      <w:r>
        <w:rPr>
          <w:rFonts w:ascii="Times New Roman" w:hAnsi="Times New Roman"/>
          <w:b/>
          <w:i w:val="false"/>
          <w:color w:val="000000"/>
          <w:sz w:val="22"/>
        </w:rPr>
        <w:t xml:space="preserve">(101A,252J) </w:t>
      </w:r>
      <w:r>
        <w:rPr>
          <w:rFonts w:ascii="Times New Roman" w:hAnsi="Times New Roman"/>
          <w:b/>
          <w:i w:val="false"/>
          <w:color w:val="000000"/>
          <w:sz w:val="22"/>
        </w:rPr>
        <w:t xml:space="preserve">Grounds for suspension, revocation, or denial of commercial explosive licenses;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refuse to issue a contractor or blaster license sought pursuant to Iowa Code section </w:t>
      </w:r>
      <w:hyperlink r:id="rId13">
        <w:r>
          <w:rPr>
            <w:rStyle w:val="Hyperlink"/>
            <w:rFonts w:ascii="Times New Roman" w:hAnsi="Times New Roman"/>
            <w:b w:val="false"/>
            <w:i w:val="false"/>
            <w:color w:val="000000"/>
            <w:sz w:val="22"/>
          </w:rPr>
          <w:t>101A.2</w:t>
        </w:r>
      </w:hyperlink>
      <w:r>
        <w:rPr>
          <w:rFonts w:ascii="Times New Roman" w:hAnsi="Times New Roman"/>
          <w:b w:val="false"/>
          <w:i w:val="false"/>
          <w:color w:val="000000"/>
          <w:sz w:val="22"/>
        </w:rPr>
        <w:t xml:space="preserve"> or may suspend or revoke such a license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is disqualified by any provision of federal or Iowa law from possessing explosives, firearms, or offensive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lacks sufficient knowledge of the use, handling, and storage of explosive materials to protect the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falsified information in the current or any previous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has been adjudged mentally incompetent at any time by any court, been committed by any court to any mental institution, received inpatient treatment for any mental illness in the past three years, or received treatment by a health care professional for a serious mental illness or disorder that impairs a person’s capacity to function normally and safely, both toward themselves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that the licensee or applicant has violated any provision of Iowa Code chapter </w:t>
      </w:r>
      <w:hyperlink r:id="rId14">
        <w:r>
          <w:rPr>
            <w:rStyle w:val="Hyperlink"/>
            <w:rFonts w:ascii="Times New Roman" w:hAnsi="Times New Roman"/>
            <w:b w:val="false"/>
            <w:i w:val="false"/>
            <w:color w:val="000000"/>
            <w:sz w:val="22"/>
          </w:rPr>
          <w:t>101A</w:t>
        </w:r>
      </w:hyperlink>
      <w:r>
        <w:rPr>
          <w:rFonts w:ascii="Times New Roman" w:hAnsi="Times New Roman"/>
          <w:b w:val="false"/>
          <w:i w:val="false"/>
          <w:color w:val="000000"/>
          <w:sz w:val="22"/>
        </w:rPr>
        <w:t xml:space="preserve">, this chapter, or </w:t>
      </w:r>
      <w:hyperlink r:id="rId15">
        <w:r>
          <w:rPr>
            <w:rStyle w:val="Hyperlink"/>
            <w:rFonts w:ascii="Times New Roman" w:hAnsi="Times New Roman"/>
            <w:b w:val="false"/>
            <w:i w:val="false"/>
            <w:color w:val="000000"/>
            <w:sz w:val="22"/>
          </w:rPr>
          <w:t>661—Chapter 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certificate of noncompliance from the child support recovery unit of the Iowa department of health and human services, pursuant to the procedures set forth in Iowa Code chapter </w:t>
      </w:r>
      <w:hyperlink r:id="rId1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certificate of noncompliance from the centralized collection unit of the department of revenue, pursuant to Iowa Code chapter </w:t>
      </w:r>
      <w:hyperlink r:id="rId1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Conviction of a felony offense, if the offense directly relates to the profession or occupation of the applicant, in the courts of this state or another state, territory or country. Conviction as used in this subrule includes a conviction of an offense that if committed in this state would be a felony without regard to its designation elsewhere and includes a finding or verdict of guilt made or returned in a criminal proceeding even if the adjudication of guilt is withheld or not entered. A certified copy of the final order or judgment of conviction or plea of guilty in this state or in another state constitutes conclusive evidence of the conviction. If an applicant is denied under this provision, the applicant shall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applicant’s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Willful or repeated violations of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Disqualifications pursuant to Iowa Code section </w:t>
      </w:r>
      <w:hyperlink r:id="rId18">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235.9(2)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licensee whose application is denied or a licensee whose license is suspended or revoked for a reason other than receipt of a certificate of noncompliance from the child support recovery unit or a certificate of noncompliance from the department of revenue may appeal that action by requesting a contested case hearing, in writing, within 20 days of the department’s determination. An appeal is subject to the provisions of </w:t>
      </w:r>
      <w:hyperlink r:id="rId19">
        <w:r>
          <w:rPr>
            <w:rStyle w:val="Hyperlink"/>
            <w:rFonts w:ascii="Times New Roman" w:hAnsi="Times New Roman"/>
            <w:b w:val="false"/>
            <w:i w:val="false"/>
            <w:color w:val="000000"/>
            <w:sz w:val="22"/>
          </w:rPr>
          <w:t>481—Chapters 9</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governing contested cases. Applicants or licensees whose licenses are denied, suspended, or revoked because of receipt by the department of a certificate of noncompliance issued by the child support recovery unit or the department of revenue are subject to the procedures set forth in </w:t>
      </w:r>
      <w:hyperlink r:id="rId21">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235.9(3)</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employing commercial explosive contractor licensee of the denial, suspension, or revocation of a commercial explosive blaster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101A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8303B</w:t>
      </w:r>
      <w:r>
        <w:rPr>
          <w:rFonts w:ascii="Times New Roman" w:hAnsi="Times New Roman"/>
          <w:b w:val="false"/>
          <w:i w:val="false"/>
          <w:color w:val="000000"/>
          <w:sz w:val="21"/>
        </w:rPr>
        <w:t xml:space="preserve"> (Notice ARC 8155B, IAB 9/23/09)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5395C</w:t>
      </w:r>
      <w:r>
        <w:rPr>
          <w:rFonts w:ascii="Times New Roman" w:hAnsi="Times New Roman"/>
          <w:b w:val="false"/>
          <w:i w:val="false"/>
          <w:color w:val="000000"/>
          <w:sz w:val="21"/>
        </w:rPr>
        <w:t xml:space="preserve"> (Notice ARC 5280C, IAB 11/18/20)</w:t>
      </w:r>
      <w:r>
        <w:rPr>
          <w:rFonts w:ascii="Times New Roman" w:hAnsi="Times New Roman"/>
          <w:b w:val="false"/>
          <w:i w:val="false"/>
          <w:color w:val="000000"/>
          <w:sz w:val="21"/>
        </w:rPr>
        <w:t>, IAB 1/13/21, effective 2/17/21]</w:t>
      </w:r>
    </w:p>
    <w:p>
      <w:pPr>
        <w:spacing w:before="0" w:after="0"/>
        <w:ind w:left="120"/>
        <w:jc w:val="center"/>
      </w:pPr>
      <w:r>
        <w:rPr>
          <w:rFonts w:ascii="Times New Roman" w:hAnsi="Times New Roman"/>
          <w:b w:val="false"/>
          <w:i w:val="false"/>
          <w:color w:val="000000"/>
          <w:sz w:val="21"/>
        </w:rPr>
        <w:t>[Filed ARC 7871C</w:t>
      </w:r>
      <w:r>
        <w:rPr>
          <w:rFonts w:ascii="Times New Roman" w:hAnsi="Times New Roman"/>
          <w:b w:val="false"/>
          <w:i w:val="false"/>
          <w:color w:val="000000"/>
          <w:sz w:val="21"/>
        </w:rPr>
        <w:t xml:space="preserve"> (Notice ARC 7332C,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1A.1.pdf" Type="http://schemas.openxmlformats.org/officeDocument/2006/relationships/hyperlink" Id="rId5"/>
    <Relationship TargetMode="External" Target="https://www.legis.iowa.gov/docs/ico/chapter/101A.2.pdf" Type="http://schemas.openxmlformats.org/officeDocument/2006/relationships/hyperlink" Id="rId6"/>
    <Relationship TargetMode="External" Target="https://www.legis.iowa.gov/docs/ico/chapter/101A.2.pdf" Type="http://schemas.openxmlformats.org/officeDocument/2006/relationships/hyperlink" Id="rId7"/>
    <Relationship TargetMode="External" Target="https://www.legis.iowa.gov/docs/ico/chapter/29A.1.pdf" Type="http://schemas.openxmlformats.org/officeDocument/2006/relationships/hyperlink" Id="rId8"/>
    <Relationship TargetMode="External" Target="https://www.legis.iowa.gov/docs/iac/chapter/481.7.pdf" Type="http://schemas.openxmlformats.org/officeDocument/2006/relationships/hyperlink" Id="rId9"/>
    <Relationship TargetMode="External" Target="https://www.legis.iowa.gov/docs/iac/rule/661.235.7.pdf" Type="http://schemas.openxmlformats.org/officeDocument/2006/relationships/hyperlink" Id="rId10"/>
    <Relationship TargetMode="External" Target="https://www.legis.iowa.gov/docs/iac/rule/661.231.1.pdf" Type="http://schemas.openxmlformats.org/officeDocument/2006/relationships/hyperlink" Id="rId11"/>
    <Relationship TargetMode="External" Target="https://www.legis.iowa.gov/docs/ico/chapter/101A.pdf" Type="http://schemas.openxmlformats.org/officeDocument/2006/relationships/hyperlink" Id="rId12"/>
    <Relationship TargetMode="External" Target="https://www.legis.iowa.gov/docs/ico/chapter/101A.2.pdf" Type="http://schemas.openxmlformats.org/officeDocument/2006/relationships/hyperlink" Id="rId13"/>
    <Relationship TargetMode="External" Target="https://www.legis.iowa.gov/docs/ico/chapter/101A.pdf" Type="http://schemas.openxmlformats.org/officeDocument/2006/relationships/hyperlink" Id="rId14"/>
    <Relationship TargetMode="External" Target="https://www.legis.iowa.gov/docs/iac/chapter/661.231.pdf" Type="http://schemas.openxmlformats.org/officeDocument/2006/relationships/hyperlink" Id="rId15"/>
    <Relationship TargetMode="External" Target="https://www.legis.iowa.gov/docs/ico/chapter/252J.pdf" Type="http://schemas.openxmlformats.org/officeDocument/2006/relationships/hyperlink" Id="rId16"/>
    <Relationship TargetMode="External" Target="https://www.legis.iowa.gov/docs/ico/chapter/272D.pdf" Type="http://schemas.openxmlformats.org/officeDocument/2006/relationships/hyperlink" Id="rId17"/>
    <Relationship TargetMode="External" Target="https://www.legis.iowa.gov/docs/ico/chapter/272C.15.pdf" Type="http://schemas.openxmlformats.org/officeDocument/2006/relationships/hyperlink" Id="rId18"/>
    <Relationship TargetMode="External" Target="https://www.legis.iowa.gov/docs/iac/chapter/481.9.pdf" Type="http://schemas.openxmlformats.org/officeDocument/2006/relationships/hyperlink" Id="rId19"/>
    <Relationship TargetMode="External" Target="https://www.legis.iowa.gov/docs/iac/chapter/481.10.pdf" Type="http://schemas.openxmlformats.org/officeDocument/2006/relationships/hyperlink" Id="rId20"/>
    <Relationship TargetMode="External" Target="https://www.legis.iowa.gov/docs/iac/chapter/481.8.pdf" Type="http://schemas.openxmlformats.org/officeDocument/2006/relationships/hyperlink" Id="rId21"/>
    <Relationship TargetMode="External" Target="https://www.legis.iowa.gov/docs/ico/chapter/101A.pdf" Type="http://schemas.openxmlformats.org/officeDocument/2006/relationships/hyperlink" Id="rId22"/>
    <Relationship TargetMode="External" Target="https://www.legis.iowa.gov/docs/ico/chapter/272C.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