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231</w:t>
      </w:r>
    </w:p>
    <w:p>
      <w:pPr>
        <w:spacing w:before="0" w:after="0"/>
        <w:ind w:left="120"/>
        <w:jc w:val="center"/>
      </w:pPr>
      <w:r>
        <w:rPr>
          <w:rFonts w:ascii="Times New Roman" w:hAnsi="Times New Roman"/>
          <w:b w:val="false"/>
          <w:i w:val="false"/>
          <w:color w:val="000000"/>
          <w:sz w:val="21"/>
        </w:rPr>
        <w:t>MANUFACTURING, STORAGE, HANDLING, AND</w:t>
      </w:r>
      <w:r>
        <w:br/>
      </w:r>
      <w:r>
        <w:rPr>
          <w:rFonts w:ascii="Times New Roman" w:hAnsi="Times New Roman"/>
          <w:b w:val="false"/>
          <w:i w:val="false"/>
          <w:color w:val="000000"/>
          <w:sz w:val="21"/>
        </w:rPr>
        <w:t>USE OF EXPLOSIVE MATERIALS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Any person who purchases, possesses, transports, stores, or uses explosive materials must comply with all applicable federal laws and regulations as well as with Iowa Code chapter </w:t>
      </w:r>
      <w:hyperlink r:id="rId5">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i w:val="false"/>
          <w:color w:val="000000"/>
          <w:sz w:val="22"/>
        </w:rPr>
        <w:t>661—231.1</w:t>
      </w:r>
      <w:r>
        <w:rPr>
          <w:rFonts w:ascii="Times New Roman" w:hAnsi="Times New Roman"/>
          <w:b/>
          <w:i w:val="false"/>
          <w:color w:val="000000"/>
          <w:sz w:val="22"/>
        </w:rPr>
        <w:t xml:space="preserve">(101A) </w:t>
      </w:r>
      <w:r>
        <w:rPr>
          <w:rFonts w:ascii="Times New Roman" w:hAnsi="Times New Roman"/>
          <w:b/>
          <w:i w:val="false"/>
          <w:color w:val="000000"/>
          <w:sz w:val="22"/>
        </w:rPr>
        <w:t xml:space="preserve">Explosive materials. </w:t>
      </w:r>
      <w:r>
        <w:rPr>
          <w:rFonts w:ascii="Times New Roman" w:hAnsi="Times New Roman"/>
          <w:b w:val="false"/>
          <w:i w:val="false"/>
          <w:color w:val="000000"/>
          <w:sz w:val="22"/>
        </w:rPr>
        <w:t>NFPA 495, “Explosive Materials Code,” 2001 edition, is hereby adopted by reference as the rules governing the manufacture, transportation, storage, and use of explosive materials in the state of Iowa, with the following amendments:</w:t>
      </w:r>
    </w:p>
    <w:p>
      <w:pPr>
        <w:spacing w:before="0" w:after="0"/>
        <w:ind w:left="120"/>
        <w:jc w:val="both"/>
      </w:pPr>
      <w:r>
        <w:rPr>
          <w:rFonts w:ascii="Times New Roman" w:hAnsi="Times New Roman"/>
          <w:b w:val="false"/>
          <w:i w:val="false"/>
          <w:color w:val="000000"/>
          <w:sz w:val="22"/>
        </w:rPr>
        <w:t>Delete the phrase “authority having jurisdiction” wherever it occurs and insert in lieu thereof the phrase “fire marshal.”</w:t>
      </w:r>
    </w:p>
    <w:p>
      <w:pPr>
        <w:spacing w:before="0" w:after="0"/>
        <w:ind w:left="120"/>
        <w:jc w:val="both"/>
      </w:pPr>
      <w:r>
        <w:rPr>
          <w:rFonts w:ascii="Times New Roman" w:hAnsi="Times New Roman"/>
          <w:b w:val="false"/>
          <w:i w:val="false"/>
          <w:color w:val="000000"/>
          <w:sz w:val="22"/>
        </w:rPr>
        <w:t>Delete the phrases “issuing authority” and “permit-issuing authority” wherever they occur and insert in lieu thereof the phrase “fire marshal.”</w:t>
      </w:r>
    </w:p>
    <w:p>
      <w:pPr>
        <w:spacing w:before="0" w:after="0"/>
        <w:ind w:left="120"/>
        <w:jc w:val="both"/>
      </w:pPr>
      <w:r>
        <w:rPr>
          <w:rFonts w:ascii="Times New Roman" w:hAnsi="Times New Roman"/>
          <w:b w:val="false"/>
          <w:i w:val="false"/>
          <w:color w:val="000000"/>
          <w:sz w:val="22"/>
        </w:rPr>
        <w:t>Amend Section 1.3 to read as follows:</w:t>
      </w:r>
    </w:p>
    <w:p>
      <w:pPr>
        <w:spacing w:before="0" w:after="0"/>
        <w:ind w:left="120"/>
        <w:jc w:val="both"/>
      </w:pPr>
      <w:r>
        <w:rPr>
          <w:rFonts w:ascii="Times New Roman" w:hAnsi="Times New Roman"/>
          <w:b w:val="false"/>
          <w:i w:val="false"/>
          <w:color w:val="000000"/>
          <w:sz w:val="22"/>
        </w:rPr>
        <w:t>1.3 Equivalency.</w:t>
      </w:r>
    </w:p>
    <w:p>
      <w:pPr>
        <w:spacing w:before="0" w:after="0"/>
        <w:ind w:left="120"/>
        <w:jc w:val="both"/>
      </w:pPr>
      <w:r>
        <w:rPr>
          <w:rFonts w:ascii="Times New Roman" w:hAnsi="Times New Roman"/>
          <w:b w:val="false"/>
          <w:i w:val="false"/>
          <w:color w:val="000000"/>
          <w:sz w:val="22"/>
        </w:rPr>
        <w:t xml:space="preserve">Nothing in this code is intended to prevent the use of systems, methods, or devices of equivalent or superior quality, strength, fire resistance, effectiveness, durability, and safety over those prescribed by this code. Any request for approval to use systems, methods, or devices other than those specified in this chapter shall be submitted to the fire marshal as a request for a waiver of a rule as provided by rule </w:t>
      </w:r>
      <w:hyperlink r:id="rId6">
        <w:r>
          <w:rPr>
            <w:rStyle w:val="Hyperlink"/>
            <w:rFonts w:ascii="Times New Roman" w:hAnsi="Times New Roman"/>
            <w:b w:val="false"/>
            <w:i w:val="false"/>
            <w:color w:val="000000"/>
            <w:sz w:val="22"/>
          </w:rPr>
          <w:t>661—5.15</w:t>
        </w:r>
      </w:hyperlink>
      <w:r>
        <w:rPr>
          <w:rFonts w:ascii="Times New Roman" w:hAnsi="Times New Roman"/>
          <w:b w:val="false"/>
          <w:i w:val="false"/>
          <w:color w:val="000000"/>
          <w:sz w:val="22"/>
        </w:rPr>
        <w:t>(17A,100).</w:t>
      </w:r>
    </w:p>
    <w:p>
      <w:pPr>
        <w:spacing w:before="0" w:after="0"/>
        <w:ind w:left="120"/>
        <w:jc w:val="both"/>
      </w:pPr>
      <w:r>
        <w:rPr>
          <w:rFonts w:ascii="Times New Roman" w:hAnsi="Times New Roman"/>
          <w:b w:val="false"/>
          <w:i w:val="false"/>
          <w:color w:val="000000"/>
          <w:sz w:val="22"/>
        </w:rPr>
        <w:t>Delete Sections 4.1.5, 4.1.6, 4.1.9, 4.1.9.1, 4.2.3, 4.3 through 4.3.2, 4.4 through 4.4.5, 4.5.2, 4.5.3, 4.6 through 4.6.3, 4.7 through 4.7.4, 4.8.6, 4.9.2, and 4.9.3.</w:t>
      </w:r>
    </w:p>
    <w:p>
      <w:pPr>
        <w:spacing w:before="0" w:after="0"/>
        <w:ind w:left="120"/>
        <w:jc w:val="both"/>
      </w:pPr>
      <w:r>
        <w:rPr>
          <w:rFonts w:ascii="Times New Roman" w:hAnsi="Times New Roman"/>
          <w:b w:val="false"/>
          <w:i w:val="false"/>
          <w:color w:val="000000"/>
          <w:sz w:val="22"/>
        </w:rPr>
        <w:t>Amend Sections 4.2, 4.2.1, 4.2.2, 4.5, 4.5.1, 4.8.1, 4.8.3, 4.8.4, and 4.9.1 by deleting the word “permit” wherever it occurs and inserting in lieu thereof the word “license” and by deleting the word “permits” wherever it occurs and inserting in lieu thereof the word “licenses.”</w:t>
      </w:r>
    </w:p>
    <w:p>
      <w:pPr>
        <w:spacing w:before="0" w:after="0"/>
        <w:ind w:left="120"/>
        <w:jc w:val="both"/>
      </w:pPr>
      <w:r>
        <w:rPr>
          <w:rFonts w:ascii="Times New Roman" w:hAnsi="Times New Roman"/>
          <w:b w:val="false"/>
          <w:i w:val="false"/>
          <w:color w:val="000000"/>
          <w:sz w:val="22"/>
        </w:rPr>
        <w:t>Add the following new section:</w:t>
      </w:r>
    </w:p>
    <w:p>
      <w:pPr>
        <w:spacing w:before="0" w:after="0"/>
        <w:ind w:left="120"/>
        <w:jc w:val="both"/>
      </w:pPr>
      <w:r>
        <w:rPr>
          <w:rFonts w:ascii="Times New Roman" w:hAnsi="Times New Roman"/>
          <w:b w:val="false"/>
          <w:i w:val="false"/>
          <w:color w:val="000000"/>
          <w:sz w:val="22"/>
        </w:rPr>
        <w:t xml:space="preserve">4.2.4 A person who has a current, valid permit to use explosives, which has been issued by a sheriff or police chief pursuant to Iowa Code section </w:t>
      </w:r>
      <w:hyperlink r:id="rId7">
        <w:r>
          <w:rPr>
            <w:rStyle w:val="Hyperlink"/>
            <w:rFonts w:ascii="Times New Roman" w:hAnsi="Times New Roman"/>
            <w:b w:val="false"/>
            <w:i w:val="false"/>
            <w:color w:val="000000"/>
            <w:sz w:val="22"/>
          </w:rPr>
          <w:t>101A.3</w:t>
        </w:r>
      </w:hyperlink>
      <w:r>
        <w:rPr>
          <w:rFonts w:ascii="Times New Roman" w:hAnsi="Times New Roman"/>
          <w:b w:val="false"/>
          <w:i w:val="false"/>
          <w:color w:val="000000"/>
          <w:sz w:val="22"/>
        </w:rPr>
        <w:t>, may purchase, possess, transport, store, and use explosive materials within the jurisdiction of the sheriff or police chief who issued the permit. Any purchase, possession, transportation, storage, or detonation of explosive materials by a person with a current, valid permit that has been issued by a sheriff or police chief is strictly limited to the conditions expressly stated in the permit. Possession of a permit creates no obligation on the part of any vendor of explosive materials to supply such materials to the holder of the permit.</w:t>
      </w:r>
    </w:p>
    <w:p>
      <w:pPr>
        <w:spacing w:before="0" w:after="0"/>
        <w:ind w:left="120"/>
        <w:jc w:val="both"/>
      </w:pPr>
      <w:r>
        <w:rPr>
          <w:rFonts w:ascii="Times New Roman" w:hAnsi="Times New Roman"/>
          <w:b w:val="false"/>
          <w:i w:val="false"/>
          <w:color w:val="000000"/>
          <w:sz w:val="22"/>
        </w:rPr>
        <w:t>Amend Section 8.4.6 to read as follows:</w:t>
      </w:r>
    </w:p>
    <w:p>
      <w:pPr>
        <w:spacing w:before="0" w:after="0"/>
        <w:ind w:left="120"/>
        <w:jc w:val="both"/>
      </w:pPr>
      <w:r>
        <w:rPr>
          <w:rFonts w:ascii="Times New Roman" w:hAnsi="Times New Roman"/>
          <w:b w:val="false"/>
          <w:i w:val="false"/>
          <w:color w:val="000000"/>
          <w:sz w:val="22"/>
        </w:rPr>
        <w:t>8.4.6 Any person who stores explosive materials shall notify the local fire department having jurisdiction for fire safety in the locality in which the explosive materials are being stored of the type, magazine capacity, and location of each site where such explosive materials are stored. Such notification shall be made orally before the end of the day on which storage of the explosive materials commenced and in writing within 48 hours from the time such storage commenced. A fire department which has received information pursuant to this section may redisseminate the information to the state fire marshal, another fire department which is responding to a fire or other incident at the location at which the explosives are stored, or to a law enforcement agency. Information received by a fire department pursuant to this section shall not be redisseminated except as provided in this section.</w:t>
      </w:r>
    </w:p>
    <w:p>
      <w:pPr>
        <w:spacing w:before="0" w:after="0"/>
        <w:ind w:left="120"/>
        <w:jc w:val="both"/>
      </w:pPr>
      <w:r>
        <w:rPr>
          <w:rFonts w:ascii="Times New Roman" w:hAnsi="Times New Roman"/>
          <w:b w:val="false"/>
          <w:i w:val="false"/>
          <w:color w:val="000000"/>
          <w:sz w:val="22"/>
        </w:rPr>
        <w:t>Amend Section 8.6.3 to read as follows:</w:t>
      </w:r>
    </w:p>
    <w:p>
      <w:pPr>
        <w:spacing w:before="0" w:after="0"/>
        <w:ind w:left="120"/>
        <w:jc w:val="both"/>
      </w:pPr>
      <w:r>
        <w:rPr>
          <w:rFonts w:ascii="Times New Roman" w:hAnsi="Times New Roman"/>
          <w:b w:val="false"/>
          <w:i w:val="false"/>
          <w:color w:val="000000"/>
          <w:sz w:val="22"/>
        </w:rPr>
        <w:t>8.6.3 Type 3 Magazines. A Type 3 magazine shall be a “day box” or portable structure used for the temporary storage of explosive materials. A Type 3 magazine shall be fire resistant, theft resistant, and weather 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magazine shall be equipped with one steel padlock (which shall not be required to be protected by a steel hood) having at least five tumblers and a case-hardened steel shackle at least 9.5 mm (⅜ in.) in diameter. Doors shall overlap the sides by at least 25.4 mm (1 in.). Hinges and hasps shall be attached by welding, riveting, or bolting (nuts on inside).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magazine shall be constructed of not less than 12-gauge [2.66-mm (0.1046-in.)] steel, lined with at least 12.7-mm (½-in.) plywood or 12.7-mm (½-in.) masonite-type hardboard.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Type 3 magazines containing explosive materials shall be within line-of-site vision of a blaster or, if not within line-of-site vision of a blaster, shall be secured if in a vehicle or in a secure building, facility, or area.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101A.5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9/22/05, Notice 3/16/05—published 10/12/05, effective 1/1/06]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A.pdf" Type="http://schemas.openxmlformats.org/officeDocument/2006/relationships/hyperlink" Id="rId5"/>
    <Relationship TargetMode="External" Target="https://www.legis.iowa.gov/docs/iac/rule/661.5.15.pdf" Type="http://schemas.openxmlformats.org/officeDocument/2006/relationships/hyperlink" Id="rId6"/>
    <Relationship TargetMode="External" Target="https://www.legis.iowa.gov/docs/ico/chapter/101A.3.pdf" Type="http://schemas.openxmlformats.org/officeDocument/2006/relationships/hyperlink" Id="rId7"/>
    <Relationship TargetMode="External" Target="https://www.legis.iowa.gov/docs/ico/chapter/101A.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