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NUCLEAR PHARMACY PRACTICE</w:t>
      </w:r>
    </w:p>
    <w:p>
      <w:pPr>
        <w:spacing w:before="0" w:after="0"/>
        <w:ind w:left="120"/>
        <w:jc w:val="center"/>
      </w:pPr>
      <w:r>
        <w:rPr>
          <w:rFonts w:ascii="Times New Roman" w:hAnsi="Times New Roman"/>
          <w:b w:val="false"/>
          <w:i w:val="false"/>
          <w:color w:val="000000"/>
          <w:sz w:val="14"/>
        </w:rPr>
        <w:t>[Prior to 12/14/88, see Pharmacy Examiners Board 657—8.8(155A)]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657—16.1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establishes the minimum standard for the practice of pharmacy relating to radioactive drugs. These rules apply to individuals authorized to receive, handle, transfer, dispense, or dispose of radioactive drugs pursuant to Iowa Code chapters </w:t>
      </w:r>
      <w:hyperlink r:id="rId5">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rules of the board, the environmental protection commission, or the public health department. For pharmacies, these rules are in addition to other applicable chapters of rules of the board including, but not limited to, </w:t>
      </w:r>
      <w:hyperlink r:id="rId8">
        <w:r>
          <w:rPr>
            <w:rStyle w:val="Hyperlink"/>
            <w:rFonts w:ascii="Times New Roman" w:hAnsi="Times New Roman"/>
            <w:b w:val="false"/>
            <w:i w:val="false"/>
            <w:color w:val="000000"/>
            <w:sz w:val="22"/>
          </w:rPr>
          <w:t>657—Chapters 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657—16.2</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“Authentication of product history” </w:t>
      </w:r>
      <w:r>
        <w:rPr>
          <w:rFonts w:ascii="Times New Roman" w:hAnsi="Times New Roman"/>
          <w:b w:val="false"/>
          <w:i w:val="false"/>
          <w:color w:val="000000"/>
          <w:sz w:val="22"/>
        </w:rPr>
        <w:t>means, but is not limited to, identifying the purchasing source, the ultimate fate, and any intermediate handling of any component of a radiopharmaceutical.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nuclear pharmacist” </w:t>
      </w:r>
      <w:r>
        <w:rPr>
          <w:rFonts w:ascii="Times New Roman" w:hAnsi="Times New Roman"/>
          <w:b w:val="false"/>
          <w:i w:val="false"/>
          <w:color w:val="000000"/>
          <w:sz w:val="22"/>
        </w:rPr>
        <w:t xml:space="preserve">means a person currently licensed to practice pharmacy in Iowa who meets the qualifications established by rule </w:t>
      </w:r>
      <w:hyperlink r:id="rId10">
        <w:r>
          <w:rPr>
            <w:rStyle w:val="Hyperlink"/>
            <w:rFonts w:ascii="Times New Roman" w:hAnsi="Times New Roman"/>
            <w:b w:val="false"/>
            <w:i w:val="false"/>
            <w:color w:val="000000"/>
            <w:sz w:val="22"/>
          </w:rPr>
          <w:t>657—16.3</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test assessment” </w:t>
      </w:r>
      <w:r>
        <w:rPr>
          <w:rFonts w:ascii="Times New Roman" w:hAnsi="Times New Roman"/>
          <w:b w:val="false"/>
          <w:i w:val="false"/>
          <w:color w:val="000000"/>
          <w:sz w:val="22"/>
        </w:rPr>
        <w:t>means, but is not limited to, conducting those tests of quality assurance necessary to ensure the integrity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“Nuclear pharmacy” </w:t>
      </w:r>
      <w:r>
        <w:rPr>
          <w:rFonts w:ascii="Times New Roman" w:hAnsi="Times New Roman"/>
          <w:b w:val="false"/>
          <w:i w:val="false"/>
          <w:color w:val="000000"/>
          <w:sz w:val="22"/>
        </w:rPr>
        <w:t>means a pharmacy providing radiopharmaceutical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“Radioactive drug”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“radiopharmaceutical” </w:t>
      </w:r>
      <w:r>
        <w:rPr>
          <w:rFonts w:ascii="Times New Roman" w:hAnsi="Times New Roman"/>
          <w:b w:val="false"/>
          <w:i w:val="false"/>
          <w:color w:val="000000"/>
          <w:sz w:val="22"/>
        </w:rPr>
        <w:t>means a drug or device that contains a radioactive substance and is used to diagnose or treat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“Radiopharmaceutical quality assurance” </w:t>
      </w:r>
      <w:r>
        <w:rPr>
          <w:rFonts w:ascii="Times New Roman" w:hAnsi="Times New Roman"/>
          <w:b w:val="false"/>
          <w:i w:val="false"/>
          <w:color w:val="000000"/>
          <w:sz w:val="22"/>
        </w:rPr>
        <w:t>means, but is not limited to, the performance of appropriate chemical, biological and physical tests on potential radiopharmaceuticals and the interpretation of the resulting data to determine the radiopharmaceuticals’ suitability for use in humans and animals, including internal test assessment authentication of product history and the keeping of proper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“Radiopharmaceutical service” </w:t>
      </w:r>
      <w:r>
        <w:rPr>
          <w:rFonts w:ascii="Times New Roman" w:hAnsi="Times New Roman"/>
          <w:b w:val="false"/>
          <w:i w:val="false"/>
          <w:color w:val="000000"/>
          <w:sz w:val="22"/>
        </w:rPr>
        <w:t>means, but is not limited to, the preparation, dispensing, labeling and delivery of radiopharmaceuticals; the compounding of radiopharmaceuticals; the participation in radiopharmaceutical selection and radiopharmaceutical utilization reviews; the proper and safe storage and distribution of radiopharmaceuticals; the maintenance of radiopharmaceutical quality assurance; the responsibility for advising, as necessary or required, of the therapeutic values, hazards and use of radiopharmaceuticals; and the offering or performing of those acts, services, operations, or transactions necessary in the conduct, operation, management and control of a nuclear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657—16.3</w:t>
      </w:r>
      <w:r>
        <w:rPr>
          <w:rFonts w:ascii="Times New Roman" w:hAnsi="Times New Roman"/>
          <w:b/>
          <w:i w:val="false"/>
          <w:color w:val="000000"/>
          <w:sz w:val="22"/>
        </w:rPr>
        <w:t xml:space="preserve">(155A) </w:t>
      </w:r>
      <w:r>
        <w:rPr>
          <w:rFonts w:ascii="Times New Roman" w:hAnsi="Times New Roman"/>
          <w:b/>
          <w:i w:val="false"/>
          <w:color w:val="000000"/>
          <w:sz w:val="22"/>
        </w:rPr>
        <w:t xml:space="preserve">Training requirements for authorized nuclear pharmacist. </w:t>
      </w:r>
      <w:r>
        <w:rPr>
          <w:rFonts w:ascii="Times New Roman" w:hAnsi="Times New Roman"/>
          <w:b w:val="false"/>
          <w:i w:val="false"/>
          <w:color w:val="000000"/>
          <w:sz w:val="22"/>
        </w:rPr>
        <w:t>An authorized nuclear pharmacist shall meet all requirements of the United States Nuclear Regulatory Commission pursuant to federal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657—16.4</w:t>
      </w:r>
      <w:r>
        <w:rPr>
          <w:rFonts w:ascii="Times New Roman" w:hAnsi="Times New Roman"/>
          <w:b/>
          <w:i w:val="false"/>
          <w:color w:val="000000"/>
          <w:sz w:val="22"/>
        </w:rPr>
        <w:t xml:space="preserve">(155A) </w:t>
      </w:r>
      <w:r>
        <w:rPr>
          <w:rFonts w:ascii="Times New Roman" w:hAnsi="Times New Roman"/>
          <w:b/>
          <w:i w:val="false"/>
          <w:color w:val="000000"/>
          <w:sz w:val="22"/>
        </w:rPr>
        <w:t xml:space="preserve">General requirements for a pharmacy providing radiopharmaceutical services. </w:t>
      </w:r>
      <w:r>
        <w:rPr>
          <w:rFonts w:ascii="Times New Roman" w:hAnsi="Times New Roman"/>
          <w:b w:val="false"/>
          <w:i w:val="false"/>
          <w:color w:val="000000"/>
          <w:sz w:val="22"/>
        </w:rPr>
        <w:t xml:space="preserve">A pharmacy providing radiopharmaceutical services shall obtain a limited use pharmacy license pursuant to rule </w:t>
      </w:r>
      <w:hyperlink r:id="rId11">
        <w:r>
          <w:rPr>
            <w:rStyle w:val="Hyperlink"/>
            <w:rFonts w:ascii="Times New Roman" w:hAnsi="Times New Roman"/>
            <w:b w:val="false"/>
            <w:i w:val="false"/>
            <w:color w:val="000000"/>
            <w:sz w:val="22"/>
          </w:rPr>
          <w:t>657—8.35</w:t>
        </w:r>
      </w:hyperlink>
      <w:r>
        <w:rPr>
          <w:rFonts w:ascii="Times New Roman" w:hAnsi="Times New Roman"/>
          <w:b w:val="false"/>
          <w:i w:val="false"/>
          <w:color w:val="000000"/>
          <w:sz w:val="22"/>
        </w:rPr>
        <w:t>(155A) prior to commencing provision of services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color w:val="000000"/>
          <w:sz w:val="22"/>
        </w:rPr>
        <w:t xml:space="preserve">Authorized nuclear pharmacist. </w:t>
      </w:r>
      <w:r>
        <w:rPr>
          <w:rFonts w:ascii="Times New Roman" w:hAnsi="Times New Roman"/>
          <w:b w:val="false"/>
          <w:i w:val="false"/>
          <w:color w:val="000000"/>
          <w:sz w:val="22"/>
        </w:rPr>
        <w:t xml:space="preserve">The pharmacist in charge shall be an authorized nuclear pharmacist and shall be responsible for, at a minimum, the requirements in rule </w:t>
      </w:r>
      <w:hyperlink r:id="rId12">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All personnel performing tasks in the preparation and distribution of radioactive drugs shall be under the direct personal supervision of an authorized nuclear pharmacist. An authorized nuclear pharmacist is responsible for all operations of the pharmacy and, except in emergency situations, shall be in personal attendance at all times that the pharmacy is open for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color w:val="000000"/>
          <w:sz w:val="22"/>
        </w:rPr>
        <w:t xml:space="preserve">Space requirements. </w:t>
      </w:r>
      <w:r>
        <w:rPr>
          <w:rFonts w:ascii="Times New Roman" w:hAnsi="Times New Roman"/>
          <w:b w:val="false"/>
          <w:i w:val="false"/>
          <w:color w:val="000000"/>
          <w:sz w:val="22"/>
        </w:rPr>
        <w:t>Nuclear pharmacies shall have adequate space, commensurate with the scope of services required and provided. The nuclear pharmacy area shall be separate from the pharmacy areas for nonradioactive drugs and shall be secured from unauthorized personnel. All pharmacies handling radiopharmaceuticals shall provide a radioactive storage and product decay area, occupying at least 25 square feet of space, separate from and exclusive of the drug compounding, dispensing, quality assurance, and office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color w:val="000000"/>
          <w:sz w:val="22"/>
        </w:rPr>
        <w:t xml:space="preserve">Personnel appropriately trained. </w:t>
      </w:r>
      <w:r>
        <w:rPr>
          <w:rFonts w:ascii="Times New Roman" w:hAnsi="Times New Roman"/>
          <w:b w:val="false"/>
          <w:i w:val="false"/>
          <w:color w:val="000000"/>
          <w:sz w:val="22"/>
        </w:rPr>
        <w:t>The pharmacist in charge shall be responsible for ensuring that all pharmacy personnel have been appropriately and adequately trained for their assigned tasks.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16.4(4)</w:t>
      </w:r>
      <w:r>
        <w:rPr>
          <w:rFonts w:ascii="Times New Roman" w:hAnsi="Times New Roman"/>
          <w:b w:val="false"/>
          <w:i w:val="false"/>
          <w:color w:val="000000"/>
          <w:sz w:val="22"/>
        </w:rPr>
        <w:t> </w:t>
      </w:r>
      <w:r>
        <w:rPr>
          <w:rFonts w:ascii="Times New Roman" w:hAnsi="Times New Roman"/>
          <w:b w:val="false"/>
          <w:i/>
          <w:color w:val="000000"/>
          <w:sz w:val="22"/>
        </w:rPr>
        <w:t xml:space="preserve">Pharmacy support persons. </w:t>
      </w:r>
      <w:r>
        <w:rPr>
          <w:rFonts w:ascii="Times New Roman" w:hAnsi="Times New Roman"/>
          <w:b w:val="false"/>
          <w:i w:val="false"/>
          <w:color w:val="000000"/>
          <w:sz w:val="22"/>
        </w:rPr>
        <w:t xml:space="preserve">A pharmacy support person shall register with the board pursuant to the registration requirements of </w:t>
      </w:r>
      <w:hyperlink r:id="rId13">
        <w:r>
          <w:rPr>
            <w:rStyle w:val="Hyperlink"/>
            <w:rFonts w:ascii="Times New Roman" w:hAnsi="Times New Roman"/>
            <w:b w:val="false"/>
            <w:i w:val="false"/>
            <w:color w:val="000000"/>
            <w:sz w:val="22"/>
          </w:rPr>
          <w:t>657—Chapter 5</w:t>
        </w:r>
      </w:hyperlink>
      <w:r>
        <w:rPr>
          <w:rFonts w:ascii="Times New Roman" w:hAnsi="Times New Roman"/>
          <w:b w:val="false"/>
          <w:i w:val="false"/>
          <w:color w:val="000000"/>
          <w:sz w:val="22"/>
        </w:rPr>
        <w:t xml:space="preserve">. Alternatively, a pharmacy support person may register with the board as a pharmacy technician pursuant to the registration and national certification requirements of </w:t>
      </w:r>
      <w:hyperlink r:id="rId14">
        <w:r>
          <w:rPr>
            <w:rStyle w:val="Hyperlink"/>
            <w:rFonts w:ascii="Times New Roman" w:hAnsi="Times New Roman"/>
            <w:b w:val="false"/>
            <w:i w:val="false"/>
            <w:color w:val="000000"/>
            <w:sz w:val="22"/>
          </w:rPr>
          <w:t>657—Chapter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16.4(5)</w:t>
      </w:r>
      <w:r>
        <w:rPr>
          <w:rFonts w:ascii="Times New Roman" w:hAnsi="Times New Roman"/>
          <w:b w:val="false"/>
          <w:i w:val="false"/>
          <w:color w:val="000000"/>
          <w:sz w:val="22"/>
        </w:rPr>
        <w:t> </w:t>
      </w:r>
      <w:r>
        <w:rPr>
          <w:rFonts w:ascii="Times New Roman" w:hAnsi="Times New Roman"/>
          <w:b w:val="false"/>
          <w:i/>
          <w:color w:val="000000"/>
          <w:sz w:val="22"/>
        </w:rPr>
        <w:t xml:space="preserve">Records required. </w:t>
      </w:r>
      <w:r>
        <w:rPr>
          <w:rFonts w:ascii="Times New Roman" w:hAnsi="Times New Roman"/>
          <w:b w:val="false"/>
          <w:i w:val="false"/>
          <w:color w:val="000000"/>
          <w:sz w:val="22"/>
        </w:rPr>
        <w:t>Nuclear pharmacies shall maintain records of acquisition and disposition of all radioactive drugs in accordance with rules of the board, the public health department, and the environmental protection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Nuclear pharmacies shall comply with all applicable laws and regulations of federal and state agencies, including those laws and regulations governing nonradioactive drugs. Nuclear pharmacies shall comply with all standards identified in United States Pharmacopeia General </w:t>
      </w:r>
      <w:hyperlink r:id="rId15">
        <w:r>
          <w:rPr>
            <w:rStyle w:val="Hyperlink"/>
            <w:rFonts w:ascii="Times New Roman" w:hAnsi="Times New Roman"/>
            <w:b w:val="false"/>
            <w:i w:val="false"/>
            <w:color w:val="000000"/>
            <w:sz w:val="22"/>
          </w:rPr>
          <w:t>Chapter 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16.4(7)</w:t>
      </w:r>
      <w:r>
        <w:rPr>
          <w:rFonts w:ascii="Times New Roman" w:hAnsi="Times New Roman"/>
          <w:b w:val="false"/>
          <w:i w:val="false"/>
          <w:color w:val="000000"/>
          <w:sz w:val="22"/>
        </w:rPr>
        <w:t> </w:t>
      </w:r>
      <w:r>
        <w:rPr>
          <w:rFonts w:ascii="Times New Roman" w:hAnsi="Times New Roman"/>
          <w:b w:val="false"/>
          <w:i/>
          <w:color w:val="000000"/>
          <w:sz w:val="22"/>
        </w:rPr>
        <w:t xml:space="preserve">Prescription and office use. </w:t>
      </w:r>
      <w:r>
        <w:rPr>
          <w:rFonts w:ascii="Times New Roman" w:hAnsi="Times New Roman"/>
          <w:b w:val="false"/>
          <w:i w:val="false"/>
          <w:color w:val="000000"/>
          <w:sz w:val="22"/>
        </w:rPr>
        <w:t>Radioactive drugs shall be dispensed only upon a prescription order from a licensed medical practitioner authorized to possess, use and administer radiopharmaceuticals. A nuclear pharmacy may also furnish radiopharmaceuticals to practitioners for office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16.4(8)</w:t>
      </w:r>
      <w:r>
        <w:rPr>
          <w:rFonts w:ascii="Times New Roman" w:hAnsi="Times New Roman"/>
          <w:b w:val="false"/>
          <w:i w:val="false"/>
          <w:color w:val="000000"/>
          <w:sz w:val="22"/>
        </w:rPr>
        <w:t> </w:t>
      </w:r>
      <w:r>
        <w:rPr>
          <w:rFonts w:ascii="Times New Roman" w:hAnsi="Times New Roman"/>
          <w:b w:val="false"/>
          <w:i/>
          <w:color w:val="000000"/>
          <w:sz w:val="22"/>
        </w:rPr>
        <w:t xml:space="preserve">Outer-container label. </w:t>
      </w:r>
      <w:r>
        <w:rPr>
          <w:rFonts w:ascii="Times New Roman" w:hAnsi="Times New Roman"/>
          <w:b w:val="false"/>
          <w:i w:val="false"/>
          <w:color w:val="000000"/>
          <w:sz w:val="22"/>
        </w:rPr>
        <w:t>In addition to any of the board’s labeling requirements for nonradioactive drugs, the immediate outer container of a radioactive drug to be dispensed shall also be labeled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radiation symbol;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words “Caution —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radionuclide;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chemical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radioactive material contained, in millicuries or microcuries;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radioactive drug is a liquid, the volume in cubic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requested calibration time for the amount of radioactivity contained.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16.4(9)</w:t>
      </w:r>
      <w:r>
        <w:rPr>
          <w:rFonts w:ascii="Times New Roman" w:hAnsi="Times New Roman"/>
          <w:b w:val="false"/>
          <w:i w:val="false"/>
          <w:color w:val="000000"/>
          <w:sz w:val="22"/>
        </w:rPr>
        <w:t> </w:t>
      </w:r>
      <w:r>
        <w:rPr>
          <w:rFonts w:ascii="Times New Roman" w:hAnsi="Times New Roman"/>
          <w:b w:val="false"/>
          <w:i/>
          <w:color w:val="000000"/>
          <w:sz w:val="22"/>
        </w:rPr>
        <w:t xml:space="preserve">Immediate-container label. </w:t>
      </w:r>
      <w:r>
        <w:rPr>
          <w:rFonts w:ascii="Times New Roman" w:hAnsi="Times New Roman"/>
          <w:b w:val="false"/>
          <w:i w:val="false"/>
          <w:color w:val="000000"/>
          <w:sz w:val="22"/>
        </w:rPr>
        <w:t>The immediate container shall be labeled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radiation symbol;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words “Caution —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pharmacy;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prescription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16.4(10)</w:t>
      </w:r>
      <w:r>
        <w:rPr>
          <w:rFonts w:ascii="Times New Roman" w:hAnsi="Times New Roman"/>
          <w:b w:val="false"/>
          <w:i w:val="false"/>
          <w:color w:val="000000"/>
          <w:sz w:val="22"/>
        </w:rPr>
        <w:t> </w:t>
      </w:r>
      <w:r>
        <w:rPr>
          <w:rFonts w:ascii="Times New Roman" w:hAnsi="Times New Roman"/>
          <w:b w:val="false"/>
          <w:i/>
          <w:color w:val="000000"/>
          <w:sz w:val="22"/>
        </w:rPr>
        <w:t xml:space="preserve">Radioactivity. </w:t>
      </w:r>
      <w:r>
        <w:rPr>
          <w:rFonts w:ascii="Times New Roman" w:hAnsi="Times New Roman"/>
          <w:b w:val="false"/>
          <w:i w:val="false"/>
          <w:color w:val="000000"/>
          <w:sz w:val="22"/>
        </w:rPr>
        <w:t>The amount of radioactivity for a radiopharmaceutical prepared by a nuclear pharmacy shall be determined by radiometric methods immediately prior to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16.4(11)</w:t>
      </w:r>
      <w:r>
        <w:rPr>
          <w:rFonts w:ascii="Times New Roman" w:hAnsi="Times New Roman"/>
          <w:b w:val="false"/>
          <w:i w:val="false"/>
          <w:color w:val="000000"/>
          <w:sz w:val="22"/>
        </w:rPr>
        <w:t> </w:t>
      </w:r>
      <w:r>
        <w:rPr>
          <w:rFonts w:ascii="Times New Roman" w:hAnsi="Times New Roman"/>
          <w:b w:val="false"/>
          <w:i/>
          <w:color w:val="000000"/>
          <w:sz w:val="22"/>
        </w:rPr>
        <w:t xml:space="preserve">Redistribution. </w:t>
      </w:r>
      <w:r>
        <w:rPr>
          <w:rFonts w:ascii="Times New Roman" w:hAnsi="Times New Roman"/>
          <w:b w:val="false"/>
          <w:i w:val="false"/>
          <w:color w:val="000000"/>
          <w:sz w:val="22"/>
        </w:rPr>
        <w:t>When a nuclear pharmacy distributes to another entity radioactive drugs that are FDA-approved, commercially manufactured drug products, the pharmacy shall not process the radioactive drugs in any manner or violate the product packaging.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5352C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657—16.5</w:t>
      </w:r>
      <w:r>
        <w:rPr>
          <w:rFonts w:ascii="Times New Roman" w:hAnsi="Times New Roman"/>
          <w:b/>
          <w:i w:val="false"/>
          <w:color w:val="000000"/>
          <w:sz w:val="22"/>
        </w:rPr>
        <w:t xml:space="preserve">(155A) </w:t>
      </w:r>
      <w:r>
        <w:rPr>
          <w:rFonts w:ascii="Times New Roman" w:hAnsi="Times New Roman"/>
          <w:b/>
          <w:i w:val="false"/>
          <w:color w:val="000000"/>
          <w:sz w:val="22"/>
        </w:rPr>
        <w:t xml:space="preserve">Library. </w:t>
      </w:r>
      <w:r>
        <w:rPr>
          <w:rFonts w:ascii="Times New Roman" w:hAnsi="Times New Roman"/>
          <w:b w:val="false"/>
          <w:i w:val="false"/>
          <w:color w:val="000000"/>
          <w:sz w:val="22"/>
        </w:rPr>
        <w:t>Each nuclear pharmacy shall have access to the following references. References may be printed or computer-accessed and shall be current editions or revisions.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United States Pharmacopoeia/National Formulary, with supplements;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reference including all pertinent Iowa laws, rules, and regulations that impact the pharmacy’s practice;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rules and federal regulations governing the use of applicable radioactive materials;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Additional references as may be necessary for the pharmacist to adequately meet the needs of the patients 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2196C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657—16.6</w:t>
      </w:r>
      <w:r>
        <w:rPr>
          <w:rFonts w:ascii="Times New Roman" w:hAnsi="Times New Roman"/>
          <w:b/>
          <w:i w:val="false"/>
          <w:color w:val="000000"/>
          <w:sz w:val="22"/>
        </w:rPr>
        <w:t xml:space="preserve">(155A) </w:t>
      </w:r>
      <w:r>
        <w:rPr>
          <w:rFonts w:ascii="Times New Roman" w:hAnsi="Times New Roman"/>
          <w:b/>
          <w:i w:val="false"/>
          <w:color w:val="000000"/>
          <w:sz w:val="22"/>
        </w:rPr>
        <w:t xml:space="preserve">Minimum equipment requirements. </w:t>
      </w:r>
      <w:r>
        <w:rPr>
          <w:rFonts w:ascii="Times New Roman" w:hAnsi="Times New Roman"/>
          <w:b w:val="false"/>
          <w:i w:val="false"/>
          <w:color w:val="000000"/>
          <w:sz w:val="22"/>
        </w:rPr>
        <w:t>Each nuclear pharmacy shall maintain the following equipment for use in the provision of radiopharmaceutical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Appropriate primary engineering control device to comply with rule </w:t>
      </w:r>
      <w:hyperlink r:id="rId16">
        <w:r>
          <w:rPr>
            <w:rStyle w:val="Hyperlink"/>
            <w:rFonts w:ascii="Times New Roman" w:hAnsi="Times New Roman"/>
            <w:b w:val="false"/>
            <w:i w:val="false"/>
            <w:color w:val="000000"/>
            <w:sz w:val="22"/>
          </w:rPr>
          <w:t>657—16.8</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Dose calibrator;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Single-channel scintillation counter;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Microscope;</w:t>
      </w:r>
    </w:p>
    <w:p>
      <w:pPr>
        <w:spacing w:before="0" w:after="0"/>
        <w:ind w:left="120"/>
        <w:jc w:val="both"/>
      </w:pPr>
      <w:r>
        <w:rPr>
          <w:rFonts w:ascii="Times New Roman" w:hAnsi="Times New Roman"/>
          <w:b w:val="false"/>
          <w:i w:val="false"/>
          <w:color w:val="000000"/>
          <w:sz w:val="22"/>
        </w:rPr>
        <w:t>     5.   </w:t>
      </w:r>
    </w:p>
    <w:p>
      <w:pPr>
        <w:spacing w:before="0" w:after="0"/>
        <w:ind w:left="120"/>
        <w:jc w:val="both"/>
      </w:pPr>
      <w:r>
        <w:rPr>
          <w:rFonts w:ascii="Times New Roman" w:hAnsi="Times New Roman"/>
          <w:b w:val="false"/>
          <w:i w:val="false"/>
          <w:color w:val="000000"/>
          <w:sz w:val="22"/>
        </w:rPr>
        <w:t>Incubator, or access to one;</w:t>
      </w:r>
    </w:p>
    <w:p>
      <w:pPr>
        <w:spacing w:before="0" w:after="0"/>
        <w:ind w:left="120"/>
        <w:jc w:val="both"/>
      </w:pPr>
    </w:p>
    <w:p>
      <w:pPr>
        <w:spacing w:before="0" w:after="0"/>
        <w:ind w:left="120"/>
        <w:jc w:val="both"/>
      </w:pPr>
      <w:r>
        <w:rPr>
          <w:rFonts w:ascii="Times New Roman" w:hAnsi="Times New Roman"/>
          <w:b w:val="false"/>
          <w:i w:val="false"/>
          <w:color w:val="000000"/>
          <w:sz w:val="22"/>
        </w:rPr>
        <w:t>     6.   </w:t>
      </w:r>
    </w:p>
    <w:p>
      <w:pPr>
        <w:spacing w:before="0" w:after="0"/>
        <w:ind w:left="120"/>
        <w:jc w:val="both"/>
      </w:pPr>
      <w:r>
        <w:rPr>
          <w:rFonts w:ascii="Times New Roman" w:hAnsi="Times New Roman"/>
          <w:b w:val="false"/>
          <w:i w:val="false"/>
          <w:color w:val="000000"/>
          <w:sz w:val="22"/>
        </w:rPr>
        <w:t>Radiation survey meter;</w:t>
      </w:r>
    </w:p>
    <w:p>
      <w:pPr>
        <w:spacing w:before="0" w:after="0"/>
        <w:ind w:left="120"/>
        <w:jc w:val="both"/>
      </w:pPr>
    </w:p>
    <w:p>
      <w:pPr>
        <w:spacing w:before="0" w:after="0"/>
        <w:ind w:left="120"/>
        <w:jc w:val="both"/>
      </w:pPr>
      <w:r>
        <w:rPr>
          <w:rFonts w:ascii="Times New Roman" w:hAnsi="Times New Roman"/>
          <w:b w:val="false"/>
          <w:i w:val="false"/>
          <w:color w:val="000000"/>
          <w:sz w:val="22"/>
        </w:rPr>
        <w:t>     7.   </w:t>
      </w:r>
    </w:p>
    <w:p>
      <w:pPr>
        <w:spacing w:before="0" w:after="0"/>
        <w:ind w:left="120"/>
        <w:jc w:val="both"/>
      </w:pPr>
      <w:r>
        <w:rPr>
          <w:rFonts w:ascii="Times New Roman" w:hAnsi="Times New Roman"/>
          <w:b w:val="false"/>
          <w:i w:val="false"/>
          <w:color w:val="000000"/>
          <w:sz w:val="22"/>
        </w:rPr>
        <w:t>Other equipment necessary for the radiopharmaceutical services provided as required by the board.</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A pharmacy may request waiver from a provision of this rule pursuant to the procedures and requirements of </w:t>
      </w:r>
      <w:hyperlink r:id="rId17">
        <w:r>
          <w:rPr>
            <w:rStyle w:val="Hyperlink"/>
            <w:rFonts w:ascii="Times New Roman" w:hAnsi="Times New Roman"/>
            <w:b w:val="false"/>
            <w:i w:val="false"/>
            <w:color w:val="000000"/>
            <w:sz w:val="22"/>
          </w:rPr>
          <w:t>657—Chapter 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5348C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657—16.7</w:t>
      </w:r>
      <w:r>
        <w:rPr>
          <w:rFonts w:ascii="Times New Roman" w:hAnsi="Times New Roman"/>
          <w:b/>
          <w:i w:val="false"/>
          <w:color w:val="000000"/>
          <w:sz w:val="22"/>
        </w:rPr>
        <w:t xml:space="preserve">(155A) </w:t>
      </w:r>
      <w:r>
        <w:rPr>
          <w:rFonts w:ascii="Times New Roman" w:hAnsi="Times New Roman"/>
          <w:b/>
          <w:i w:val="false"/>
          <w:color w:val="000000"/>
          <w:sz w:val="22"/>
        </w:rPr>
        <w:t xml:space="preserve">Training and utilization of pharmacy support persons. </w:t>
      </w:r>
      <w:r>
        <w:rPr>
          <w:rFonts w:ascii="Times New Roman" w:hAnsi="Times New Roman"/>
          <w:b w:val="false"/>
          <w:i w:val="false"/>
          <w:color w:val="000000"/>
          <w:sz w:val="22"/>
        </w:rPr>
        <w:t>Nuclear pharmacies utilizing pharmacy support persons shall develop, implement, and periodically review written policies and procedures for the training and utilization of pharmacy support persons. Pharmacy policies shall specify the frequency of review. Pharmacy support person training shall be documented and maintained by the pharmacy for the duration of employment. Such policies and procedures and documentation of pharmacy support person training shall be available for inspection by the board or an agent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657—16.8</w:t>
      </w:r>
      <w:r>
        <w:rPr>
          <w:rFonts w:ascii="Times New Roman" w:hAnsi="Times New Roman"/>
          <w:b/>
          <w:i w:val="false"/>
          <w:color w:val="000000"/>
          <w:sz w:val="22"/>
        </w:rPr>
        <w:t xml:space="preserve">(155A) </w:t>
      </w:r>
      <w:r>
        <w:rPr>
          <w:rFonts w:ascii="Times New Roman" w:hAnsi="Times New Roman"/>
          <w:b/>
          <w:i w:val="false"/>
          <w:color w:val="000000"/>
          <w:sz w:val="22"/>
        </w:rPr>
        <w:t xml:space="preserve">Sterile radiopharmaceutical preparations and compounding. </w:t>
      </w:r>
      <w:r>
        <w:rPr>
          <w:rFonts w:ascii="Times New Roman" w:hAnsi="Times New Roman"/>
          <w:b w:val="false"/>
          <w:i w:val="false"/>
          <w:color w:val="000000"/>
          <w:sz w:val="22"/>
        </w:rPr>
        <w:t>Sterile radiopharmaceutical preparations shall comply with federal laws and regulations for radiopharmaceuticals, including enforceable chapters of the United States Pharmacopeia (USP) and final guidance documents regarding sections of the Federal Food, Drug, and Cosmetic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3525C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155A.4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155A.28</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155A.31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1/8/79, Notice 11/29/78—published 1/24/79, effective 2/28/79]</w:t>
      </w:r>
    </w:p>
    <w:p>
      <w:pPr>
        <w:spacing w:before="0" w:after="0"/>
        <w:ind w:left="120"/>
        <w:jc w:val="center"/>
      </w:pPr>
      <w:r>
        <w:rPr>
          <w:rFonts w:ascii="Times New Roman" w:hAnsi="Times New Roman"/>
          <w:b w:val="false"/>
          <w:i w:val="false"/>
          <w:color w:val="000000"/>
          <w:sz w:val="21"/>
        </w:rPr>
        <w:t>[Filed emergency 1/21/88—published 2/10/88, effective 1/22/88]</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11/17/88, Notice 8/24/88—published 12/14/88, effective 1/18/89]</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3/19/90, Notice 1/10/90—published 4/18/90, effective 5/23/90]</w:t>
      </w:r>
    </w:p>
    <w:p>
      <w:pPr>
        <w:spacing w:before="0" w:after="0"/>
        <w:ind w:left="120"/>
        <w:jc w:val="center"/>
      </w:pPr>
      <w:r>
        <w:rPr>
          <w:rFonts w:ascii="Times New Roman" w:hAnsi="Times New Roman"/>
          <w:b w:val="false"/>
          <w:i w:val="false"/>
          <w:color w:val="000000"/>
          <w:sz w:val="21"/>
        </w:rPr>
        <w:t>[Filed 7/30/91, Notice 5/29/91—published 8/21/91, effective 9/25/91]</w:t>
      </w:r>
    </w:p>
    <w:p>
      <w:pPr>
        <w:spacing w:before="0" w:after="0"/>
        <w:ind w:left="120"/>
        <w:jc w:val="center"/>
      </w:pPr>
      <w:r>
        <w:rPr>
          <w:rFonts w:ascii="Times New Roman" w:hAnsi="Times New Roman"/>
          <w:b w:val="false"/>
          <w:i w:val="false"/>
          <w:color w:val="000000"/>
          <w:sz w:val="21"/>
        </w:rPr>
        <w:t>[Filed 3/21/94, Notice 10/13/93—published 4/13/94, effective 5/18/94]</w:t>
      </w:r>
    </w:p>
    <w:p>
      <w:pPr>
        <w:spacing w:before="0" w:after="0"/>
        <w:ind w:left="120"/>
        <w:jc w:val="center"/>
      </w:pPr>
      <w:r>
        <w:rPr>
          <w:rFonts w:ascii="Times New Roman" w:hAnsi="Times New Roman"/>
          <w:b w:val="false"/>
          <w:i w:val="false"/>
          <w:color w:val="000000"/>
          <w:sz w:val="21"/>
        </w:rPr>
        <w:t>[Filed 2/27/97, Notice 1/1/97—published 3/26/97, effective 4/30/97]</w:t>
      </w:r>
    </w:p>
    <w:p>
      <w:pPr>
        <w:spacing w:before="0" w:after="0"/>
        <w:ind w:left="120"/>
        <w:jc w:val="center"/>
      </w:pPr>
      <w:r>
        <w:rPr>
          <w:rFonts w:ascii="Times New Roman" w:hAnsi="Times New Roman"/>
          <w:b w:val="false"/>
          <w:i w:val="false"/>
          <w:color w:val="000000"/>
          <w:sz w:val="21"/>
        </w:rPr>
        <w:t>[Filed 9/8/99, Notice 6/2/99—published 10/6/99, effective 11/10/99]</w:t>
      </w:r>
    </w:p>
    <w:p>
      <w:pPr>
        <w:spacing w:before="0" w:after="0"/>
        <w:ind w:left="120"/>
        <w:jc w:val="center"/>
      </w:pPr>
      <w:r>
        <w:rPr>
          <w:rFonts w:ascii="Times New Roman" w:hAnsi="Times New Roman"/>
          <w:b w:val="false"/>
          <w:i w:val="false"/>
          <w:color w:val="000000"/>
          <w:sz w:val="21"/>
        </w:rPr>
        <w:t>[Filed 2/7/01, Notice 10/18/00—published 3/7/01, effective 4/11/01]</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6/2/05, Notice 3/16/05—published 6/22/05, effective 7/27/05]</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2196C</w:t>
      </w:r>
      <w:r>
        <w:rPr>
          <w:rFonts w:ascii="Times New Roman" w:hAnsi="Times New Roman"/>
          <w:b w:val="false"/>
          <w:i w:val="false"/>
          <w:color w:val="000000"/>
          <w:sz w:val="21"/>
        </w:rPr>
        <w:t xml:space="preserve"> (Notice ARC 2065C, IAB 7/22/15)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3525C</w:t>
      </w:r>
      <w:r>
        <w:rPr>
          <w:rFonts w:ascii="Times New Roman" w:hAnsi="Times New Roman"/>
          <w:b w:val="false"/>
          <w:i w:val="false"/>
          <w:color w:val="000000"/>
          <w:sz w:val="21"/>
        </w:rPr>
        <w:t xml:space="preserve"> (Notice ARC 3228C, IAB 8/2/17)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5348C</w:t>
      </w:r>
      <w:r>
        <w:rPr>
          <w:rFonts w:ascii="Times New Roman" w:hAnsi="Times New Roman"/>
          <w:b w:val="false"/>
          <w:i w:val="false"/>
          <w:color w:val="000000"/>
          <w:sz w:val="21"/>
        </w:rPr>
        <w:t xml:space="preserve"> (Notice ARC 5113C, IAB 7/29/20)</w:t>
      </w:r>
      <w:r>
        <w:rPr>
          <w:rFonts w:ascii="Times New Roman" w:hAnsi="Times New Roman"/>
          <w:b w:val="false"/>
          <w:i w:val="false"/>
          <w:color w:val="000000"/>
          <w:sz w:val="21"/>
        </w:rPr>
        <w:t>, IAB 12/30/20, effective 2/3/21]</w:t>
      </w:r>
      <w:r>
        <w:br/>
      </w:r>
      <w:r>
        <w:rPr>
          <w:rFonts w:ascii="Times New Roman" w:hAnsi="Times New Roman"/>
          <w:b w:val="false"/>
          <w:i w:val="false"/>
          <w:color w:val="000000"/>
          <w:sz w:val="21"/>
        </w:rPr>
        <w:t>[Filed ARC 5352C</w:t>
      </w:r>
      <w:r>
        <w:rPr>
          <w:rFonts w:ascii="Times New Roman" w:hAnsi="Times New Roman"/>
          <w:b w:val="false"/>
          <w:i w:val="false"/>
          <w:color w:val="000000"/>
          <w:sz w:val="21"/>
        </w:rPr>
        <w:t xml:space="preserve"> (Notice ARC 5194C, IAB 9/23/20)</w:t>
      </w:r>
      <w:r>
        <w:rPr>
          <w:rFonts w:ascii="Times New Roman" w:hAnsi="Times New Roman"/>
          <w:b w:val="false"/>
          <w:i w:val="false"/>
          <w:color w:val="000000"/>
          <w:sz w:val="21"/>
        </w:rPr>
        <w:t>, IAB 12/30/20, effective 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6C.pdf" Type="http://schemas.openxmlformats.org/officeDocument/2006/relationships/hyperlink" Id="rId5"/>
    <Relationship TargetMode="External" Target="https://www.legis.iowa.gov/docs/ico/chapter/155A.pdf" Type="http://schemas.openxmlformats.org/officeDocument/2006/relationships/hyperlink" Id="rId6"/>
    <Relationship TargetMode="External" Target="https://www.legis.iowa.gov/docs/ico/chapter/455B.pdf" Type="http://schemas.openxmlformats.org/officeDocument/2006/relationships/hyperlink" Id="rId7"/>
    <Relationship TargetMode="External" Target="https://www.legis.iowa.gov/docs/iac/chapter/657.8.pdf" Type="http://schemas.openxmlformats.org/officeDocument/2006/relationships/hyperlink" Id="rId8"/>
    <Relationship TargetMode="External" Target="https://www.legis.iowa.gov/docs/iac/chapter/657.20.pdf" Type="http://schemas.openxmlformats.org/officeDocument/2006/relationships/hyperlink" Id="rId9"/>
    <Relationship TargetMode="External" Target="https://www.legis.iowa.gov/docs/iac/rule/657.16.3.pdf" Type="http://schemas.openxmlformats.org/officeDocument/2006/relationships/hyperlink" Id="rId10"/>
    <Relationship TargetMode="External" Target="https://www.legis.iowa.gov/docs/iac/rule/657.8.35.pdf" Type="http://schemas.openxmlformats.org/officeDocument/2006/relationships/hyperlink" Id="rId11"/>
    <Relationship TargetMode="External" Target="https://www.legis.iowa.gov/docs/iac/rule/657.8.3.pdf" Type="http://schemas.openxmlformats.org/officeDocument/2006/relationships/hyperlink" Id="rId12"/>
    <Relationship TargetMode="External" Target="https://www.legis.iowa.gov/docs/iac/chapter/657.5.pdf" Type="http://schemas.openxmlformats.org/officeDocument/2006/relationships/hyperlink" Id="rId13"/>
    <Relationship TargetMode="External" Target="https://www.legis.iowa.gov/docs/iac/chapter/657.3.pdf" Type="http://schemas.openxmlformats.org/officeDocument/2006/relationships/hyperlink" Id="rId14"/>
    <Relationship TargetMode="External" Target="https://www.legis.iowa.gov/docs/iac/chapter/657.825.pdf" Type="http://schemas.openxmlformats.org/officeDocument/2006/relationships/hyperlink" Id="rId15"/>
    <Relationship TargetMode="External" Target="https://www.legis.iowa.gov/docs/iac/rule/657.16.8.pdf" Type="http://schemas.openxmlformats.org/officeDocument/2006/relationships/hyperlink" Id="rId16"/>
    <Relationship TargetMode="External" Target="https://www.legis.iowa.gov/docs/iac/chapter/657.34.pdf" Type="http://schemas.openxmlformats.org/officeDocument/2006/relationships/hyperlink" Id="rId17"/>
    <Relationship TargetMode="External" Target="https://www.legis.iowa.gov/docs/ico/chapter/155A.4.pdf" Type="http://schemas.openxmlformats.org/officeDocument/2006/relationships/hyperlink" Id="rId18"/>
    <Relationship TargetMode="External" Target="https://www.legis.iowa.gov/docs/ico/chapter/155A.13.pdf" Type="http://schemas.openxmlformats.org/officeDocument/2006/relationships/hyperlink" Id="rId19"/>
    <Relationship TargetMode="External" Target="https://www.legis.iowa.gov/docs/ico/chapter/155A.28.pdf" Type="http://schemas.openxmlformats.org/officeDocument/2006/relationships/hyperlink" Id="rId20"/>
    <Relationship TargetMode="External" Target="https://www.legis.iowa.gov/docs/ico/chapter/155A.31.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