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w:t>
      </w:r>
    </w:p>
    <w:p>
      <w:pPr>
        <w:spacing w:before="0" w:after="0"/>
        <w:ind w:left="120"/>
        <w:jc w:val="center"/>
      </w:pPr>
      <w:r>
        <w:rPr>
          <w:rFonts w:ascii="Times New Roman" w:hAnsi="Times New Roman"/>
          <w:b w:val="false"/>
          <w:i w:val="false"/>
          <w:color w:val="000000"/>
          <w:sz w:val="21"/>
        </w:rPr>
        <w:t>ADVANCED REGISTERED NURSE PRACTITIONERS</w:t>
      </w:r>
    </w:p>
    <w:p>
      <w:pPr>
        <w:spacing w:before="0" w:after="0"/>
        <w:ind w:left="120"/>
        <w:jc w:val="center"/>
      </w:pPr>
      <w:r>
        <w:rPr>
          <w:rFonts w:ascii="Times New Roman" w:hAnsi="Times New Roman"/>
          <w:b w:val="false"/>
          <w:i w:val="false"/>
          <w:color w:val="000000"/>
          <w:sz w:val="14"/>
        </w:rPr>
        <w:t>[Prior to 8/26/87, Nursing Board[590] Ch 7]</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655—7.1</w:t>
      </w:r>
      <w:r>
        <w:rPr>
          <w:rFonts w:ascii="Times New Roman" w:hAnsi="Times New Roman"/>
          <w:b/>
          <w:i w:val="false"/>
          <w:color w:val="000000"/>
          <w:sz w:val="22"/>
        </w:rPr>
        <w:t xml:space="preserve">(17A,124,147,152)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“Advanced registered nurse practitioner”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“ARNP” </w:t>
      </w:r>
      <w:r>
        <w:rPr>
          <w:rFonts w:ascii="Times New Roman" w:hAnsi="Times New Roman"/>
          <w:b w:val="false"/>
          <w:i w:val="false"/>
          <w:color w:val="000000"/>
          <w:sz w:val="22"/>
        </w:rPr>
        <w:t xml:space="preserve">means a person who is currently licensed as a registered nurse under Iowa Code chapter </w:t>
      </w:r>
      <w:hyperlink r:id="rId5">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 xml:space="preserve"> or chapter </w:t>
      </w:r>
      <w:hyperlink r:id="rId6">
        <w:r>
          <w:rPr>
            <w:rStyle w:val="Hyperlink"/>
            <w:rFonts w:ascii="Times New Roman" w:hAnsi="Times New Roman"/>
            <w:b w:val="false"/>
            <w:i w:val="false"/>
            <w:color w:val="000000"/>
            <w:sz w:val="22"/>
          </w:rPr>
          <w:t>152E</w:t>
        </w:r>
      </w:hyperlink>
      <w:r>
        <w:rPr>
          <w:rFonts w:ascii="Times New Roman" w:hAnsi="Times New Roman"/>
          <w:b w:val="false"/>
          <w:i w:val="false"/>
          <w:color w:val="000000"/>
          <w:sz w:val="22"/>
        </w:rPr>
        <w:t xml:space="preserve"> who is licensed by the board as an advanced registered nurse practitioner.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“Asynchronous store-and-forward transmission” </w:t>
      </w:r>
      <w:r>
        <w:rPr>
          <w:rFonts w:ascii="Times New Roman" w:hAnsi="Times New Roman"/>
          <w:b w:val="false"/>
          <w:i w:val="false"/>
          <w:color w:val="000000"/>
          <w:sz w:val="22"/>
        </w:rPr>
        <w:t>means the collection of a patient’s relevant health information and the subsequent transmission of the data from an originating site to a health care provider at a distant site without the presence of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as used in this chapter means the Iowa board of nursing.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“Collaboration” </w:t>
      </w:r>
      <w:r>
        <w:rPr>
          <w:rFonts w:ascii="Times New Roman" w:hAnsi="Times New Roman"/>
          <w:b w:val="false"/>
          <w:i w:val="false"/>
          <w:color w:val="000000"/>
          <w:sz w:val="22"/>
        </w:rPr>
        <w:t xml:space="preserve">is the process whereby an ARNP and physician jointly manage the care of a client.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“Controlled substance” </w:t>
      </w:r>
      <w:r>
        <w:rPr>
          <w:rFonts w:ascii="Times New Roman" w:hAnsi="Times New Roman"/>
          <w:b w:val="false"/>
          <w:i w:val="false"/>
          <w:color w:val="000000"/>
          <w:sz w:val="22"/>
        </w:rPr>
        <w:t xml:space="preserve">means a drug in Schedules II through V of subchapter II of Iowa Code chapter </w:t>
      </w:r>
      <w:hyperlink r:id="rId7">
        <w:r>
          <w:rPr>
            <w:rStyle w:val="Hyperlink"/>
            <w:rFonts w:ascii="Times New Roman" w:hAnsi="Times New Roman"/>
            <w:b w:val="false"/>
            <w:i w:val="false"/>
            <w:color w:val="000000"/>
            <w:sz w:val="22"/>
          </w:rPr>
          <w:t>124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“Cross-coverage” </w:t>
      </w:r>
      <w:r>
        <w:rPr>
          <w:rFonts w:ascii="Times New Roman" w:hAnsi="Times New Roman"/>
          <w:b w:val="false"/>
          <w:i w:val="false"/>
          <w:color w:val="000000"/>
          <w:sz w:val="22"/>
        </w:rPr>
        <w:t>means a licensee who engages in a remote evaluation of a patient, without in-person contact, at the request of another licensed health care provider who has established a proper practitioner-patient relationship with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“Dispense” </w:t>
      </w:r>
      <w:r>
        <w:rPr>
          <w:rFonts w:ascii="Times New Roman" w:hAnsi="Times New Roman"/>
          <w:b w:val="false"/>
          <w:i w:val="false"/>
          <w:color w:val="000000"/>
          <w:sz w:val="22"/>
        </w:rPr>
        <w:t>means to provide a prescription drug to a patient for self-use outside of the ARNP’s practice location. “Dispense” does not include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an individual licensed by the board as an advanced registered nurse practitioner.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“National professional certification organization” </w:t>
      </w:r>
      <w:r>
        <w:rPr>
          <w:rFonts w:ascii="Times New Roman" w:hAnsi="Times New Roman"/>
          <w:b w:val="false"/>
          <w:i w:val="false"/>
          <w:color w:val="000000"/>
          <w:sz w:val="22"/>
        </w:rPr>
        <w:t xml:space="preserve">means the American Academy of Nurse Practitioners, the American Association of Critical Care Nurses, the American Midwifery Certification Board, the American Nurses Credentialing Center, the National Board of Certification and Recertification for Nurse Anesthetists, the National Certification Corporation, and the Pediatric Nursing Certification Board.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“On call” </w:t>
      </w:r>
      <w:r>
        <w:rPr>
          <w:rFonts w:ascii="Times New Roman" w:hAnsi="Times New Roman"/>
          <w:b w:val="false"/>
          <w:i w:val="false"/>
          <w:color w:val="000000"/>
          <w:sz w:val="22"/>
        </w:rPr>
        <w:t>means a licensee is available, where necessary, to attend to the urgent and follow-up needs of a patient for whom the licensee has temporarily assumed responsibility, as designated by the patient’s primary care licensee or other health care provider of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“Opioid” </w:t>
      </w:r>
      <w:r>
        <w:rPr>
          <w:rFonts w:ascii="Times New Roman" w:hAnsi="Times New Roman"/>
          <w:b w:val="false"/>
          <w:i w:val="false"/>
          <w:color w:val="000000"/>
          <w:sz w:val="22"/>
        </w:rPr>
        <w:t>means a drug that produces an agonist effect on opioid receptors and is indicated or used for the treatment of pain.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“Prescription monitoring program database”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“PMP database” </w:t>
      </w:r>
      <w:r>
        <w:rPr>
          <w:rFonts w:ascii="Times New Roman" w:hAnsi="Times New Roman"/>
          <w:b w:val="false"/>
          <w:i w:val="false"/>
          <w:color w:val="000000"/>
          <w:sz w:val="22"/>
        </w:rPr>
        <w:t>means a centralized database of reportable controlled substance prescriptions dispensed to patients and includes data access logs, security tracking information, and records of each individual who requests prescription monitoring program (PMP) information as operated by the board of pharmacy.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“Telehealth” </w:t>
      </w:r>
      <w:r>
        <w:rPr>
          <w:rFonts w:ascii="Times New Roman" w:hAnsi="Times New Roman"/>
          <w:b w:val="false"/>
          <w:i w:val="false"/>
          <w:color w:val="000000"/>
          <w:sz w:val="22"/>
        </w:rPr>
        <w:t>means the practice of nursing using electronic audiovisual communications and information technologies or other means, including interactive audio with asynchronous store-and-forward transmission, between a licensee in one location and a patient in another location with or without an intervening health care provider. Telehealth includes asynchronous store-and-forward technologies, remote monitoring, and real-time interactive services, including teleradiology and telepathology. Telehealth, for the purposes of this rule, shall not include the provision of nursing services only through an audio-only telephone, email messages, facsimile transmissions, or U.S. mail or other parcel service, or any combination thereof.</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4308C</w:t>
      </w:r>
      <w:r>
        <w:rPr>
          <w:rFonts w:ascii="Times New Roman" w:hAnsi="Times New Roman"/>
          <w:b w:val="false"/>
          <w:i w:val="false"/>
          <w:color w:val="000000"/>
          <w:sz w:val="16"/>
        </w:rPr>
        <w:t>, IAB 2/13/19, effective 3/20/19</w:t>
      </w:r>
      <w:r>
        <w:rPr>
          <w:rFonts w:ascii="Times New Roman" w:hAnsi="Times New Roman"/>
          <w:b w:val="false"/>
          <w:i w:val="false"/>
          <w:color w:val="000000"/>
          <w:sz w:val="16"/>
        </w:rPr>
        <w:t xml:space="preserve">; </w:t>
      </w:r>
      <w:r>
        <w:rPr>
          <w:rFonts w:ascii="Times New Roman" w:hAnsi="Times New Roman"/>
          <w:b/>
          <w:i w:val="false"/>
          <w:color w:val="000000"/>
          <w:sz w:val="16"/>
        </w:rPr>
        <w:t>ARC 6317C</w:t>
      </w:r>
      <w:r>
        <w:rPr>
          <w:rFonts w:ascii="Times New Roman" w:hAnsi="Times New Roman"/>
          <w:b w:val="false"/>
          <w:i w:val="false"/>
          <w:color w:val="000000"/>
          <w:sz w:val="16"/>
        </w:rPr>
        <w:t>, IAB 5/18/22, effective 6/22/22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655—7.2</w:t>
      </w:r>
      <w:r>
        <w:rPr>
          <w:rFonts w:ascii="Times New Roman" w:hAnsi="Times New Roman"/>
          <w:b/>
          <w:i w:val="false"/>
          <w:color w:val="000000"/>
          <w:sz w:val="22"/>
        </w:rPr>
        <w:t xml:space="preserve">(152) </w:t>
      </w:r>
      <w:r>
        <w:rPr>
          <w:rFonts w:ascii="Times New Roman" w:hAnsi="Times New Roman"/>
          <w:b/>
          <w:i w:val="false"/>
          <w:color w:val="000000"/>
          <w:sz w:val="22"/>
        </w:rPr>
        <w:t xml:space="preserve">Requirements for licensure as an ARNP.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w:t>
      </w:r>
      <w:r>
        <w:rPr>
          <w:rFonts w:ascii="Times New Roman" w:hAnsi="Times New Roman"/>
          <w:b w:val="false"/>
          <w:i w:val="false"/>
          <w:color w:val="000000"/>
          <w:sz w:val="22"/>
        </w:rPr>
        <w:t> </w:t>
      </w:r>
      <w:r>
        <w:rPr>
          <w:rFonts w:ascii="Times New Roman" w:hAnsi="Times New Roman"/>
          <w:b w:val="false"/>
          <w:i/>
          <w:color w:val="000000"/>
          <w:sz w:val="22"/>
        </w:rPr>
        <w:t xml:space="preserve">Qualifications. </w:t>
      </w:r>
      <w:r>
        <w:rPr>
          <w:rFonts w:ascii="Times New Roman" w:hAnsi="Times New Roman"/>
          <w:b w:val="false"/>
          <w:i w:val="false"/>
          <w:color w:val="000000"/>
          <w:sz w:val="22"/>
        </w:rPr>
        <w:t>An applicant for an ARNP license shall meet the following qualifications: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Hold an active unrestricted license as a registered nurse in accordance with 655—Chapter 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Graduation from an accredited graduate or postgraduate advanced practice educational program in one of the following roles, except as provided by subrule 7.2(2):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Certified nurse-midwife.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Certified registered nurse anesthetist.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Certified nurse practitioner.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Clinical nurse specialist.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Current certification issued by a national professional certification organization as a certified nurse-midwife or certified registered nurse anesthetist, or as a certified nurse practitioner or clinical nurse specialist in at least one of the following population foci: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Women’s health/gender-related.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Family (individual across the lifespan).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Psychiatric mental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Adult/gerontology.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Pediatrics.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Neonatal.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w:t>
      </w:r>
      <w:r>
        <w:rPr>
          <w:rFonts w:ascii="Times New Roman" w:hAnsi="Times New Roman"/>
          <w:b w:val="false"/>
          <w:i w:val="false"/>
          <w:color w:val="000000"/>
          <w:sz w:val="22"/>
        </w:rPr>
        <w:t> </w:t>
      </w:r>
      <w:r>
        <w:rPr>
          <w:rFonts w:ascii="Times New Roman" w:hAnsi="Times New Roman"/>
          <w:b w:val="false"/>
          <w:i/>
          <w:color w:val="000000"/>
          <w:sz w:val="22"/>
        </w:rPr>
        <w:t xml:space="preserve">Exception. </w:t>
      </w:r>
      <w:r>
        <w:rPr>
          <w:rFonts w:ascii="Times New Roman" w:hAnsi="Times New Roman"/>
          <w:b w:val="false"/>
          <w:i w:val="false"/>
          <w:color w:val="000000"/>
          <w:sz w:val="22"/>
        </w:rPr>
        <w:t>An applicant who has completed a formal advanced practice educational program but has not graduated from an accredited graduate or postgraduate advanced practice educational program may be licensed as an ARNP provided that the applicant possesses a current certification from a national professional certification organization as described in paragraph 7.2(1)</w:t>
      </w:r>
      <w:r>
        <w:rPr>
          <w:rFonts w:ascii="Times New Roman" w:hAnsi="Times New Roman"/>
          <w:b w:val="false"/>
          <w:i/>
          <w:color w:val="000000"/>
          <w:sz w:val="22"/>
        </w:rPr>
        <w:t>“c.”</w:t>
      </w:r>
      <w:r>
        <w:rPr>
          <w:rFonts w:ascii="Times New Roman" w:hAnsi="Times New Roman"/>
          <w:b w:val="false"/>
          <w:i w:val="false"/>
          <w:color w:val="000000"/>
          <w:sz w:val="22"/>
        </w:rPr>
        <w:t xml:space="preserve"> This exception is intended to allow for the grandfathering of ARNPs who completed educational programs before the board required graduation from an accredited graduate or postgraduate advanced practice educational program.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4308C</w:t>
      </w:r>
      <w:r>
        <w:rPr>
          <w:rFonts w:ascii="Times New Roman" w:hAnsi="Times New Roman"/>
          <w:b w:val="false"/>
          <w:i w:val="false"/>
          <w:color w:val="000000"/>
          <w:sz w:val="16"/>
        </w:rPr>
        <w:t>, IAB 2/13/19, effective 3/20/19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655—7.3</w:t>
      </w:r>
      <w:r>
        <w:rPr>
          <w:rFonts w:ascii="Times New Roman" w:hAnsi="Times New Roman"/>
          <w:b/>
          <w:i w:val="false"/>
          <w:color w:val="000000"/>
          <w:sz w:val="22"/>
        </w:rPr>
        <w:t xml:space="preserve">(17A,147,152) </w:t>
      </w:r>
      <w:r>
        <w:rPr>
          <w:rFonts w:ascii="Times New Roman" w:hAnsi="Times New Roman"/>
          <w:b/>
          <w:i w:val="false"/>
          <w:color w:val="000000"/>
          <w:sz w:val="22"/>
        </w:rPr>
        <w:t xml:space="preserve">Application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who wishes to be licensed as an ARNP shall submit the following to the board: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ARNP application for each population focus.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dated copy of the applicant’s current advanced level certification issued by the appropriate national professional certification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applicant is not licensed as a registered nurse in Iowa, verification of an active registered nurse license in another state recognized for licensure in this state pursuant to the nurse licensure compact contained in Iowa Code chapter </w:t>
      </w:r>
      <w:hyperlink r:id="rId8">
        <w:r>
          <w:rPr>
            <w:rStyle w:val="Hyperlink"/>
            <w:rFonts w:ascii="Times New Roman" w:hAnsi="Times New Roman"/>
            <w:b w:val="false"/>
            <w:i w:val="false"/>
            <w:color w:val="000000"/>
            <w:sz w:val="22"/>
          </w:rPr>
          <w:t>152E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nonrefundable license fee of $81.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7.3(2)</w:t>
      </w:r>
      <w:r>
        <w:rPr>
          <w:rFonts w:ascii="Times New Roman" w:hAnsi="Times New Roman"/>
          <w:b w:val="false"/>
          <w:i w:val="false"/>
          <w:color w:val="000000"/>
          <w:sz w:val="22"/>
        </w:rPr>
        <w:t> </w:t>
      </w:r>
      <w:r>
        <w:rPr>
          <w:rFonts w:ascii="Times New Roman" w:hAnsi="Times New Roman"/>
          <w:b w:val="false"/>
          <w:i w:val="false"/>
          <w:color w:val="000000"/>
          <w:sz w:val="22"/>
        </w:rPr>
        <w:t>The applicant shall request that official transcripts be sent directly to the board from the educational program verifying the coursework, date of completion of the program, and the degree conferred.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7.3(3)</w:t>
      </w:r>
      <w:r>
        <w:rPr>
          <w:rFonts w:ascii="Times New Roman" w:hAnsi="Times New Roman"/>
          <w:b w:val="false"/>
          <w:i w:val="false"/>
          <w:color w:val="000000"/>
          <w:sz w:val="22"/>
        </w:rPr>
        <w:t> </w:t>
      </w:r>
      <w:r>
        <w:rPr>
          <w:rFonts w:ascii="Times New Roman" w:hAnsi="Times New Roman"/>
          <w:b w:val="false"/>
          <w:i w:val="false"/>
          <w:color w:val="000000"/>
          <w:sz w:val="22"/>
        </w:rPr>
        <w:t xml:space="preserve">The executive director of the board or the executive director’s designee shall have the authority to determine if all requirements have been met for licensure of the applicant as an ARNP. If all requirements have been met: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shall be issued a license and a certificate to practice as an ARNP which clearly denotes the applicant’s name, title, and population focus, and the expiration date of the license.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expiration date of the ARNP license shall be the same as the expiration date of the applicant’s license to practice as a registered nurse.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7.3(4)</w:t>
      </w:r>
      <w:r>
        <w:rPr>
          <w:rFonts w:ascii="Times New Roman" w:hAnsi="Times New Roman"/>
          <w:b w:val="false"/>
          <w:i w:val="false"/>
          <w:color w:val="000000"/>
          <w:sz w:val="22"/>
        </w:rPr>
        <w:t> </w:t>
      </w:r>
      <w:r>
        <w:rPr>
          <w:rFonts w:ascii="Times New Roman" w:hAnsi="Times New Roman"/>
          <w:b w:val="false"/>
          <w:i w:val="false"/>
          <w:color w:val="000000"/>
          <w:sz w:val="22"/>
        </w:rPr>
        <w:t>Licensure completion. An applicant shall complete the ARNP licensure process within 12 months from the start of the application. The board reserves the right to destroy incomplete application materials after 12 months.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7.3(5)</w:t>
      </w:r>
      <w:r>
        <w:rPr>
          <w:rFonts w:ascii="Times New Roman" w:hAnsi="Times New Roman"/>
          <w:b w:val="false"/>
          <w:i w:val="false"/>
          <w:color w:val="000000"/>
          <w:sz w:val="22"/>
        </w:rPr>
        <w:t> </w:t>
      </w:r>
      <w:r>
        <w:rPr>
          <w:rFonts w:ascii="Times New Roman" w:hAnsi="Times New Roman"/>
          <w:b w:val="false"/>
          <w:i w:val="false"/>
          <w:color w:val="000000"/>
          <w:sz w:val="22"/>
        </w:rPr>
        <w:t xml:space="preserve">Renewal of licensure. An ARNP license may be renewed beginning 60 days prior to the license expiration date and ending 30 days after the expiration date. To renew, a licensee shall submit the information required by subrule 7.3(1). The expiration date assigned to a renewed ARNP license shall be the same as the expiration date of the licensee’s license to practice as a registered nurse.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7.3(6)</w:t>
      </w:r>
      <w:r>
        <w:rPr>
          <w:rFonts w:ascii="Times New Roman" w:hAnsi="Times New Roman"/>
          <w:b w:val="false"/>
          <w:i w:val="false"/>
          <w:color w:val="000000"/>
          <w:sz w:val="22"/>
        </w:rPr>
        <w:t> </w:t>
      </w:r>
      <w:r>
        <w:rPr>
          <w:rFonts w:ascii="Times New Roman" w:hAnsi="Times New Roman"/>
          <w:b w:val="false"/>
          <w:i w:val="false"/>
          <w:color w:val="000000"/>
          <w:sz w:val="22"/>
        </w:rPr>
        <w:t xml:space="preserve">Inactive status. Failure to renew an ARNP license within 30 days after its expiration shall result in an inactive ARNP license.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Continuing to work as an ARNP with an inactive ARNP license may result in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reactivate the license, the licensee must reactivate the underlying license to practice as a registered nurse, if required, and shall complete the license renewal process for the ARNP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7.3(7)</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 denial. Rule 655—3.9(17A,272C) shall govern the denial of an application for an ARNP license.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4308C</w:t>
      </w:r>
      <w:r>
        <w:rPr>
          <w:rFonts w:ascii="Times New Roman" w:hAnsi="Times New Roman"/>
          <w:b w:val="false"/>
          <w:i w:val="false"/>
          <w:color w:val="000000"/>
          <w:sz w:val="16"/>
        </w:rPr>
        <w:t>, IAB 2/13/19, effective 3/20/19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655—7.4</w:t>
      </w:r>
      <w:r>
        <w:rPr>
          <w:rFonts w:ascii="Times New Roman" w:hAnsi="Times New Roman"/>
          <w:b/>
          <w:i w:val="false"/>
          <w:color w:val="000000"/>
          <w:sz w:val="22"/>
        </w:rPr>
        <w:t xml:space="preserve">(17A,147,152) </w:t>
      </w:r>
      <w:r>
        <w:rPr>
          <w:rFonts w:ascii="Times New Roman" w:hAnsi="Times New Roman"/>
          <w:b/>
          <w:i w:val="false"/>
          <w:color w:val="000000"/>
          <w:sz w:val="22"/>
        </w:rPr>
        <w:t xml:space="preserve">Advanced nursing practice.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7.4(1)</w:t>
      </w:r>
      <w:r>
        <w:rPr>
          <w:rFonts w:ascii="Times New Roman" w:hAnsi="Times New Roman"/>
          <w:b w:val="false"/>
          <w:i w:val="false"/>
          <w:color w:val="000000"/>
          <w:sz w:val="22"/>
        </w:rPr>
        <w:t> </w:t>
      </w:r>
      <w:r>
        <w:rPr>
          <w:rFonts w:ascii="Times New Roman" w:hAnsi="Times New Roman"/>
          <w:b w:val="false"/>
          <w:i w:val="false"/>
          <w:color w:val="000000"/>
          <w:sz w:val="22"/>
        </w:rPr>
        <w:t xml:space="preserve">An ARNP shall practice within the ARNP’s respective population foci. An ARNP shall practice in accordance with the applicable standard of care as described in guidelines published by national professional associations or other reputable sources.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7.4(2)</w:t>
      </w:r>
      <w:r>
        <w:rPr>
          <w:rFonts w:ascii="Times New Roman" w:hAnsi="Times New Roman"/>
          <w:b w:val="false"/>
          <w:i w:val="false"/>
          <w:color w:val="000000"/>
          <w:sz w:val="22"/>
        </w:rPr>
        <w:t> </w:t>
      </w:r>
      <w:r>
        <w:rPr>
          <w:rFonts w:ascii="Times New Roman" w:hAnsi="Times New Roman"/>
          <w:b w:val="false"/>
          <w:i w:val="false"/>
          <w:color w:val="000000"/>
          <w:sz w:val="22"/>
        </w:rPr>
        <w:t>An ARNP must maintain current certification with a national professional certification organization at all times while the ARNP license is active.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7.4(3)</w:t>
      </w:r>
      <w:r>
        <w:rPr>
          <w:rFonts w:ascii="Times New Roman" w:hAnsi="Times New Roman"/>
          <w:b w:val="false"/>
          <w:i w:val="false"/>
          <w:color w:val="000000"/>
          <w:sz w:val="22"/>
        </w:rPr>
        <w:t> </w:t>
      </w:r>
      <w:r>
        <w:rPr>
          <w:rFonts w:ascii="Times New Roman" w:hAnsi="Times New Roman"/>
          <w:b w:val="false"/>
          <w:i w:val="false"/>
          <w:color w:val="000000"/>
          <w:sz w:val="22"/>
        </w:rPr>
        <w:t>An ARNP licensed by the board may prescribe, administer, or dispense prescription drugs or devices, including controlled substances, within the ARNP’s role and population foci and consistent with applicable state and federal laws.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7.4(4)</w:t>
      </w:r>
      <w:r>
        <w:rPr>
          <w:rFonts w:ascii="Times New Roman" w:hAnsi="Times New Roman"/>
          <w:b w:val="false"/>
          <w:i w:val="false"/>
          <w:color w:val="000000"/>
          <w:sz w:val="22"/>
        </w:rPr>
        <w:t> </w:t>
      </w:r>
      <w:r>
        <w:rPr>
          <w:rFonts w:ascii="Times New Roman" w:hAnsi="Times New Roman"/>
          <w:b w:val="false"/>
          <w:i w:val="false"/>
          <w:color w:val="000000"/>
          <w:sz w:val="22"/>
        </w:rPr>
        <w:t>An ARNP shall have the authority to practice to the full extent of the ARNP’s license, education, and experience in the ARNP’s respective population foci. An ARNP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Assess health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Obtain a relevant health and medical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Perform physical examinations;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Order preventive and diagnostic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Formulate a differential diagnosis;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Develop a treatment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Develop a patient education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Receive third-party reimbursement;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Maintain hospital privileges;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Promote health maintenance.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7.4(5)</w:t>
      </w:r>
      <w:r>
        <w:rPr>
          <w:rFonts w:ascii="Times New Roman" w:hAnsi="Times New Roman"/>
          <w:b w:val="false"/>
          <w:i w:val="false"/>
          <w:color w:val="000000"/>
          <w:sz w:val="22"/>
        </w:rPr>
        <w:t> </w:t>
      </w:r>
      <w:r>
        <w:rPr>
          <w:rFonts w:ascii="Times New Roman" w:hAnsi="Times New Roman"/>
          <w:b w:val="false"/>
          <w:i w:val="false"/>
          <w:color w:val="000000"/>
          <w:sz w:val="22"/>
        </w:rPr>
        <w:t>Supervision of fluoroscopy. An ARNP shall be permitted to provide direct supervision in the use of fluoroscopic X-ray equipment, as defined in rule 641—38.2(136C).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ARNP shall provide direct supervision of fluoroscopy pursuant to the following provisions: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Completion of an educational course including content in radiation physics, radiobiology, radiological safety and radiation management applicable to the use of fluoroscopy, and maintenance of documentation verifying successful completion.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Collaboration, as needed, as defined in rule 655—7.1(17A,124,147,152).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Compliance with facility policies and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ARNP shall complete an annual radiological safety course whose content includes, but is not limited to, the time, dose, distance, shielding and effects of radiation.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ARNP shall maintain documentation of the initial educational course and all annual radiological safety updates.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initial and annual education requirements are subject to audit by the board pursuant to 655—subrule 5.2(10).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7.4(6)</w:t>
      </w:r>
      <w:r>
        <w:rPr>
          <w:rFonts w:ascii="Times New Roman" w:hAnsi="Times New Roman"/>
          <w:b w:val="false"/>
          <w:i w:val="false"/>
          <w:color w:val="000000"/>
          <w:sz w:val="22"/>
        </w:rPr>
        <w:t> </w:t>
      </w:r>
      <w:r>
        <w:rPr>
          <w:rFonts w:ascii="Times New Roman" w:hAnsi="Times New Roman"/>
          <w:b w:val="false"/>
          <w:i w:val="false"/>
          <w:color w:val="000000"/>
          <w:sz w:val="22"/>
        </w:rPr>
        <w:t>Only a person currently licensed as an advanced registered nurse practitioner may use that title and the letters “ARNP” after the person’s name. A person currently licensed as an ARNP shall utilize the title “advanced registered nurse practitioner” or the letters “ARNP” after the person’s name. Utilization of the title which denotes the ARNP’s certification or population foci is at the discretion of the ARNP.</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4308C</w:t>
      </w:r>
      <w:r>
        <w:rPr>
          <w:rFonts w:ascii="Times New Roman" w:hAnsi="Times New Roman"/>
          <w:b w:val="false"/>
          <w:i w:val="false"/>
          <w:color w:val="000000"/>
          <w:sz w:val="16"/>
        </w:rPr>
        <w:t>, IAB 2/13/19, effective 3/20/19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655—7.5</w:t>
      </w:r>
      <w:r>
        <w:rPr>
          <w:rFonts w:ascii="Times New Roman" w:hAnsi="Times New Roman"/>
          <w:b/>
          <w:i w:val="false"/>
          <w:color w:val="000000"/>
          <w:sz w:val="22"/>
        </w:rPr>
        <w:t xml:space="preserve">(17A,147,152) </w:t>
      </w:r>
      <w:r>
        <w:rPr>
          <w:rFonts w:ascii="Times New Roman" w:hAnsi="Times New Roman"/>
          <w:b/>
          <w:i w:val="false"/>
          <w:color w:val="000000"/>
          <w:sz w:val="22"/>
        </w:rPr>
        <w:t xml:space="preserve">Standards of practice for treating patients. </w:t>
      </w:r>
      <w:r>
        <w:rPr>
          <w:rFonts w:ascii="Times New Roman" w:hAnsi="Times New Roman"/>
          <w:b w:val="false"/>
          <w:i w:val="false"/>
          <w:color w:val="000000"/>
          <w:sz w:val="22"/>
        </w:rPr>
        <w:t>An ARNP shall follow the standards of practice for the ARNP’s respective population foci. Prior to treating a patient, an ARNP shall: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w:t>
      </w:r>
      <w:r>
        <w:rPr>
          <w:rFonts w:ascii="Times New Roman" w:hAnsi="Times New Roman"/>
          <w:b w:val="false"/>
          <w:i w:val="false"/>
          <w:color w:val="000000"/>
          <w:sz w:val="22"/>
        </w:rPr>
        <w:t> </w:t>
      </w:r>
      <w:r>
        <w:rPr>
          <w:rFonts w:ascii="Times New Roman" w:hAnsi="Times New Roman"/>
          <w:b w:val="false"/>
          <w:i w:val="false"/>
          <w:color w:val="000000"/>
          <w:sz w:val="22"/>
        </w:rPr>
        <w:t xml:space="preserve">Establish a patient-provider relationship.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w:t>
      </w:r>
      <w:r>
        <w:rPr>
          <w:rFonts w:ascii="Times New Roman" w:hAnsi="Times New Roman"/>
          <w:b w:val="false"/>
          <w:i w:val="false"/>
          <w:color w:val="000000"/>
          <w:sz w:val="22"/>
        </w:rPr>
        <w:t> </w:t>
      </w:r>
      <w:r>
        <w:rPr>
          <w:rFonts w:ascii="Times New Roman" w:hAnsi="Times New Roman"/>
          <w:b w:val="false"/>
          <w:i w:val="false"/>
          <w:color w:val="000000"/>
          <w:sz w:val="22"/>
        </w:rPr>
        <w:t>Perform and document the following, or have access to the patient’s health records where all of the following have been documented by other providers in the care team: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Chief complaint;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Pertinent health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focused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Diagnosis;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Plan of treatment.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4308C</w:t>
      </w:r>
      <w:r>
        <w:rPr>
          <w:rFonts w:ascii="Times New Roman" w:hAnsi="Times New Roman"/>
          <w:b w:val="false"/>
          <w:i w:val="false"/>
          <w:color w:val="000000"/>
          <w:sz w:val="16"/>
        </w:rPr>
        <w:t>, IAB 2/13/19, effective 3/20/19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655—7.6</w:t>
      </w:r>
      <w:r>
        <w:rPr>
          <w:rFonts w:ascii="Times New Roman" w:hAnsi="Times New Roman"/>
          <w:b/>
          <w:i w:val="false"/>
          <w:color w:val="000000"/>
          <w:sz w:val="22"/>
        </w:rPr>
        <w:t xml:space="preserve">(17A,124,147,152,272C) </w:t>
      </w:r>
      <w:r>
        <w:rPr>
          <w:rFonts w:ascii="Times New Roman" w:hAnsi="Times New Roman"/>
          <w:b/>
          <w:i w:val="false"/>
          <w:color w:val="000000"/>
          <w:sz w:val="22"/>
        </w:rPr>
        <w:t xml:space="preserve">Standards of practice for controlled substances. </w:t>
      </w:r>
      <w:r>
        <w:rPr>
          <w:rFonts w:ascii="Times New Roman" w:hAnsi="Times New Roman"/>
          <w:b w:val="false"/>
          <w:i w:val="false"/>
          <w:color w:val="000000"/>
          <w:sz w:val="22"/>
        </w:rPr>
        <w:t>In addition to following the standards of practice for treating a patient described in rule 655—7.5(17A,147,152), an ARNP who prescribes or administers a controlled substance shall practice in accordance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w:t>
      </w:r>
      <w:r>
        <w:rPr>
          <w:rFonts w:ascii="Times New Roman" w:hAnsi="Times New Roman"/>
          <w:b w:val="false"/>
          <w:i w:val="false"/>
          <w:color w:val="000000"/>
          <w:sz w:val="22"/>
        </w:rPr>
        <w:t> </w:t>
      </w:r>
      <w:r>
        <w:rPr>
          <w:rFonts w:ascii="Times New Roman" w:hAnsi="Times New Roman"/>
          <w:b w:val="false"/>
          <w:i w:val="false"/>
          <w:color w:val="000000"/>
          <w:sz w:val="22"/>
        </w:rPr>
        <w:t>The health history shall include a personal and family substance abuse risk assessment, or the documented rationale for not performing the assessment.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w:t>
      </w:r>
      <w:r>
        <w:rPr>
          <w:rFonts w:ascii="Times New Roman" w:hAnsi="Times New Roman"/>
          <w:b w:val="false"/>
          <w:i w:val="false"/>
          <w:color w:val="000000"/>
          <w:sz w:val="22"/>
        </w:rPr>
        <w:t> </w:t>
      </w:r>
      <w:r>
        <w:rPr>
          <w:rFonts w:ascii="Times New Roman" w:hAnsi="Times New Roman"/>
          <w:b w:val="false"/>
          <w:i w:val="false"/>
          <w:color w:val="000000"/>
          <w:sz w:val="22"/>
        </w:rPr>
        <w:t>The health record must include documentation of the presence of one or more recognized indications for the use of a controlled substance.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7.6(3)</w:t>
      </w:r>
      <w:r>
        <w:rPr>
          <w:rFonts w:ascii="Times New Roman" w:hAnsi="Times New Roman"/>
          <w:b w:val="false"/>
          <w:i w:val="false"/>
          <w:color w:val="000000"/>
          <w:sz w:val="22"/>
        </w:rPr>
        <w:t> </w:t>
      </w:r>
      <w:r>
        <w:rPr>
          <w:rFonts w:ascii="Times New Roman" w:hAnsi="Times New Roman"/>
          <w:b w:val="false"/>
          <w:i w:val="false"/>
          <w:color w:val="000000"/>
          <w:sz w:val="22"/>
        </w:rPr>
        <w:t xml:space="preserve">An ARNP is encouraged to utilize a treatment agreement if continuously prescribing one or more controlled substances.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7.6(4)</w:t>
      </w:r>
      <w:r>
        <w:rPr>
          <w:rFonts w:ascii="Times New Roman" w:hAnsi="Times New Roman"/>
          <w:b w:val="false"/>
          <w:i w:val="false"/>
          <w:color w:val="000000"/>
          <w:sz w:val="22"/>
        </w:rPr>
        <w:t> </w:t>
      </w:r>
      <w:r>
        <w:rPr>
          <w:rFonts w:ascii="Times New Roman" w:hAnsi="Times New Roman"/>
          <w:b w:val="false"/>
          <w:i w:val="false"/>
          <w:color w:val="000000"/>
          <w:sz w:val="22"/>
        </w:rPr>
        <w:t>Throughout the course of the patient’s treatment, the ARNP shall provide ongoing education that includes, but is not limited to, the risks of using a controlled substance, and information regarding addiction, physical dependence, substance abuse, and tolerance, or document the rationale for not providing the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7.6(5)</w:t>
      </w:r>
      <w:r>
        <w:rPr>
          <w:rFonts w:ascii="Times New Roman" w:hAnsi="Times New Roman"/>
          <w:b w:val="false"/>
          <w:i w:val="false"/>
          <w:color w:val="000000"/>
          <w:sz w:val="22"/>
        </w:rPr>
        <w:t> </w:t>
      </w:r>
      <w:r>
        <w:rPr>
          <w:rFonts w:ascii="Times New Roman" w:hAnsi="Times New Roman"/>
          <w:b w:val="false"/>
          <w:i w:val="false"/>
          <w:color w:val="000000"/>
          <w:sz w:val="22"/>
        </w:rPr>
        <w:t>An ARNP shall maintain an active Drug Enforcement Administration (DEA) registration and an active controlled substances Act (CSA) registration to dispense, prescribe, or administer controlled substances, when required by the DEA and the board of pharmacy.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7.6(6)</w:t>
      </w:r>
      <w:r>
        <w:rPr>
          <w:rFonts w:ascii="Times New Roman" w:hAnsi="Times New Roman"/>
          <w:b w:val="false"/>
          <w:i w:val="false"/>
          <w:color w:val="000000"/>
          <w:sz w:val="22"/>
        </w:rPr>
        <w:t> </w:t>
      </w:r>
      <w:r>
        <w:rPr>
          <w:rFonts w:ascii="Times New Roman" w:hAnsi="Times New Roman"/>
          <w:b w:val="false"/>
          <w:i w:val="false"/>
          <w:color w:val="000000"/>
          <w:sz w:val="22"/>
        </w:rPr>
        <w:t xml:space="preserve">An ARNP shall not prescribe a controlled substance to the ARNP’s self or to a family member unless the prescribing occurs in a clinical setting when an emergency situation arises and when there is no other qualified practitioner available to the patient.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7.6(7)</w:t>
      </w:r>
      <w:r>
        <w:rPr>
          <w:rFonts w:ascii="Times New Roman" w:hAnsi="Times New Roman"/>
          <w:b w:val="false"/>
          <w:i w:val="false"/>
          <w:color w:val="000000"/>
          <w:sz w:val="22"/>
        </w:rPr>
        <w:t> </w:t>
      </w:r>
      <w:r>
        <w:rPr>
          <w:rFonts w:ascii="Times New Roman" w:hAnsi="Times New Roman"/>
          <w:b w:val="false"/>
          <w:i w:val="false"/>
          <w:color w:val="000000"/>
          <w:sz w:val="22"/>
        </w:rPr>
        <w:t>The board may discipline an ARNP for prescribing opioids in dosage amounts that exceed what would be prescribed by a reasonably prudent ARNP in a similar practice.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7.6(8)</w:t>
      </w:r>
      <w:r>
        <w:rPr>
          <w:rFonts w:ascii="Times New Roman" w:hAnsi="Times New Roman"/>
          <w:b w:val="false"/>
          <w:i w:val="false"/>
          <w:color w:val="000000"/>
          <w:sz w:val="22"/>
        </w:rPr>
        <w:t> </w:t>
      </w:r>
      <w:r>
        <w:rPr>
          <w:rFonts w:ascii="Times New Roman" w:hAnsi="Times New Roman"/>
          <w:b w:val="false"/>
          <w:i w:val="false"/>
          <w:color w:val="000000"/>
          <w:sz w:val="22"/>
        </w:rPr>
        <w:t>An ARNP who has prescribed opioids to a patient during the renewal cycle is required to complete a minimum of two contact hours of continuing education regarding the U.S. Centers for Disease Control and Prevention guideline for prescribing opioids for chronic pain, including recommendations on limitations on dosages and the length of prescriptions, risk factors for abuse, and nonopioid and nonpharmacologic therapy options, as a condition of license renewal every three years. These hours may count towards the 36 contact hours required for license renewal. The ARNP shall maintain documentation of these hours, which may be subject to audit.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4308C</w:t>
      </w:r>
      <w:r>
        <w:rPr>
          <w:rFonts w:ascii="Times New Roman" w:hAnsi="Times New Roman"/>
          <w:b w:val="false"/>
          <w:i w:val="false"/>
          <w:color w:val="000000"/>
          <w:sz w:val="16"/>
        </w:rPr>
        <w:t>, IAB 2/13/19, effective 3/20/19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655—7.7</w:t>
      </w:r>
      <w:r>
        <w:rPr>
          <w:rFonts w:ascii="Times New Roman" w:hAnsi="Times New Roman"/>
          <w:b/>
          <w:i w:val="false"/>
          <w:color w:val="000000"/>
          <w:sz w:val="22"/>
        </w:rPr>
        <w:t xml:space="preserve">(124) </w:t>
      </w:r>
      <w:r>
        <w:rPr>
          <w:rFonts w:ascii="Times New Roman" w:hAnsi="Times New Roman"/>
          <w:b/>
          <w:i w:val="false"/>
          <w:color w:val="000000"/>
          <w:sz w:val="22"/>
        </w:rPr>
        <w:t xml:space="preserve">Use of the prescription monitoring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7.7(1)</w:t>
      </w:r>
      <w:r>
        <w:rPr>
          <w:rFonts w:ascii="Times New Roman" w:hAnsi="Times New Roman"/>
          <w:b w:val="false"/>
          <w:i w:val="false"/>
          <w:color w:val="000000"/>
          <w:sz w:val="22"/>
        </w:rPr>
        <w:t> </w:t>
      </w:r>
      <w:r>
        <w:rPr>
          <w:rFonts w:ascii="Times New Roman" w:hAnsi="Times New Roman"/>
          <w:b w:val="false"/>
          <w:i w:val="false"/>
          <w:color w:val="000000"/>
          <w:sz w:val="22"/>
        </w:rPr>
        <w:t>Prior to the prescribing or dispensing of an opioid by an ARNP, the ARNP or the ARNP’s authorized delegate shall query the PMP database and the ARNP shall review the patient’s information contained in the PMP database.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7.7(2)</w:t>
      </w:r>
      <w:r>
        <w:rPr>
          <w:rFonts w:ascii="Times New Roman" w:hAnsi="Times New Roman"/>
          <w:b w:val="false"/>
          <w:i w:val="false"/>
          <w:color w:val="000000"/>
          <w:sz w:val="22"/>
        </w:rPr>
        <w:t> </w:t>
      </w:r>
      <w:r>
        <w:rPr>
          <w:rFonts w:ascii="Times New Roman" w:hAnsi="Times New Roman"/>
          <w:b w:val="false"/>
          <w:i w:val="false"/>
          <w:color w:val="000000"/>
          <w:sz w:val="22"/>
        </w:rPr>
        <w:t>This rule does not apply to an ARNP when treating a patient who is receiving inpatient hospice care or long-term residential facility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w:t>
      </w:r>
      <w:r>
        <w:rPr>
          <w:rFonts w:ascii="Times New Roman" w:hAnsi="Times New Roman"/>
          <w:b w:val="false"/>
          <w:i w:val="false"/>
          <w:color w:val="000000"/>
          <w:sz w:val="22"/>
        </w:rPr>
        <w:t> </w:t>
      </w:r>
      <w:r>
        <w:rPr>
          <w:rFonts w:ascii="Times New Roman" w:hAnsi="Times New Roman"/>
          <w:b w:val="false"/>
          <w:i w:val="false"/>
          <w:color w:val="000000"/>
          <w:sz w:val="22"/>
        </w:rPr>
        <w:t>This rule does not apply to an ARNP who issues a medication order for an opioid to be administered to a patient at a hospital or clinic, because the ARNP is neither prescribing nor dispensing in this scenario.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w:t>
      </w:r>
      <w:r>
        <w:rPr>
          <w:rFonts w:ascii="Times New Roman" w:hAnsi="Times New Roman"/>
          <w:b w:val="false"/>
          <w:i w:val="false"/>
          <w:color w:val="000000"/>
          <w:sz w:val="22"/>
        </w:rPr>
        <w:t> </w:t>
      </w:r>
      <w:r>
        <w:rPr>
          <w:rFonts w:ascii="Times New Roman" w:hAnsi="Times New Roman"/>
          <w:b w:val="false"/>
          <w:i w:val="false"/>
          <w:color w:val="000000"/>
          <w:sz w:val="22"/>
        </w:rPr>
        <w:t>An ARNP is responsible for understanding the board of pharmacy’s rules governing use of the prescription monitoring program in 657—Chapter 37.</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4308C</w:t>
      </w:r>
      <w:r>
        <w:rPr>
          <w:rFonts w:ascii="Times New Roman" w:hAnsi="Times New Roman"/>
          <w:b w:val="false"/>
          <w:i w:val="false"/>
          <w:color w:val="000000"/>
          <w:sz w:val="16"/>
        </w:rPr>
        <w:t>, IAB 2/13/19, effective 3/20/19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655—7.8</w:t>
      </w:r>
      <w:r>
        <w:rPr>
          <w:rFonts w:ascii="Times New Roman" w:hAnsi="Times New Roman"/>
          <w:b/>
          <w:i w:val="false"/>
          <w:color w:val="000000"/>
          <w:sz w:val="22"/>
        </w:rPr>
        <w:t xml:space="preserve">(152) </w:t>
      </w:r>
      <w:r>
        <w:rPr>
          <w:rFonts w:ascii="Times New Roman" w:hAnsi="Times New Roman"/>
          <w:b/>
          <w:i w:val="false"/>
          <w:color w:val="000000"/>
          <w:sz w:val="22"/>
        </w:rPr>
        <w:t xml:space="preserve">Prescribing epinephrine auto-injectors, bronchodilator canisters, bronchodilator canisters and spacers, or opioid antagonists in the name of a facility or school.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w:t>
      </w:r>
      <w:r>
        <w:rPr>
          <w:rFonts w:ascii="Times New Roman" w:hAnsi="Times New Roman"/>
          <w:b w:val="false"/>
          <w:i w:val="false"/>
          <w:color w:val="000000"/>
          <w:sz w:val="22"/>
        </w:rPr>
        <w:t> </w:t>
      </w:r>
      <w:r>
        <w:rPr>
          <w:rFonts w:ascii="Times New Roman" w:hAnsi="Times New Roman"/>
          <w:b w:val="false"/>
          <w:i w:val="false"/>
          <w:color w:val="000000"/>
          <w:sz w:val="22"/>
        </w:rPr>
        <w:t xml:space="preserve">An ARNP may issue a prescription for one or more epinephrine auto-injectors in the name of a facility as defined in Iowa Code section </w:t>
      </w:r>
      <w:hyperlink r:id="rId9">
        <w:r>
          <w:rPr>
            <w:rStyle w:val="Hyperlink"/>
            <w:rFonts w:ascii="Times New Roman" w:hAnsi="Times New Roman"/>
            <w:b w:val="false"/>
            <w:i w:val="false"/>
            <w:color w:val="000000"/>
            <w:sz w:val="22"/>
          </w:rPr>
          <w:t>135.185(1)</w:t>
        </w:r>
      </w:hyperlink>
      <w:r>
        <w:rPr>
          <w:rFonts w:ascii="Times New Roman" w:hAnsi="Times New Roman"/>
          <w:b w:val="false"/>
          <w:i w:val="false"/>
          <w:color w:val="000000"/>
          <w:sz w:val="22"/>
        </w:rPr>
        <w:t>, a school district, or an accredited nonpublic school.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w:t>
      </w:r>
      <w:r>
        <w:rPr>
          <w:rFonts w:ascii="Times New Roman" w:hAnsi="Times New Roman"/>
          <w:b w:val="false"/>
          <w:i w:val="false"/>
          <w:color w:val="000000"/>
          <w:sz w:val="22"/>
        </w:rPr>
        <w:t> </w:t>
      </w:r>
      <w:r>
        <w:rPr>
          <w:rFonts w:ascii="Times New Roman" w:hAnsi="Times New Roman"/>
          <w:b w:val="false"/>
          <w:i w:val="false"/>
          <w:color w:val="000000"/>
          <w:sz w:val="22"/>
        </w:rPr>
        <w:t>An ARNP may issue a prescription for one or more bronchodilator canisters or bronchodilator canisters and spacers in the name of a school district or an accredited nonpublic school.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w:t>
      </w:r>
      <w:r>
        <w:rPr>
          <w:rFonts w:ascii="Times New Roman" w:hAnsi="Times New Roman"/>
          <w:b w:val="false"/>
          <w:i w:val="false"/>
          <w:color w:val="000000"/>
          <w:sz w:val="22"/>
        </w:rPr>
        <w:t> </w:t>
      </w:r>
      <w:r>
        <w:rPr>
          <w:rFonts w:ascii="Times New Roman" w:hAnsi="Times New Roman"/>
          <w:b w:val="false"/>
          <w:i w:val="false"/>
          <w:color w:val="000000"/>
          <w:sz w:val="22"/>
        </w:rPr>
        <w:t>An ARNP may issue a prescription for one or more opioid antagonists in the name of a school district.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w:t>
      </w:r>
      <w:r>
        <w:rPr>
          <w:rFonts w:ascii="Times New Roman" w:hAnsi="Times New Roman"/>
          <w:b w:val="false"/>
          <w:i w:val="false"/>
          <w:color w:val="000000"/>
          <w:sz w:val="22"/>
        </w:rPr>
        <w:t> </w:t>
      </w:r>
      <w:r>
        <w:rPr>
          <w:rFonts w:ascii="Times New Roman" w:hAnsi="Times New Roman"/>
          <w:b w:val="false"/>
          <w:i w:val="false"/>
          <w:color w:val="000000"/>
          <w:sz w:val="22"/>
        </w:rPr>
        <w:t xml:space="preserve">An ARNP who prescribes epinephrine auto-injectors, bronchodilator canisters, bronchodilator canisters and spacers, or opioid antagonists in the name of an authorized facility as defined in Iowa Code section </w:t>
      </w:r>
      <w:hyperlink r:id="rId10">
        <w:r>
          <w:rPr>
            <w:rStyle w:val="Hyperlink"/>
            <w:rFonts w:ascii="Times New Roman" w:hAnsi="Times New Roman"/>
            <w:b w:val="false"/>
            <w:i w:val="false"/>
            <w:color w:val="000000"/>
            <w:sz w:val="22"/>
          </w:rPr>
          <w:t>135.185(1)</w:t>
        </w:r>
      </w:hyperlink>
      <w:r>
        <w:rPr>
          <w:rFonts w:ascii="Times New Roman" w:hAnsi="Times New Roman"/>
          <w:b w:val="false"/>
          <w:i w:val="false"/>
          <w:color w:val="000000"/>
          <w:sz w:val="22"/>
        </w:rPr>
        <w:t xml:space="preserve">, a school district, or an accredited nonpublic school, to be maintained for use pursuant to Iowa Code sections </w:t>
      </w:r>
      <w:hyperlink r:id="rId11">
        <w:r>
          <w:rPr>
            <w:rStyle w:val="Hyperlink"/>
            <w:rFonts w:ascii="Times New Roman" w:hAnsi="Times New Roman"/>
            <w:b w:val="false"/>
            <w:i w:val="false"/>
            <w:color w:val="000000"/>
            <w:sz w:val="22"/>
          </w:rPr>
          <w:t>135.185</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135.190</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280.16</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280.16A</w:t>
        </w:r>
      </w:hyperlink>
      <w:r>
        <w:rPr>
          <w:rFonts w:ascii="Times New Roman" w:hAnsi="Times New Roman"/>
          <w:b w:val="false"/>
          <w:i w:val="false"/>
          <w:color w:val="000000"/>
          <w:sz w:val="22"/>
        </w:rPr>
        <w:t>, provided the ARNP has acted reasonably and in good faith, shall not be liable for any injury arising from the provision, administration, or assistance in the administration of an epinephrine auto-injector, bronchodilator canister, bronchodilator canister and spacer, or opioid antagonist.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4308C</w:t>
      </w:r>
      <w:r>
        <w:rPr>
          <w:rFonts w:ascii="Times New Roman" w:hAnsi="Times New Roman"/>
          <w:b w:val="false"/>
          <w:i w:val="false"/>
          <w:color w:val="000000"/>
          <w:sz w:val="16"/>
        </w:rPr>
        <w:t>, IAB 2/13/19, effective 3/20/19</w:t>
      </w:r>
      <w:r>
        <w:rPr>
          <w:rFonts w:ascii="Times New Roman" w:hAnsi="Times New Roman"/>
          <w:b w:val="false"/>
          <w:i w:val="false"/>
          <w:color w:val="000000"/>
          <w:sz w:val="16"/>
        </w:rPr>
        <w:t xml:space="preserve">; </w:t>
      </w:r>
      <w:r>
        <w:rPr>
          <w:rFonts w:ascii="Times New Roman" w:hAnsi="Times New Roman"/>
          <w:b/>
          <w:i w:val="false"/>
          <w:color w:val="000000"/>
          <w:sz w:val="16"/>
        </w:rPr>
        <w:t>ARC 6950C</w:t>
      </w:r>
      <w:r>
        <w:rPr>
          <w:rFonts w:ascii="Times New Roman" w:hAnsi="Times New Roman"/>
          <w:b w:val="false"/>
          <w:i w:val="false"/>
          <w:color w:val="000000"/>
          <w:sz w:val="16"/>
        </w:rPr>
        <w:t>, IAB 3/8/23, effective 4/12/23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655—7.9</w:t>
      </w:r>
      <w:r>
        <w:rPr>
          <w:rFonts w:ascii="Times New Roman" w:hAnsi="Times New Roman"/>
          <w:b/>
          <w:i w:val="false"/>
          <w:color w:val="000000"/>
          <w:sz w:val="22"/>
        </w:rPr>
        <w:t xml:space="preserve">(152) </w:t>
      </w:r>
      <w:r>
        <w:rPr>
          <w:rFonts w:ascii="Times New Roman" w:hAnsi="Times New Roman"/>
          <w:b/>
          <w:i w:val="false"/>
          <w:color w:val="000000"/>
          <w:sz w:val="22"/>
        </w:rPr>
        <w:t xml:space="preserve">Standards of practice for telehealth.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w:t>
      </w:r>
      <w:r>
        <w:rPr>
          <w:rFonts w:ascii="Times New Roman" w:hAnsi="Times New Roman"/>
          <w:b w:val="false"/>
          <w:i w:val="false"/>
          <w:color w:val="000000"/>
          <w:sz w:val="22"/>
        </w:rPr>
        <w:t> </w:t>
      </w:r>
      <w:r>
        <w:rPr>
          <w:rFonts w:ascii="Times New Roman" w:hAnsi="Times New Roman"/>
          <w:b w:val="false"/>
          <w:i/>
          <w:color w:val="000000"/>
          <w:sz w:val="22"/>
        </w:rPr>
        <w:t xml:space="preserve">Telehealth permitted. </w:t>
      </w:r>
      <w:r>
        <w:rPr>
          <w:rFonts w:ascii="Times New Roman" w:hAnsi="Times New Roman"/>
          <w:b w:val="false"/>
          <w:i w:val="false"/>
          <w:color w:val="000000"/>
          <w:sz w:val="22"/>
        </w:rPr>
        <w:t>A licensee may, in accordance with all applicable laws and rules, provide health care services to a patient through telehealth.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7.9(2)</w:t>
      </w:r>
      <w:r>
        <w:rPr>
          <w:rFonts w:ascii="Times New Roman" w:hAnsi="Times New Roman"/>
          <w:b w:val="false"/>
          <w:i w:val="false"/>
          <w:color w:val="000000"/>
          <w:sz w:val="22"/>
        </w:rPr>
        <w:t> </w:t>
      </w:r>
      <w:r>
        <w:rPr>
          <w:rFonts w:ascii="Times New Roman" w:hAnsi="Times New Roman"/>
          <w:b w:val="false"/>
          <w:i/>
          <w:color w:val="000000"/>
          <w:sz w:val="22"/>
        </w:rPr>
        <w:t xml:space="preserve">License required. </w:t>
      </w:r>
      <w:r>
        <w:rPr>
          <w:rFonts w:ascii="Times New Roman" w:hAnsi="Times New Roman"/>
          <w:b w:val="false"/>
          <w:i w:val="false"/>
          <w:color w:val="000000"/>
          <w:sz w:val="22"/>
        </w:rPr>
        <w:t>An advanced registered nurse practitioner who provides services through telehealth to a patient physically located in Iowa must be licensed by the board. A licensee who provides services through telehealth to a patient physically located in another state shall be subject to the laws and jurisdiction of the state where the patient is physically located.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7.9(3)</w:t>
      </w:r>
      <w:r>
        <w:rPr>
          <w:rFonts w:ascii="Times New Roman" w:hAnsi="Times New Roman"/>
          <w:b w:val="false"/>
          <w:i w:val="false"/>
          <w:color w:val="000000"/>
          <w:sz w:val="22"/>
        </w:rPr>
        <w:t> </w:t>
      </w:r>
      <w:r>
        <w:rPr>
          <w:rFonts w:ascii="Times New Roman" w:hAnsi="Times New Roman"/>
          <w:b w:val="false"/>
          <w:i/>
          <w:color w:val="000000"/>
          <w:sz w:val="22"/>
        </w:rPr>
        <w:t xml:space="preserve">Standard of care.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who provides services through telehealth shall be held to the same standard of care as is applicable to in-person settings. A licensee shall not perform any service via telehealth unless the same standard of care can be achieved as if the service was performed in person.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Prior to initiating contact with a patient for the purpose of providing services to the patient using telehealth, a licensee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Review the patient’s history and all relevant medical records;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Determine as to each unique patient encounter whether the licensee will be able to provide the same standard of care using telehealth as would be provided if the services were provided in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7.9(4)</w:t>
      </w:r>
      <w:r>
        <w:rPr>
          <w:rFonts w:ascii="Times New Roman" w:hAnsi="Times New Roman"/>
          <w:b w:val="false"/>
          <w:i w:val="false"/>
          <w:color w:val="000000"/>
          <w:sz w:val="22"/>
        </w:rPr>
        <w:t> </w:t>
      </w:r>
      <w:r>
        <w:rPr>
          <w:rFonts w:ascii="Times New Roman" w:hAnsi="Times New Roman"/>
          <w:b w:val="false"/>
          <w:i/>
          <w:color w:val="000000"/>
          <w:sz w:val="22"/>
        </w:rPr>
        <w:t xml:space="preserve">Scope of practice. </w:t>
      </w:r>
      <w:r>
        <w:rPr>
          <w:rFonts w:ascii="Times New Roman" w:hAnsi="Times New Roman"/>
          <w:b w:val="false"/>
          <w:i w:val="false"/>
          <w:color w:val="000000"/>
          <w:sz w:val="22"/>
        </w:rPr>
        <w:t>A licensee who provides services through telehealth must practice within the licensee’s respective population foci and ensure the services provided are consistent with the licensee’s scope of practice, education, training, and experience.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7.9(5)</w:t>
      </w:r>
      <w:r>
        <w:rPr>
          <w:rFonts w:ascii="Times New Roman" w:hAnsi="Times New Roman"/>
          <w:b w:val="false"/>
          <w:i w:val="false"/>
          <w:color w:val="000000"/>
          <w:sz w:val="22"/>
        </w:rPr>
        <w:t> </w:t>
      </w:r>
      <w:r>
        <w:rPr>
          <w:rFonts w:ascii="Times New Roman" w:hAnsi="Times New Roman"/>
          <w:b w:val="false"/>
          <w:i/>
          <w:color w:val="000000"/>
          <w:sz w:val="22"/>
        </w:rPr>
        <w:t xml:space="preserve">Practitioner-patient relationship.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Prior to providing services through telehealth, the licensee shall first establish a practitioner-patient relationship. A practitioner-patient relationship is established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person with a health-related matter seeks assistance from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licensee agrees to provide services;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person agrees to be treated, or the person’s legal guardian or legal representative agrees to the person’s being treated, by the licensee regardless of whether there has been a previous in-person encounter between the licensee and the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practitioner-patient relationship can be established through an in-person encounter, consultation with another licensee or health care provider, or telehealth encounter.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paragraphs </w:t>
      </w:r>
      <w:hyperlink r:id="rId15">
        <w:r>
          <w:rPr>
            <w:rStyle w:val="Hyperlink"/>
            <w:rFonts w:ascii="Times New Roman" w:hAnsi="Times New Roman"/>
            <w:b w:val="false"/>
            <w:i w:val="false"/>
            <w:color w:val="000000"/>
            <w:sz w:val="22"/>
          </w:rPr>
          <w:t>7.9(5)</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services may be provided through telehealth without first establishing a practitioner-patient relationship in the following settings or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Institutional settings;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Licensed or certified nursing facilities, residential care facilities, intermediate care facilities, assisted living facilities, and hospice settings;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 response to an emergency or disaster;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Informal consultations with another health care provider performed by a licensee outside of the context of a contractual relationship, or on an irregular or infrequent basis, without the expectation or exchange of direct or indirect compensation;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Episodic consultations by a specialist located in another jurisdiction who provides consultation services upon request to a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substitute licensee acting on behalf and at the designation of an absent licensee or other health care provider in the same specialty on an on-call or cross-coverage basis;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When a sexually transmitted disease has been diagnosed in a patient, a licensee prescribes or dispenses antibiotics to the patient’s named sexual partner(s) for the treatment of the sexually transmitted disease as recommended by the U.S. Centers for Disease Control and Prevention.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7.9(6)</w:t>
      </w:r>
      <w:r>
        <w:rPr>
          <w:rFonts w:ascii="Times New Roman" w:hAnsi="Times New Roman"/>
          <w:b w:val="false"/>
          <w:i w:val="false"/>
          <w:color w:val="000000"/>
          <w:sz w:val="22"/>
        </w:rPr>
        <w:t> </w:t>
      </w:r>
      <w:r>
        <w:rPr>
          <w:rFonts w:ascii="Times New Roman" w:hAnsi="Times New Roman"/>
          <w:b w:val="false"/>
          <w:i/>
          <w:color w:val="000000"/>
          <w:sz w:val="22"/>
        </w:rPr>
        <w:t xml:space="preserve">Consent to telehealth. </w:t>
      </w:r>
      <w:r>
        <w:rPr>
          <w:rFonts w:ascii="Times New Roman" w:hAnsi="Times New Roman"/>
          <w:b w:val="false"/>
          <w:i w:val="false"/>
          <w:color w:val="000000"/>
          <w:sz w:val="22"/>
        </w:rPr>
        <w:t>Prior to providing services via telehealth, the licensee shall obtain consent from the patient, or the patient’s legal guardian or legal representative, to receive services via telehealth.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7.9(7)</w:t>
      </w:r>
      <w:r>
        <w:rPr>
          <w:rFonts w:ascii="Times New Roman" w:hAnsi="Times New Roman"/>
          <w:b w:val="false"/>
          <w:i w:val="false"/>
          <w:color w:val="000000"/>
          <w:sz w:val="22"/>
        </w:rPr>
        <w:t> </w:t>
      </w:r>
      <w:r>
        <w:rPr>
          <w:rFonts w:ascii="Times New Roman" w:hAnsi="Times New Roman"/>
          <w:b w:val="false"/>
          <w:i/>
          <w:color w:val="000000"/>
          <w:sz w:val="22"/>
        </w:rPr>
        <w:t xml:space="preserve">Technology. </w:t>
      </w:r>
      <w:r>
        <w:rPr>
          <w:rFonts w:ascii="Times New Roman" w:hAnsi="Times New Roman"/>
          <w:b w:val="false"/>
          <w:i w:val="false"/>
          <w:color w:val="000000"/>
          <w:sz w:val="22"/>
        </w:rPr>
        <w:t>A licensee providing services through telehealth shall utilize technology that is secure and compliant with the Health Insurance Portability and Accountability Act (HIPAA). The technology must be of sufficient quality, size, resolution, and clarity such that the licensee can safely and effectively provide the telehealth services and abide by the applicable standard of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7.9(8)</w:t>
      </w:r>
      <w:r>
        <w:rPr>
          <w:rFonts w:ascii="Times New Roman" w:hAnsi="Times New Roman"/>
          <w:b w:val="false"/>
          <w:i w:val="false"/>
          <w:color w:val="000000"/>
          <w:sz w:val="22"/>
        </w:rPr>
        <w:t> </w:t>
      </w:r>
      <w:r>
        <w:rPr>
          <w:rFonts w:ascii="Times New Roman" w:hAnsi="Times New Roman"/>
          <w:b w:val="false"/>
          <w:i/>
          <w:color w:val="000000"/>
          <w:sz w:val="22"/>
        </w:rPr>
        <w:t xml:space="preserve">Prescriptions. </w:t>
      </w:r>
      <w:r>
        <w:rPr>
          <w:rFonts w:ascii="Times New Roman" w:hAnsi="Times New Roman"/>
          <w:b w:val="false"/>
          <w:i w:val="false"/>
          <w:color w:val="000000"/>
          <w:sz w:val="22"/>
        </w:rPr>
        <w:t xml:space="preserve">A licensee providing services through telehealth may issue a prescription to a patient as long as the issuance of such prescription is consistent with the standard of care applicable to the in-person setting.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7.9(9)</w:t>
      </w:r>
      <w:r>
        <w:rPr>
          <w:rFonts w:ascii="Times New Roman" w:hAnsi="Times New Roman"/>
          <w:b w:val="false"/>
          <w:i w:val="false"/>
          <w:color w:val="000000"/>
          <w:sz w:val="22"/>
        </w:rPr>
        <w:t> </w:t>
      </w:r>
      <w:r>
        <w:rPr>
          <w:rFonts w:ascii="Times New Roman" w:hAnsi="Times New Roman"/>
          <w:b w:val="false"/>
          <w:i/>
          <w:color w:val="000000"/>
          <w:sz w:val="22"/>
        </w:rPr>
        <w:t xml:space="preserve">Records. </w:t>
      </w:r>
      <w:r>
        <w:rPr>
          <w:rFonts w:ascii="Times New Roman" w:hAnsi="Times New Roman"/>
          <w:b w:val="false"/>
          <w:i w:val="false"/>
          <w:color w:val="000000"/>
          <w:sz w:val="22"/>
        </w:rPr>
        <w:t>A licensee who provides services through telehealth shall maintain a record of the care provided to the patient. Such records shall comply with all applicable laws, rules, standards of care for recordkeeping, confidentiality, and disclosure of a patient’s medical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7.9(10)</w:t>
      </w:r>
      <w:r>
        <w:rPr>
          <w:rFonts w:ascii="Times New Roman" w:hAnsi="Times New Roman"/>
          <w:b w:val="false"/>
          <w:i w:val="false"/>
          <w:color w:val="000000"/>
          <w:sz w:val="22"/>
        </w:rPr>
        <w:t> </w:t>
      </w:r>
      <w:r>
        <w:rPr>
          <w:rFonts w:ascii="Times New Roman" w:hAnsi="Times New Roman"/>
          <w:b w:val="false"/>
          <w:i/>
          <w:color w:val="000000"/>
          <w:sz w:val="22"/>
        </w:rPr>
        <w:t xml:space="preserve">Follow-up care. </w:t>
      </w:r>
      <w:r>
        <w:rPr>
          <w:rFonts w:ascii="Times New Roman" w:hAnsi="Times New Roman"/>
          <w:b w:val="false"/>
          <w:i w:val="false"/>
          <w:color w:val="000000"/>
          <w:sz w:val="22"/>
        </w:rPr>
        <w:t>A licensee who provides services through telehealth shall refer a patient for follow-up care when required by the standard of care.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6317C</w:t>
      </w:r>
      <w:r>
        <w:rPr>
          <w:rFonts w:ascii="Times New Roman" w:hAnsi="Times New Roman"/>
          <w:b w:val="false"/>
          <w:i w:val="false"/>
          <w:color w:val="000000"/>
          <w:sz w:val="16"/>
        </w:rPr>
        <w:t>, IAB 5/18/22, effective 6/22/22</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6">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124.551A</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124.552</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147.2</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147.10</w:t>
        </w:r>
      </w:hyperlink>
      <w:r>
        <w:rPr>
          <w:rFonts w:ascii="Times New Roman" w:hAnsi="Times New Roman"/>
          <w:b w:val="false"/>
          <w:i w:val="false"/>
          <w:color w:val="000000"/>
          <w:sz w:val="22"/>
        </w:rPr>
        <w:t xml:space="preserve">, </w:t>
      </w:r>
      <w:hyperlink r:id="rId21">
        <w:r>
          <w:rPr>
            <w:rStyle w:val="Hyperlink"/>
            <w:rFonts w:ascii="Times New Roman" w:hAnsi="Times New Roman"/>
            <w:b w:val="false"/>
            <w:i w:val="false"/>
            <w:color w:val="000000"/>
            <w:sz w:val="22"/>
          </w:rPr>
          <w:t>147.11</w:t>
        </w:r>
      </w:hyperlink>
      <w:r>
        <w:rPr>
          <w:rFonts w:ascii="Times New Roman" w:hAnsi="Times New Roman"/>
          <w:b w:val="false"/>
          <w:i w:val="false"/>
          <w:color w:val="000000"/>
          <w:sz w:val="22"/>
        </w:rPr>
        <w:t xml:space="preserve">, </w:t>
      </w:r>
      <w:hyperlink r:id="rId22">
        <w:r>
          <w:rPr>
            <w:rStyle w:val="Hyperlink"/>
            <w:rFonts w:ascii="Times New Roman" w:hAnsi="Times New Roman"/>
            <w:b w:val="false"/>
            <w:i w:val="false"/>
            <w:color w:val="000000"/>
            <w:sz w:val="22"/>
          </w:rPr>
          <w:t>147.72</w:t>
        </w:r>
      </w:hyperlink>
      <w:r>
        <w:rPr>
          <w:rFonts w:ascii="Times New Roman" w:hAnsi="Times New Roman"/>
          <w:b w:val="false"/>
          <w:i w:val="false"/>
          <w:color w:val="000000"/>
          <w:sz w:val="22"/>
        </w:rPr>
        <w:t xml:space="preserve">, </w:t>
      </w:r>
      <w:hyperlink r:id="rId23">
        <w:r>
          <w:rPr>
            <w:rStyle w:val="Hyperlink"/>
            <w:rFonts w:ascii="Times New Roman" w:hAnsi="Times New Roman"/>
            <w:b w:val="false"/>
            <w:i w:val="false"/>
            <w:color w:val="000000"/>
            <w:sz w:val="22"/>
          </w:rPr>
          <w:t>147.74</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147.76</w:t>
        </w:r>
      </w:hyperlink>
      <w:r>
        <w:rPr>
          <w:rFonts w:ascii="Times New Roman" w:hAnsi="Times New Roman"/>
          <w:b w:val="false"/>
          <w:i w:val="false"/>
          <w:color w:val="000000"/>
          <w:sz w:val="22"/>
        </w:rPr>
        <w:t xml:space="preserve">, </w:t>
      </w:r>
      <w:hyperlink r:id="rId25">
        <w:r>
          <w:rPr>
            <w:rStyle w:val="Hyperlink"/>
            <w:rFonts w:ascii="Times New Roman" w:hAnsi="Times New Roman"/>
            <w:b w:val="false"/>
            <w:i w:val="false"/>
            <w:color w:val="000000"/>
            <w:sz w:val="22"/>
          </w:rPr>
          <w:t>147.80</w:t>
        </w:r>
      </w:hyperlink>
      <w:r>
        <w:rPr>
          <w:rFonts w:ascii="Times New Roman" w:hAnsi="Times New Roman"/>
          <w:b w:val="false"/>
          <w:i w:val="false"/>
          <w:color w:val="000000"/>
          <w:sz w:val="22"/>
        </w:rPr>
        <w:t xml:space="preserve">, </w:t>
      </w:r>
      <w:hyperlink r:id="rId26">
        <w:r>
          <w:rPr>
            <w:rStyle w:val="Hyperlink"/>
            <w:rFonts w:ascii="Times New Roman" w:hAnsi="Times New Roman"/>
            <w:b w:val="false"/>
            <w:i w:val="false"/>
            <w:color w:val="000000"/>
            <w:sz w:val="22"/>
          </w:rPr>
          <w:t>147.107</w:t>
        </w:r>
      </w:hyperlink>
      <w:r>
        <w:rPr>
          <w:rFonts w:ascii="Times New Roman" w:hAnsi="Times New Roman"/>
          <w:b w:val="false"/>
          <w:i w:val="false"/>
          <w:color w:val="000000"/>
          <w:sz w:val="22"/>
        </w:rPr>
        <w:t xml:space="preserve">, </w:t>
      </w:r>
      <w:hyperlink r:id="rId27">
        <w:r>
          <w:rPr>
            <w:rStyle w:val="Hyperlink"/>
            <w:rFonts w:ascii="Times New Roman" w:hAnsi="Times New Roman"/>
            <w:b w:val="false"/>
            <w:i w:val="false"/>
            <w:color w:val="000000"/>
            <w:sz w:val="22"/>
          </w:rPr>
          <w:t>152.1</w:t>
        </w:r>
      </w:hyperlink>
      <w:r>
        <w:rPr>
          <w:rFonts w:ascii="Times New Roman" w:hAnsi="Times New Roman"/>
          <w:b w:val="false"/>
          <w:i w:val="false"/>
          <w:color w:val="000000"/>
          <w:sz w:val="22"/>
        </w:rPr>
        <w:t xml:space="preserve">, </w:t>
      </w:r>
      <w:hyperlink r:id="rId28">
        <w:r>
          <w:rPr>
            <w:rStyle w:val="Hyperlink"/>
            <w:rFonts w:ascii="Times New Roman" w:hAnsi="Times New Roman"/>
            <w:b w:val="false"/>
            <w:i w:val="false"/>
            <w:color w:val="000000"/>
            <w:sz w:val="22"/>
          </w:rPr>
          <w:t>152.6</w:t>
        </w:r>
      </w:hyperlink>
      <w:r>
        <w:rPr>
          <w:rFonts w:ascii="Times New Roman" w:hAnsi="Times New Roman"/>
          <w:b w:val="false"/>
          <w:i w:val="false"/>
          <w:color w:val="000000"/>
          <w:sz w:val="22"/>
        </w:rPr>
        <w:t xml:space="preserve">, </w:t>
      </w:r>
      <w:hyperlink r:id="rId29">
        <w:r>
          <w:rPr>
            <w:rStyle w:val="Hyperlink"/>
            <w:rFonts w:ascii="Times New Roman" w:hAnsi="Times New Roman"/>
            <w:b w:val="false"/>
            <w:i w:val="false"/>
            <w:color w:val="000000"/>
            <w:sz w:val="22"/>
          </w:rPr>
          <w:t>152.7</w:t>
        </w:r>
      </w:hyperlink>
      <w:r>
        <w:rPr>
          <w:rFonts w:ascii="Times New Roman" w:hAnsi="Times New Roman"/>
          <w:b w:val="false"/>
          <w:i w:val="false"/>
          <w:color w:val="000000"/>
          <w:sz w:val="22"/>
        </w:rPr>
        <w:t xml:space="preserve">, and </w:t>
      </w:r>
      <w:hyperlink r:id="rId30">
        <w:r>
          <w:rPr>
            <w:rStyle w:val="Hyperlink"/>
            <w:rFonts w:ascii="Times New Roman" w:hAnsi="Times New Roman"/>
            <w:b w:val="false"/>
            <w:i w:val="false"/>
            <w:color w:val="000000"/>
            <w:sz w:val="22"/>
          </w:rPr>
          <w:t>272C.2C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2/11/83, Notice 9/1/82—published 3/2/83, effective 4/6/83]</w:t>
      </w:r>
    </w:p>
    <w:p>
      <w:pPr>
        <w:spacing w:before="0" w:after="0"/>
        <w:ind w:left="120"/>
        <w:jc w:val="center"/>
      </w:pPr>
      <w:r>
        <w:rPr>
          <w:rFonts w:ascii="Times New Roman" w:hAnsi="Times New Roman"/>
          <w:b w:val="false"/>
          <w:i w:val="false"/>
          <w:color w:val="000000"/>
          <w:sz w:val="21"/>
        </w:rPr>
        <w:t>[Filed emergency 3/25/83—published 4/13/83, effective 4/6/83]</w:t>
      </w:r>
    </w:p>
    <w:p>
      <w:pPr>
        <w:spacing w:before="0" w:after="0"/>
        <w:ind w:left="120"/>
        <w:jc w:val="center"/>
      </w:pPr>
      <w:r>
        <w:rPr>
          <w:rFonts w:ascii="Times New Roman" w:hAnsi="Times New Roman"/>
          <w:b w:val="false"/>
          <w:i w:val="false"/>
          <w:color w:val="000000"/>
          <w:sz w:val="21"/>
        </w:rPr>
        <w:t>[Filed 5/18/83, Notice 4/13/83—published 6/8/83, effective 7/13/83]</w:t>
      </w:r>
    </w:p>
    <w:p>
      <w:pPr>
        <w:spacing w:before="0" w:after="0"/>
        <w:ind w:left="120"/>
        <w:jc w:val="center"/>
      </w:pPr>
      <w:r>
        <w:rPr>
          <w:rFonts w:ascii="Times New Roman" w:hAnsi="Times New Roman"/>
          <w:b w:val="false"/>
          <w:i w:val="false"/>
          <w:color w:val="000000"/>
          <w:sz w:val="21"/>
        </w:rPr>
        <w:t>[Filed emergency 5/31/83—published 6/22/83, effective 7/13/83]</w:t>
      </w:r>
    </w:p>
    <w:p>
      <w:pPr>
        <w:spacing w:before="0" w:after="0"/>
        <w:ind w:left="120"/>
        <w:jc w:val="center"/>
      </w:pPr>
      <w:r>
        <w:rPr>
          <w:rFonts w:ascii="Times New Roman" w:hAnsi="Times New Roman"/>
          <w:b w:val="false"/>
          <w:i w:val="false"/>
          <w:color w:val="000000"/>
          <w:sz w:val="21"/>
        </w:rPr>
        <w:t>[Filed 7/29/83, Notice 5/11/83—published 8/17/83, effective 9/21/83]</w:t>
      </w:r>
    </w:p>
    <w:p>
      <w:pPr>
        <w:spacing w:before="0" w:after="0"/>
        <w:ind w:left="120"/>
        <w:jc w:val="center"/>
      </w:pPr>
      <w:r>
        <w:rPr>
          <w:rFonts w:ascii="Times New Roman" w:hAnsi="Times New Roman"/>
          <w:b w:val="false"/>
          <w:i w:val="false"/>
          <w:color w:val="000000"/>
          <w:sz w:val="21"/>
        </w:rPr>
        <w:t>[Filed 4/20/84, Notice 2/29/84—published 5/9/84, effective 6/13/84]</w:t>
      </w:r>
    </w:p>
    <w:p>
      <w:pPr>
        <w:spacing w:before="0" w:after="0"/>
        <w:ind w:left="120"/>
        <w:jc w:val="center"/>
      </w:pPr>
      <w:r>
        <w:rPr>
          <w:rFonts w:ascii="Times New Roman" w:hAnsi="Times New Roman"/>
          <w:b w:val="false"/>
          <w:i w:val="false"/>
          <w:color w:val="000000"/>
          <w:sz w:val="21"/>
        </w:rPr>
        <w:t>[Filed 7/26/84, Notice 6/20/84—published 8/15/84, effective 9/19/84]</w:t>
      </w:r>
    </w:p>
    <w:p>
      <w:pPr>
        <w:spacing w:before="0" w:after="0"/>
        <w:ind w:left="120"/>
        <w:jc w:val="center"/>
      </w:pPr>
      <w:r>
        <w:rPr>
          <w:rFonts w:ascii="Times New Roman" w:hAnsi="Times New Roman"/>
          <w:b w:val="false"/>
          <w:i w:val="false"/>
          <w:color w:val="000000"/>
          <w:sz w:val="21"/>
        </w:rPr>
        <w:t>[Filed 10/17/84, Notice 8/29/84—published 11/7/84, effective 12/12/84]</w:t>
      </w:r>
    </w:p>
    <w:p>
      <w:pPr>
        <w:spacing w:before="0" w:after="0"/>
        <w:ind w:left="120"/>
        <w:jc w:val="center"/>
      </w:pPr>
      <w:r>
        <w:rPr>
          <w:rFonts w:ascii="Times New Roman" w:hAnsi="Times New Roman"/>
          <w:b w:val="false"/>
          <w:i w:val="false"/>
          <w:color w:val="000000"/>
          <w:sz w:val="21"/>
        </w:rPr>
        <w:t>[Filed 12/8/86, Notice 10/22/86—published 12/31/86, effective 2/4/87]</w:t>
      </w:r>
    </w:p>
    <w:p>
      <w:pPr>
        <w:spacing w:before="0" w:after="0"/>
        <w:ind w:left="120"/>
        <w:jc w:val="center"/>
      </w:pPr>
      <w:r>
        <w:rPr>
          <w:rFonts w:ascii="Times New Roman" w:hAnsi="Times New Roman"/>
          <w:b w:val="false"/>
          <w:i w:val="false"/>
          <w:color w:val="000000"/>
          <w:sz w:val="21"/>
        </w:rPr>
        <w:t>[Filed emergency 7/29/87—published 8/26/87, effective 7/29/87]</w:t>
      </w:r>
    </w:p>
    <w:p>
      <w:pPr>
        <w:spacing w:before="0" w:after="0"/>
        <w:ind w:left="120"/>
        <w:jc w:val="center"/>
      </w:pPr>
      <w:r>
        <w:rPr>
          <w:rFonts w:ascii="Times New Roman" w:hAnsi="Times New Roman"/>
          <w:b w:val="false"/>
          <w:i w:val="false"/>
          <w:color w:val="000000"/>
          <w:sz w:val="21"/>
        </w:rPr>
        <w:t>[Filed 7/7/89, Notice 4/5/89—published 7/26/89, effective 8/30/89]</w:t>
      </w:r>
    </w:p>
    <w:p>
      <w:pPr>
        <w:spacing w:before="0" w:after="0"/>
        <w:ind w:left="120"/>
        <w:jc w:val="center"/>
      </w:pPr>
      <w:r>
        <w:rPr>
          <w:rFonts w:ascii="Times New Roman" w:hAnsi="Times New Roman"/>
          <w:b w:val="false"/>
          <w:i w:val="false"/>
          <w:color w:val="000000"/>
          <w:sz w:val="21"/>
        </w:rPr>
        <w:t>[Filed 3/12/91, Notice 1/9/91—published 4/3/91, effective 5/8/91]</w:t>
      </w:r>
    </w:p>
    <w:p>
      <w:pPr>
        <w:spacing w:before="0" w:after="0"/>
        <w:ind w:left="120"/>
        <w:jc w:val="center"/>
      </w:pPr>
      <w:r>
        <w:rPr>
          <w:rFonts w:ascii="Times New Roman" w:hAnsi="Times New Roman"/>
          <w:b w:val="false"/>
          <w:i w:val="false"/>
          <w:color w:val="000000"/>
          <w:sz w:val="21"/>
        </w:rPr>
        <w:t>[Filed emergency 2/20/92—published 3/18/92, effective 2/20/92]</w:t>
      </w:r>
    </w:p>
    <w:p>
      <w:pPr>
        <w:spacing w:before="0" w:after="0"/>
        <w:ind w:left="120"/>
        <w:jc w:val="center"/>
      </w:pPr>
      <w:r>
        <w:rPr>
          <w:rFonts w:ascii="Times New Roman" w:hAnsi="Times New Roman"/>
          <w:b w:val="false"/>
          <w:i w:val="false"/>
          <w:color w:val="000000"/>
          <w:sz w:val="21"/>
        </w:rPr>
        <w:t>[Filed 12/9/92, Notice 10/14/92—published 1/6/93, effective 2/10/93]</w:t>
      </w:r>
    </w:p>
    <w:p>
      <w:pPr>
        <w:spacing w:before="0" w:after="0"/>
        <w:ind w:left="120"/>
        <w:jc w:val="center"/>
      </w:pPr>
      <w:r>
        <w:rPr>
          <w:rFonts w:ascii="Times New Roman" w:hAnsi="Times New Roman"/>
          <w:b w:val="false"/>
          <w:i w:val="false"/>
          <w:color w:val="000000"/>
          <w:sz w:val="21"/>
        </w:rPr>
        <w:t>[Filed emergency 1/14/93—published 2/3/93, effective 2/10/93]</w:t>
      </w:r>
    </w:p>
    <w:p>
      <w:pPr>
        <w:spacing w:before="0" w:after="0"/>
        <w:ind w:left="120"/>
        <w:jc w:val="center"/>
      </w:pPr>
      <w:r>
        <w:rPr>
          <w:rFonts w:ascii="Times New Roman" w:hAnsi="Times New Roman"/>
          <w:b w:val="false"/>
          <w:i w:val="false"/>
          <w:color w:val="000000"/>
          <w:sz w:val="21"/>
        </w:rPr>
        <w:t>[Filed emergency 2/10/93 after Notice 1/6/93—published 3/3/93, effective 2/10/93]</w:t>
      </w:r>
    </w:p>
    <w:p>
      <w:pPr>
        <w:spacing w:before="0" w:after="0"/>
        <w:ind w:left="120"/>
        <w:jc w:val="center"/>
      </w:pPr>
      <w:r>
        <w:rPr>
          <w:rFonts w:ascii="Times New Roman" w:hAnsi="Times New Roman"/>
          <w:b w:val="false"/>
          <w:i w:val="false"/>
          <w:color w:val="000000"/>
          <w:sz w:val="21"/>
        </w:rPr>
        <w:t>[Filed 11/16/94, Notice 7/6/94—published 12/7/94, effective 1/11/95]</w:t>
      </w:r>
    </w:p>
    <w:p>
      <w:pPr>
        <w:spacing w:before="0" w:after="0"/>
        <w:ind w:left="120"/>
        <w:jc w:val="center"/>
      </w:pPr>
      <w:r>
        <w:rPr>
          <w:rFonts w:ascii="Times New Roman" w:hAnsi="Times New Roman"/>
          <w:b w:val="false"/>
          <w:i w:val="false"/>
          <w:color w:val="000000"/>
          <w:sz w:val="21"/>
        </w:rPr>
        <w:t>[Filed 12/19/97, Notice 10/22/97—published 1/14/98, effective 2/18/98]</w:t>
      </w:r>
    </w:p>
    <w:p>
      <w:pPr>
        <w:spacing w:before="0" w:after="0"/>
        <w:ind w:left="120"/>
        <w:jc w:val="center"/>
      </w:pPr>
      <w:r>
        <w:rPr>
          <w:rFonts w:ascii="Times New Roman" w:hAnsi="Times New Roman"/>
          <w:b w:val="false"/>
          <w:i w:val="false"/>
          <w:color w:val="000000"/>
          <w:sz w:val="21"/>
        </w:rPr>
        <w:t>[Filed 9/28/99, Notice 8/25/99—published 10/20/99, effective 11/24/99]</w:t>
      </w:r>
    </w:p>
    <w:p>
      <w:pPr>
        <w:spacing w:before="0" w:after="0"/>
        <w:ind w:left="120"/>
        <w:jc w:val="center"/>
      </w:pPr>
      <w:r>
        <w:rPr>
          <w:rFonts w:ascii="Times New Roman" w:hAnsi="Times New Roman"/>
          <w:b w:val="false"/>
          <w:i w:val="false"/>
          <w:color w:val="000000"/>
          <w:sz w:val="21"/>
        </w:rPr>
        <w:t>[Filed 12/10/99, Notice 10/6/99—published 12/29/99, effective 2/2/00]</w:t>
      </w:r>
    </w:p>
    <w:p>
      <w:pPr>
        <w:spacing w:before="0" w:after="0"/>
        <w:ind w:left="120"/>
        <w:jc w:val="center"/>
      </w:pPr>
      <w:r>
        <w:rPr>
          <w:rFonts w:ascii="Times New Roman" w:hAnsi="Times New Roman"/>
          <w:b w:val="false"/>
          <w:i w:val="false"/>
          <w:color w:val="000000"/>
          <w:sz w:val="21"/>
        </w:rPr>
        <w:t>[Filed emergency 6/9/00—published 6/28/00, effective 6/30/00]</w:t>
      </w:r>
    </w:p>
    <w:p>
      <w:pPr>
        <w:spacing w:before="0" w:after="0"/>
        <w:ind w:left="120"/>
        <w:jc w:val="center"/>
      </w:pPr>
      <w:r>
        <w:rPr>
          <w:rFonts w:ascii="Times New Roman" w:hAnsi="Times New Roman"/>
          <w:b w:val="false"/>
          <w:i w:val="false"/>
          <w:color w:val="000000"/>
          <w:sz w:val="21"/>
        </w:rPr>
        <w:t>[Filed 9/15/00, Notice 6/28/00—published 10/4/00, effective 11/8/00]</w:t>
      </w:r>
    </w:p>
    <w:p>
      <w:pPr>
        <w:spacing w:before="0" w:after="0"/>
        <w:ind w:left="120"/>
        <w:jc w:val="center"/>
      </w:pPr>
      <w:r>
        <w:rPr>
          <w:rFonts w:ascii="Times New Roman" w:hAnsi="Times New Roman"/>
          <w:b w:val="false"/>
          <w:i w:val="false"/>
          <w:color w:val="000000"/>
          <w:sz w:val="21"/>
        </w:rPr>
        <w:t>[Filed emergency 3/2/01—published 3/21/01, effective 3/2/01]</w:t>
      </w:r>
    </w:p>
    <w:p>
      <w:pPr>
        <w:spacing w:before="0" w:after="0"/>
        <w:ind w:left="120"/>
        <w:jc w:val="center"/>
      </w:pPr>
      <w:r>
        <w:rPr>
          <w:rFonts w:ascii="Times New Roman" w:hAnsi="Times New Roman"/>
          <w:b w:val="false"/>
          <w:i w:val="false"/>
          <w:color w:val="000000"/>
          <w:sz w:val="21"/>
        </w:rPr>
        <w:t>[Filed 9/28/01, Notice 6/27/01—published 10/17/01, effective 11/21/01]</w:t>
      </w:r>
    </w:p>
    <w:p>
      <w:pPr>
        <w:spacing w:before="0" w:after="0"/>
        <w:ind w:left="120"/>
        <w:jc w:val="center"/>
      </w:pPr>
      <w:r>
        <w:rPr>
          <w:rFonts w:ascii="Times New Roman" w:hAnsi="Times New Roman"/>
          <w:b w:val="false"/>
          <w:i w:val="false"/>
          <w:color w:val="000000"/>
          <w:sz w:val="21"/>
        </w:rPr>
        <w:t>[Filed ARC 7888B</w:t>
      </w:r>
      <w:r>
        <w:rPr>
          <w:rFonts w:ascii="Times New Roman" w:hAnsi="Times New Roman"/>
          <w:b w:val="false"/>
          <w:i w:val="false"/>
          <w:color w:val="000000"/>
          <w:sz w:val="21"/>
        </w:rPr>
        <w:t xml:space="preserve"> (Notice ARC 7714B, IAB 4/22/09)</w:t>
      </w:r>
      <w:r>
        <w:rPr>
          <w:rFonts w:ascii="Times New Roman" w:hAnsi="Times New Roman"/>
          <w:b w:val="false"/>
          <w:i w:val="false"/>
          <w:color w:val="000000"/>
          <w:sz w:val="21"/>
        </w:rPr>
        <w:t>, IAB 7/1/09, effective 8/5/09]</w:t>
      </w:r>
    </w:p>
    <w:p>
      <w:pPr>
        <w:spacing w:before="0" w:after="0"/>
        <w:ind w:left="120"/>
        <w:jc w:val="center"/>
      </w:pPr>
      <w:r>
        <w:rPr>
          <w:rFonts w:ascii="Times New Roman" w:hAnsi="Times New Roman"/>
          <w:b w:val="false"/>
          <w:i w:val="false"/>
          <w:color w:val="000000"/>
          <w:sz w:val="21"/>
        </w:rPr>
        <w:t>[Filed ARC 2502C</w:t>
      </w:r>
      <w:r>
        <w:rPr>
          <w:rFonts w:ascii="Times New Roman" w:hAnsi="Times New Roman"/>
          <w:b w:val="false"/>
          <w:i w:val="false"/>
          <w:color w:val="000000"/>
          <w:sz w:val="21"/>
        </w:rPr>
        <w:t xml:space="preserve"> (Notice ARC 2345C, IAB 1/6/16)</w:t>
      </w:r>
      <w:r>
        <w:rPr>
          <w:rFonts w:ascii="Times New Roman" w:hAnsi="Times New Roman"/>
          <w:b w:val="false"/>
          <w:i w:val="false"/>
          <w:color w:val="000000"/>
          <w:sz w:val="21"/>
        </w:rPr>
        <w:t>, IAB 4/27/16, effective 6/1/16]</w:t>
      </w:r>
    </w:p>
    <w:p>
      <w:pPr>
        <w:spacing w:before="0" w:after="0"/>
        <w:ind w:left="120"/>
        <w:jc w:val="center"/>
      </w:pPr>
      <w:r>
        <w:rPr>
          <w:rFonts w:ascii="Times New Roman" w:hAnsi="Times New Roman"/>
          <w:b w:val="false"/>
          <w:i w:val="false"/>
          <w:color w:val="000000"/>
          <w:sz w:val="21"/>
        </w:rPr>
        <w:t>[Filed ARC 4308C</w:t>
      </w:r>
      <w:r>
        <w:rPr>
          <w:rFonts w:ascii="Times New Roman" w:hAnsi="Times New Roman"/>
          <w:b w:val="false"/>
          <w:i w:val="false"/>
          <w:color w:val="000000"/>
          <w:sz w:val="21"/>
        </w:rPr>
        <w:t xml:space="preserve"> (Notice ARC 4132C, IAB 11/21/18)</w:t>
      </w:r>
      <w:r>
        <w:rPr>
          <w:rFonts w:ascii="Times New Roman" w:hAnsi="Times New Roman"/>
          <w:b w:val="false"/>
          <w:i w:val="false"/>
          <w:color w:val="000000"/>
          <w:sz w:val="21"/>
        </w:rPr>
        <w:t>, IAB 2/13/19, effective 3/20/19]</w:t>
      </w:r>
    </w:p>
    <w:p>
      <w:pPr>
        <w:spacing w:before="0" w:after="0"/>
        <w:ind w:left="120"/>
        <w:jc w:val="center"/>
      </w:pPr>
      <w:r>
        <w:rPr>
          <w:rFonts w:ascii="Times New Roman" w:hAnsi="Times New Roman"/>
          <w:b w:val="false"/>
          <w:i w:val="false"/>
          <w:color w:val="000000"/>
          <w:sz w:val="21"/>
        </w:rPr>
        <w:t>[Filed ARC 6317C</w:t>
      </w:r>
      <w:r>
        <w:rPr>
          <w:rFonts w:ascii="Times New Roman" w:hAnsi="Times New Roman"/>
          <w:b w:val="false"/>
          <w:i w:val="false"/>
          <w:color w:val="000000"/>
          <w:sz w:val="21"/>
        </w:rPr>
        <w:t xml:space="preserve"> (Notice ARC 6205C, IAB 2/23/22)</w:t>
      </w:r>
      <w:r>
        <w:rPr>
          <w:rFonts w:ascii="Times New Roman" w:hAnsi="Times New Roman"/>
          <w:b w:val="false"/>
          <w:i w:val="false"/>
          <w:color w:val="000000"/>
          <w:sz w:val="21"/>
        </w:rPr>
        <w:t>, IAB 5/18/22, effective 6/22/22]</w:t>
      </w:r>
    </w:p>
    <w:p>
      <w:pPr>
        <w:spacing w:before="0" w:after="0"/>
        <w:ind w:left="120"/>
        <w:jc w:val="center"/>
      </w:pPr>
      <w:r>
        <w:rPr>
          <w:rFonts w:ascii="Times New Roman" w:hAnsi="Times New Roman"/>
          <w:b w:val="false"/>
          <w:i w:val="false"/>
          <w:color w:val="000000"/>
          <w:sz w:val="21"/>
        </w:rPr>
        <w:t>[Filed ARC 6950C</w:t>
      </w:r>
      <w:r>
        <w:rPr>
          <w:rFonts w:ascii="Times New Roman" w:hAnsi="Times New Roman"/>
          <w:b w:val="false"/>
          <w:i w:val="false"/>
          <w:color w:val="000000"/>
          <w:sz w:val="21"/>
        </w:rPr>
        <w:t xml:space="preserve"> (Notice ARC 6697C, IAB 11/30/22)</w:t>
      </w:r>
      <w:r>
        <w:rPr>
          <w:rFonts w:ascii="Times New Roman" w:hAnsi="Times New Roman"/>
          <w:b w:val="false"/>
          <w:i w:val="false"/>
          <w:color w:val="000000"/>
          <w:sz w:val="21"/>
        </w:rPr>
        <w:t>, IAB 3/8/23, effective 4/12/23]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52.pdf" Type="http://schemas.openxmlformats.org/officeDocument/2006/relationships/hyperlink" Id="rId5"/>
    <Relationship TargetMode="External" Target="https://www.legis.iowa.gov/docs/ico/chapter/152E.pdf" Type="http://schemas.openxmlformats.org/officeDocument/2006/relationships/hyperlink" Id="rId6"/>
    <Relationship TargetMode="External" Target="https://www.legis.iowa.gov/docs/ico/chapter/124.pdf" Type="http://schemas.openxmlformats.org/officeDocument/2006/relationships/hyperlink" Id="rId7"/>
    <Relationship TargetMode="External" Target="https://www.legis.iowa.gov/docs/ico/chapter/152E.pdf" Type="http://schemas.openxmlformats.org/officeDocument/2006/relationships/hyperlink" Id="rId8"/>
    <Relationship TargetMode="External" Target="https://www.legis.iowa.gov/docs/ico/chapter/135.185.pdf" Type="http://schemas.openxmlformats.org/officeDocument/2006/relationships/hyperlink" Id="rId9"/>
    <Relationship TargetMode="External" Target="https://www.legis.iowa.gov/docs/ico/chapter/135.185.pdf" Type="http://schemas.openxmlformats.org/officeDocument/2006/relationships/hyperlink" Id="rId10"/>
    <Relationship TargetMode="External" Target="https://www.legis.iowa.gov/docs/ico/chapter/135.185.pdf" Type="http://schemas.openxmlformats.org/officeDocument/2006/relationships/hyperlink" Id="rId11"/>
    <Relationship TargetMode="External" Target="https://www.legis.iowa.gov/docs/ico/chapter/135.190.pdf" Type="http://schemas.openxmlformats.org/officeDocument/2006/relationships/hyperlink" Id="rId12"/>
    <Relationship TargetMode="External" Target="https://www.legis.iowa.gov/docs/ico/chapter/280.16.pdf" Type="http://schemas.openxmlformats.org/officeDocument/2006/relationships/hyperlink" Id="rId13"/>
    <Relationship TargetMode="External" Target="https://www.legis.iowa.gov/docs/ico/chapter/280.16A.pdf" Type="http://schemas.openxmlformats.org/officeDocument/2006/relationships/hyperlink" Id="rId14"/>
    <Relationship TargetMode="External" Target="https://www.legis.iowa.gov/docs/iac/rule/655.7.9.pdf" Type="http://schemas.openxmlformats.org/officeDocument/2006/relationships/hyperlink" Id="rId15"/>
    <Relationship TargetMode="External" Target="https://www.legis.iowa.gov/docs/ico/chapter/17A.3.pdf" Type="http://schemas.openxmlformats.org/officeDocument/2006/relationships/hyperlink" Id="rId16"/>
    <Relationship TargetMode="External" Target="https://www.legis.iowa.gov/docs/ico/chapter/124.551A.pdf" Type="http://schemas.openxmlformats.org/officeDocument/2006/relationships/hyperlink" Id="rId17"/>
    <Relationship TargetMode="External" Target="https://www.legis.iowa.gov/docs/ico/chapter/124.552.pdf" Type="http://schemas.openxmlformats.org/officeDocument/2006/relationships/hyperlink" Id="rId18"/>
    <Relationship TargetMode="External" Target="https://www.legis.iowa.gov/docs/ico/chapter/147.2.pdf" Type="http://schemas.openxmlformats.org/officeDocument/2006/relationships/hyperlink" Id="rId19"/>
    <Relationship TargetMode="External" Target="https://www.legis.iowa.gov/docs/ico/chapter/147.10.pdf" Type="http://schemas.openxmlformats.org/officeDocument/2006/relationships/hyperlink" Id="rId20"/>
    <Relationship TargetMode="External" Target="https://www.legis.iowa.gov/docs/ico/chapter/147.11.pdf" Type="http://schemas.openxmlformats.org/officeDocument/2006/relationships/hyperlink" Id="rId21"/>
    <Relationship TargetMode="External" Target="https://www.legis.iowa.gov/docs/ico/chapter/147.72.pdf" Type="http://schemas.openxmlformats.org/officeDocument/2006/relationships/hyperlink" Id="rId22"/>
    <Relationship TargetMode="External" Target="https://www.legis.iowa.gov/docs/ico/chapter/147.74.pdf" Type="http://schemas.openxmlformats.org/officeDocument/2006/relationships/hyperlink" Id="rId23"/>
    <Relationship TargetMode="External" Target="https://www.legis.iowa.gov/docs/ico/chapter/147.76.pdf" Type="http://schemas.openxmlformats.org/officeDocument/2006/relationships/hyperlink" Id="rId24"/>
    <Relationship TargetMode="External" Target="https://www.legis.iowa.gov/docs/ico/chapter/147.80.pdf" Type="http://schemas.openxmlformats.org/officeDocument/2006/relationships/hyperlink" Id="rId25"/>
    <Relationship TargetMode="External" Target="https://www.legis.iowa.gov/docs/ico/chapter/147.107.pdf" Type="http://schemas.openxmlformats.org/officeDocument/2006/relationships/hyperlink" Id="rId26"/>
    <Relationship TargetMode="External" Target="https://www.legis.iowa.gov/docs/ico/chapter/152.1.pdf" Type="http://schemas.openxmlformats.org/officeDocument/2006/relationships/hyperlink" Id="rId27"/>
    <Relationship TargetMode="External" Target="https://www.legis.iowa.gov/docs/ico/chapter/152.6.pdf" Type="http://schemas.openxmlformats.org/officeDocument/2006/relationships/hyperlink" Id="rId28"/>
    <Relationship TargetMode="External" Target="https://www.legis.iowa.gov/docs/ico/chapter/152.7.pdf" Type="http://schemas.openxmlformats.org/officeDocument/2006/relationships/hyperlink" Id="rId29"/>
    <Relationship TargetMode="External" Target="https://www.legis.iowa.gov/docs/ico/chapter/272C.2C.pdf" Type="http://schemas.openxmlformats.org/officeDocument/2006/relationships/hyperlink" Id="rId3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