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DISCIPLINE</w:t>
      </w:r>
    </w:p>
    <w:p>
      <w:pPr>
        <w:spacing w:before="0" w:after="0"/>
        <w:ind w:left="120"/>
        <w:jc w:val="center"/>
      </w:pPr>
      <w:r>
        <w:rPr>
          <w:rFonts w:ascii="Times New Roman" w:hAnsi="Times New Roman"/>
          <w:b w:val="false"/>
          <w:i w:val="false"/>
          <w:color w:val="000000"/>
          <w:sz w:val="14"/>
        </w:rPr>
        <w:t>[Prior to 5/23/84, IAC, “Disciplinary Proceedings” appeared as Ch 8]</w:t>
      </w:r>
    </w:p>
    <w:p>
      <w:pPr>
        <w:spacing w:before="0" w:after="0"/>
        <w:ind w:left="120"/>
        <w:jc w:val="center"/>
      </w:pPr>
      <w:r>
        <w:rPr>
          <w:rFonts w:ascii="Times New Roman" w:hAnsi="Times New Roman"/>
          <w:b w:val="false"/>
          <w:i w:val="false"/>
          <w:color w:val="000000"/>
          <w:sz w:val="14"/>
        </w:rPr>
        <w:t>[Prior to 5/23/84, “Licensure to Practice—Licensed Practical Nurse” appeared as Ch 4. See Ch 3.]</w:t>
      </w:r>
    </w:p>
    <w:p>
      <w:pPr>
        <w:spacing w:before="0" w:after="0"/>
        <w:ind w:left="120"/>
        <w:jc w:val="center"/>
      </w:pPr>
      <w:r>
        <w:rPr>
          <w:rFonts w:ascii="Times New Roman" w:hAnsi="Times New Roman"/>
          <w:b w:val="false"/>
          <w:i w:val="false"/>
          <w:color w:val="000000"/>
          <w:sz w:val="14"/>
        </w:rPr>
        <w:t>[Prior to 8/26/87, Nursing Board[590]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655—4.1</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Board authority. </w:t>
      </w:r>
      <w:r>
        <w:rPr>
          <w:rFonts w:ascii="Times New Roman" w:hAnsi="Times New Roman"/>
          <w:b w:val="false"/>
          <w:i w:val="false"/>
          <w:color w:val="000000"/>
          <w:sz w:val="22"/>
        </w:rPr>
        <w:t xml:space="preserve">The board may discipline a licensee pursuant to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655—4.2</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Upon receipt of a written complaint or upon its own motion pursuant to other information received by the board, the board may review and investigate alleged acts or omissions that may violate the board’s rules or that are related to the ethical or professional conduct of a licensee. The board may also determine that a complaint does not warrant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files. </w:t>
      </w:r>
      <w:r>
        <w:rPr>
          <w:rFonts w:ascii="Times New Roman" w:hAnsi="Times New Roman"/>
          <w:b w:val="false"/>
          <w:i w:val="false"/>
          <w:color w:val="000000"/>
          <w:sz w:val="22"/>
        </w:rPr>
        <w:t xml:space="preserve">Complaint files, investigation files, and all other investigation reports and investigation information in the possession of the board, including any employees or agents of the board, that relate to licensee discipline are confidential pursuant to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In order to determine whether disciplinary action is warranted, the executive director or a board investigator may conduct an investigation into the allegations of a complaint. Upon completion of an investigation, the investigator shall prepare a report for the board’s consideration. The report may contain evidence gathered by the investigator, findings made by the investigator, the licensee’s response to the allegations, and the potential laws or rules alleged to have been violated.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Issuance of investigatory subpoenas. </w:t>
      </w:r>
      <w:r>
        <w:rPr>
          <w:rFonts w:ascii="Times New Roman" w:hAnsi="Times New Roman"/>
          <w:b w:val="false"/>
          <w:i w:val="false"/>
          <w:color w:val="000000"/>
          <w:sz w:val="22"/>
        </w:rPr>
        <w:t xml:space="preserve">The board has the authority to issue investigatory subpoenas pursuant to Iowa Code section </w:t>
      </w:r>
      <w:hyperlink r:id="rId10">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Scope of subpoena. </w:t>
      </w:r>
      <w:r>
        <w:rPr>
          <w:rFonts w:ascii="Times New Roman" w:hAnsi="Times New Roman"/>
          <w:b w:val="false"/>
          <w:i w:val="false"/>
          <w:color w:val="000000"/>
          <w:sz w:val="22"/>
        </w:rPr>
        <w:t>The executive director or designee may, upon the written request of a board investigator or on the executive director’s own initiative, subpoena books, papers, records, and any other real evidence necessary for the board to determine whether it should institute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A written request for a subpoena or the executive director’s written memorandum in support of the issuance of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11">
        <w:r>
          <w:rPr>
            <w:rStyle w:val="Hyperlink"/>
            <w:rFonts w:ascii="Times New Roman" w:hAnsi="Times New Roman"/>
            <w:b w:val="false"/>
            <w:i w:val="false"/>
            <w:color w:val="000000"/>
            <w:sz w:val="22"/>
          </w:rPr>
          <w:t>subrule 4.3(1)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subpoenas for mental health records. </w:t>
      </w:r>
      <w:r>
        <w:rPr>
          <w:rFonts w:ascii="Times New Roman" w:hAnsi="Times New Roman"/>
          <w:b w:val="false"/>
          <w:i w:val="false"/>
          <w:color w:val="000000"/>
          <w:sz w:val="22"/>
        </w:rPr>
        <w:t xml:space="preserve">In the case of a subpoena for mental health records, a written request for a subpoena or the executive director’s written memorandum in support of the issuance of the subpoena shall, in addition to the requirements of </w:t>
      </w:r>
      <w:hyperlink r:id="rId12">
        <w:r>
          <w:rPr>
            <w:rStyle w:val="Hyperlink"/>
            <w:rFonts w:ascii="Times New Roman" w:hAnsi="Times New Roman"/>
            <w:b w:val="false"/>
            <w:i w:val="false"/>
            <w:color w:val="000000"/>
            <w:sz w:val="22"/>
          </w:rPr>
          <w:t>subrule 4.3(2)</w:t>
        </w:r>
      </w:hyperlink>
      <w:r>
        <w:rPr>
          <w:rFonts w:ascii="Times New Roman" w:hAnsi="Times New Roman"/>
          <w:b w:val="false"/>
          <w:i w:val="false"/>
          <w:color w:val="000000"/>
          <w:sz w:val="22"/>
        </w:rPr>
        <w:t>, set forth sufficient facts to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 </w:t>
      </w:r>
      <w:r>
        <w:rPr>
          <w:rFonts w:ascii="Times New Roman" w:hAnsi="Times New Roman"/>
          <w:b w:val="false"/>
          <w:i w:val="false"/>
          <w:color w:val="000000"/>
          <w:sz w:val="22"/>
        </w:rPr>
        <w:t>Each issued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Ruling on motion.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Appeal of an administrative law judge ruling.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notified that the investigation has been concluded with no formal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When reviewing complaints and investigative material, the board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Close the case without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 xml:space="preserve">Close the case and issue the licensee a confidential letter of warning or letter of education. The purpose of confidential letters of warning and letters of education is to alert the licensee to possible violations of Iowa law or board rules so the licensee may address any issues. Confidential letters of warning and letters of education do not constitute formal disciplinary action and are not open for inspection under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maintain a copy of confidential letters of warning and letters of education in the confidential investigative file regarding the licensee. Confidential letters of warning and letters of education may be used as evidence against a licensee in future contested case hearings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obtaining a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probable cause and issue a notice of hearing and statement of charges or approve a combined statement of charges and settlement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Any case may be referred to peer review for evaluation of the professional services rendered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Contract and case referral. </w:t>
      </w:r>
      <w:r>
        <w:rPr>
          <w:rFonts w:ascii="Times New Roman" w:hAnsi="Times New Roman"/>
          <w:b w:val="false"/>
          <w:i w:val="false"/>
          <w:color w:val="000000"/>
          <w:sz w:val="22"/>
        </w:rPr>
        <w:t>The board shall enter into a contract with peer reviewers to provide peer review services. The board or board staff shall determine which peer reviewer(s) will review a case and what investigative information shall be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Peer reviewers shall review the information provided and provide a written report to the board. The written report shall contain an opinion of the peer reviewer regarding whether the licensee conformed to minimum standards of acceptable and prevailing practice of nursing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655—4.6</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licensee may be disciplined for failure to comply with the rules promulgated by the board and for any wrongful act or omission related to nursing practice, licensure, or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5">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which constitutes fraud in procuring a license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credentials, or records submitted to the board for licensure or license renewal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Impersonating any applicant in any examination for licensure as a registered nurse, licensed practical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6">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knowledge, skill, or ability to discharge professional obligations within the scope of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by the licensee from the standards of learning, education, or skill ordinarily possessed and applied by other nurses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 or repeated departure from or failure to conform to the minimum standards of acceptable and prevailing practice of nursing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nursing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within the scope of current licensure or level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7">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Iowa Code chapter </w:t>
      </w:r>
      <w:hyperlink r:id="rId1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0">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knowingly making misleading, deceptive, untrue, or fraudulent representations in the practice of a profession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or written misrepresentation relating to degrees, credentials, licensure status, records, and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Falsifying records related to nursing practice or knowingly permitting the use of falsified information in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1">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unethical conduct or practice harmful or detrimental to the public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Performing nursing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nursing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nursing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Committing an act or omission which may adversely affect the physical or psychosocial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Committing an act which causes physical, emotional, or financial injury to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report to, or leaving, a nursing assignment without properly notifying appropriate supervisory personnel and ensuring the safety and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patient or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patient, client,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nursing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manufacture or distribution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possession or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report suspected wrongful acts or omissions committed by a licensee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For an advanced registered nurse practitioner, prescribing, dispensing, administering, or distributing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it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patients or who are outside of the licensee’s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repeated verbal or physical conduct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properly document or perform medication wastage.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“patient” is defined to include the patient and the patient’s family or caretakers who are present with the patient while the patient is under the care of the licensee. In accordance with Iowa Code section </w:t>
      </w:r>
      <w:hyperlink r:id="rId22">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unethical conduct or practice harmful or detrimental to the public may include, but need not be limited to, the following professional boundaries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Sexual contact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lewd, suggestive, demeaning, or otherwise sexual comments,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emotional, social, or business relationship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Soliciting, borrowing, or misappropriating money or property from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Repeatedly divulging personal information to a patient for nontherapeutic purposes,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patient when there is a risk of exploitation or harm to the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3">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Excessive use of alcohol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Excessive use of drugs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4">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5">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6">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0">
        <w:r>
          <w:rPr>
            <w:rStyle w:val="Hyperlink"/>
            <w:rFonts w:ascii="Times New Roman" w:hAnsi="Times New Roman"/>
            <w:b w:val="false"/>
            <w:i w:val="false"/>
            <w:color w:val="000000"/>
            <w:sz w:val="22"/>
          </w:rPr>
          <w:t>147.55(8)</w:t>
        </w:r>
      </w:hyperlink>
      <w:r>
        <w:rPr>
          <w:rFonts w:ascii="Times New Roman" w:hAnsi="Times New Roman"/>
          <w:b w:val="false"/>
          <w:i w:val="false"/>
          <w:color w:val="000000"/>
          <w:sz w:val="22"/>
        </w:rPr>
        <w:t>, other acts or offenses as specified by board rule,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respond to the board during a board audit or submit verification of compliance with the requirements for the supervision of fluoroscopy set forth in </w:t>
      </w:r>
      <w:hyperlink r:id="rId31">
        <w:r>
          <w:rPr>
            <w:rStyle w:val="Hyperlink"/>
            <w:rFonts w:ascii="Times New Roman" w:hAnsi="Times New Roman"/>
            <w:b w:val="false"/>
            <w:i w:val="false"/>
            <w:color w:val="000000"/>
            <w:sz w:val="22"/>
          </w:rPr>
          <w:t>655—subrule 7.4(5)</w:t>
        </w:r>
      </w:hyperlink>
      <w:r>
        <w:rPr>
          <w:rFonts w:ascii="Times New Roman" w:hAnsi="Times New Roman"/>
          <w:b w:val="false"/>
          <w:i w:val="false"/>
          <w:color w:val="000000"/>
          <w:sz w:val="22"/>
        </w:rPr>
        <w:t xml:space="preserve">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Violating an initial agreement or contract with the Iowa nurse assistance program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2">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prior to licensure or not pursuant to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on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152.10(2)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while knowingly having an infectious or contagious disease which could be harmful to a patient’s welfare without taking precautions to meet the current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a license to practice nursing as a registered nurse, licensed practical/vocational nurse, or advanced registered nurse practitioner revoked or suspended, or having other disciplinary action taken, by a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license to practice nursing as a registered nurse, licensed practical/vocational nurse, or advanced registered nurse practitioner revoked or suspended, or having other disciplinary action taken, by a licensing authority in another state which has adopted the nurse licensure compact contained in Iowa Code section </w:t>
      </w:r>
      <w:hyperlink r:id="rId35">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 xml:space="preserve"> or the advanced practice registered nurse compact contained in Iowa Code section </w:t>
      </w:r>
      <w:hyperlink r:id="rId36">
        <w:r>
          <w:rPr>
            <w:rStyle w:val="Hyperlink"/>
            <w:rFonts w:ascii="Times New Roman" w:hAnsi="Times New Roman"/>
            <w:b w:val="false"/>
            <w:i w:val="false"/>
            <w:color w:val="000000"/>
            <w:sz w:val="22"/>
          </w:rPr>
          <w:t>152E.3</w:t>
        </w:r>
      </w:hyperlink>
      <w:r>
        <w:rPr>
          <w:rFonts w:ascii="Times New Roman" w:hAnsi="Times New Roman"/>
          <w:b w:val="false"/>
          <w:i w:val="false"/>
          <w:color w:val="000000"/>
          <w:sz w:val="22"/>
        </w:rPr>
        <w:t xml:space="preserve"> and which has communicated information relating to such action pursuant to the coordinated licensure information system established by the compact. If the action taken by the licensing authority occurs in a jurisdiction which does not afford the procedural protections of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 licensee may object to the communicated information and shall be afforded the procedural protections of Iowa Code chapter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advising, or allowing a person to unlawfully practice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adjudicated mentally incompetent by a court of competent jurisdiction. Such adjudication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unable to practice nursing with reasonable skill and safety by reason of illness or as a result of a mental or physical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655—4.7</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A sanction is a disciplinary action by the board which resolves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The board may impose one or more of the following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until further order of the board or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Restriction on engaging in specified nursing procedures, methods, settings,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education or training, reexamination,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mental, or substance abuse evaluation, alcohol or drug screening, or clinical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Civil penalty. Assessment of a fine shall be specified in the order and may not exceed a maximum amount of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655—4.8</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A voluntary surrender of licensure may be submitted to the board as resolution of a contested case or in lieu of continued compliance with a disciplinary decision of the board. A voluntary surrender, when accepted by the board, has the same force and effect as an order of revocation. A voluntary surrender of a license during the pendency of a complaint or investigation shall be considered discipline and shall have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655—4.9</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of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12/3/76, Notice 10/6/76—published 12/29/76, effective 2/2/77]</w:t>
      </w:r>
    </w:p>
    <w:p>
      <w:pPr>
        <w:spacing w:before="0" w:after="0"/>
        <w:ind w:left="120"/>
        <w:jc w:val="center"/>
      </w:pPr>
      <w:r>
        <w:rPr>
          <w:rFonts w:ascii="Times New Roman" w:hAnsi="Times New Roman"/>
          <w:b w:val="false"/>
          <w:i w:val="false"/>
          <w:color w:val="000000"/>
          <w:sz w:val="21"/>
        </w:rPr>
        <w:t>[Filed 3/9/77, Notice 12/29/76—published 4/6/77, effective 5/11/77]</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8/25/80, Notice 4/16/80—published 9/17/80, effective 10/22/80]</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6/9/88, Notice 4/20/88—published 6/29/88, effective 8/3/88]</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3/9/94, Notice 1/5/94—published 3/30/94, effective 5/4/94]</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10/2/96, Notice 7/31/96—published 10/23/96, effective 11/27/96]</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p>
    <w:p>
      <w:pPr>
        <w:spacing w:before="0" w:after="0"/>
        <w:ind w:left="120"/>
        <w:jc w:val="center"/>
      </w:pPr>
      <w:r>
        <w:rPr>
          <w:rFonts w:ascii="Times New Roman" w:hAnsi="Times New Roman"/>
          <w:b w:val="false"/>
          <w:i w:val="false"/>
          <w:color w:val="000000"/>
          <w:sz w:val="21"/>
        </w:rPr>
        <w:t>[Filed 9/8/06, Notice 8/2/06—published 9/27/06, effective 11/1/06]</w:t>
      </w:r>
    </w:p>
    <w:p>
      <w:pPr>
        <w:spacing w:before="0" w:after="0"/>
        <w:ind w:left="120"/>
        <w:jc w:val="center"/>
      </w:pPr>
      <w:r>
        <w:rPr>
          <w:rFonts w:ascii="Times New Roman" w:hAnsi="Times New Roman"/>
          <w:b w:val="false"/>
          <w:i w:val="false"/>
          <w:color w:val="000000"/>
          <w:sz w:val="21"/>
        </w:rPr>
        <w:t>[Filed ARC 8809B</w:t>
      </w:r>
      <w:r>
        <w:rPr>
          <w:rFonts w:ascii="Times New Roman" w:hAnsi="Times New Roman"/>
          <w:b w:val="false"/>
          <w:i w:val="false"/>
          <w:color w:val="000000"/>
          <w:sz w:val="21"/>
        </w:rPr>
        <w:t xml:space="preserve"> (Notice ARC 8674B,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0084C</w:t>
      </w:r>
      <w:r>
        <w:rPr>
          <w:rFonts w:ascii="Times New Roman" w:hAnsi="Times New Roman"/>
          <w:b w:val="false"/>
          <w:i w:val="false"/>
          <w:color w:val="000000"/>
          <w:sz w:val="21"/>
        </w:rPr>
        <w:t xml:space="preserve"> (Notice ARC 9622B, IAB 7/27/11; </w:t>
      </w:r>
      <w:r>
        <w:rPr>
          <w:rFonts w:ascii="Times New Roman" w:hAnsi="Times New Roman"/>
          <w:b w:val="false"/>
          <w:i w:val="false"/>
          <w:color w:val="000000"/>
          <w:sz w:val="21"/>
        </w:rPr>
        <w:t>Amended Notice ARC 9867B,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4755C</w:t>
      </w:r>
      <w:r>
        <w:rPr>
          <w:rFonts w:ascii="Times New Roman" w:hAnsi="Times New Roman"/>
          <w:b w:val="false"/>
          <w:i w:val="false"/>
          <w:color w:val="000000"/>
          <w:sz w:val="21"/>
        </w:rPr>
        <w:t xml:space="preserve"> (Notice ARC 4597C,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6198C</w:t>
      </w:r>
      <w:r>
        <w:rPr>
          <w:rFonts w:ascii="Times New Roman" w:hAnsi="Times New Roman"/>
          <w:b w:val="false"/>
          <w:i w:val="false"/>
          <w:color w:val="000000"/>
          <w:sz w:val="21"/>
        </w:rPr>
        <w:t xml:space="preserve"> (Notice ARC 6049C, IAB 11/17/21)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ac/rule/655.4.3.pdf" Type="http://schemas.openxmlformats.org/officeDocument/2006/relationships/hyperlink" Id="rId11"/>
    <Relationship TargetMode="External" Target="https://www.legis.iowa.gov/docs/iac/rule/655.4.3.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co/chapter/147.55.pdf" Type="http://schemas.openxmlformats.org/officeDocument/2006/relationships/hyperlink" Id="rId15"/>
    <Relationship TargetMode="External" Target="https://www.legis.iowa.gov/docs/ico/chapter/147.55.pdf" Type="http://schemas.openxmlformats.org/officeDocument/2006/relationships/hyperlink" Id="rId16"/>
    <Relationship TargetMode="External" Target="https://www.legis.iowa.gov/docs/iac/chapter/655.6.pdf" Type="http://schemas.openxmlformats.org/officeDocument/2006/relationships/hyperlink" Id="rId17"/>
    <Relationship TargetMode="External" Target="https://www.legis.iowa.gov/docs/iac/chapter/655.7.pdf" Type="http://schemas.openxmlformats.org/officeDocument/2006/relationships/hyperlink" Id="rId18"/>
    <Relationship TargetMode="External" Target="https://www.legis.iowa.gov/docs/ico/chapter/139A.pdf" Type="http://schemas.openxmlformats.org/officeDocument/2006/relationships/hyperlink" Id="rId19"/>
    <Relationship TargetMode="External" Target="https://www.legis.iowa.gov/docs/ico/chapter/147.55.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7.55.pdf" Type="http://schemas.openxmlformats.org/officeDocument/2006/relationships/hyperlink" Id="rId22"/>
    <Relationship TargetMode="External" Target="https://www.legis.iowa.gov/docs/ico/chapter/147.55.pdf" Type="http://schemas.openxmlformats.org/officeDocument/2006/relationships/hyperlink" Id="rId23"/>
    <Relationship TargetMode="External" Target="https://www.legis.iowa.gov/docs/ico/chapter/147.55.pdf" Type="http://schemas.openxmlformats.org/officeDocument/2006/relationships/hyperlink" Id="rId24"/>
    <Relationship TargetMode="External" Target="https://www.legis.iowa.gov/docs/ico/chapter/147.55.pdf" Type="http://schemas.openxmlformats.org/officeDocument/2006/relationships/hyperlink" Id="rId25"/>
    <Relationship TargetMode="External" Target="https://www.legis.iowa.gov/docs/ico/chapter/147.55.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52.pdf" Type="http://schemas.openxmlformats.org/officeDocument/2006/relationships/hyperlink" Id="rId28"/>
    <Relationship TargetMode="External" Target="https://www.legis.iowa.gov/docs/ico/chapter/272C.pdf" Type="http://schemas.openxmlformats.org/officeDocument/2006/relationships/hyperlink" Id="rId29"/>
    <Relationship TargetMode="External" Target="https://www.legis.iowa.gov/docs/ico/chapter/147.55.pdf" Type="http://schemas.openxmlformats.org/officeDocument/2006/relationships/hyperlink" Id="rId30"/>
    <Relationship TargetMode="External" Target="https://www.legis.iowa.gov/docs/iac/rule/655.7.4.pdf" Type="http://schemas.openxmlformats.org/officeDocument/2006/relationships/hyperlink" Id="rId31"/>
    <Relationship TargetMode="External" Target="https://www.legis.iowa.gov/docs/ico/chapter/147.2.pdf" Type="http://schemas.openxmlformats.org/officeDocument/2006/relationships/hyperlink" Id="rId32"/>
    <Relationship TargetMode="External" Target="https://www.legis.iowa.gov/docs/ico/chapter/147.10.pdf" Type="http://schemas.openxmlformats.org/officeDocument/2006/relationships/hyperlink" Id="rId33"/>
    <Relationship TargetMode="External" Target="https://www.legis.iowa.gov/docs/ico/chapter/152.10.pdf" Type="http://schemas.openxmlformats.org/officeDocument/2006/relationships/hyperlink" Id="rId34"/>
    <Relationship TargetMode="External" Target="https://www.legis.iowa.gov/docs/ico/chapter/152E.1.pdf" Type="http://schemas.openxmlformats.org/officeDocument/2006/relationships/hyperlink" Id="rId35"/>
    <Relationship TargetMode="External" Target="https://www.legis.iowa.gov/docs/ico/chapter/152E.3.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152.pdf" Type="http://schemas.openxmlformats.org/officeDocument/2006/relationships/hyperlink" Id="rId41"/>
    <Relationship TargetMode="External" Target="https://www.legis.iowa.gov/docs/ico/chapter/272C.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