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LICENSURE TO PRACTICE—REGISTERED NURSE/LICENSED PRACTICAL NURSE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655—3.1</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nursing program” </w:t>
      </w:r>
      <w:r>
        <w:rPr>
          <w:rFonts w:ascii="Times New Roman" w:hAnsi="Times New Roman"/>
          <w:b w:val="false"/>
          <w:i w:val="false"/>
          <w:color w:val="000000"/>
          <w:sz w:val="22"/>
        </w:rPr>
        <w:t>means a nursing education program whose status has been recognized by the board or by a similar board in another jurisdiction that prepares individuals for licensure as a licensed practical nurse, registered nurse, or advanced registered nurse practitioner; or grants a baccalaureate, master’s or doctorate degree with a major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“CGFNS” </w:t>
      </w:r>
      <w:r>
        <w:rPr>
          <w:rFonts w:ascii="Times New Roman" w:hAnsi="Times New Roman"/>
          <w:b w:val="false"/>
          <w:i w:val="false"/>
          <w:color w:val="000000"/>
          <w:sz w:val="22"/>
        </w:rPr>
        <w:t>means the Commission on Graduates of Foreign Nursing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means those fees collected that are based upon the cost of sustaining the board’s mission to protect the public health, safety and welfare. The nonrefundable fees set by the board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Application for an original license based on the registered nurse examination, $93 (plus the fee for evaluation of the fingerprint cards and the criminal history background checks by the Iowa division of criminal investigation (DCI) and the Federal Bureau of Investigation (FBI)).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Application for an original license based on the practical nurse examination, $93 (plus the fee for evaluation of the fingerprint cards and the criminal history background checks by the DCI and the FBI).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Application for a registered nurse/licensed practical nurse license by endorsement, $119 (plus the fee for evaluation of the fingerprint cards and the criminal history background checks by the DCI and the FBI).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Application for an original license or renewal as an advanced registered nurse practitioner, $81 for any period of licensure up to three years.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a certified statement that a registered nurse/licensed practical nurse is licensed in this state or registered as an advanced registered nurse practitioner, $25.</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For reactivation of a license to practice as a registered nurse/licensed practical nurse, $175 for a license lasting more than 24 months up to 36 months (plus the fee for evaluation of the fingerprint cards and the criminal history background checks by the DCI and the FBI).</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For reactivation of a license to practice as an advanced registered nurse practitioner, $81 for any period of licensure up to three years.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For the renewal of a license to practice as a registered nurse/licensed practical nurse, $99 for a three-year period.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For the late renewal of a registered nurse/licensed practical nurse license, $50 (plus the renewal fee as specified in paragraph “8” of this definition).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For a check returned for any reason, $15. If licensure/registration has been issued by the board office based on a check for the payment of fees and the check is later returned by the bank, the board shall request payment by certified check or money order.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For a certified copy of an original document, $20.</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For the processing of the fingerprint cards and the DCI and FBI criminal history background checks, $50.</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For a petition for eligibility determination,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“IELTS™” </w:t>
      </w:r>
      <w:r>
        <w:rPr>
          <w:rFonts w:ascii="Times New Roman" w:hAnsi="Times New Roman"/>
          <w:b w:val="false"/>
          <w:i w:val="false"/>
          <w:color w:val="000000"/>
          <w:sz w:val="22"/>
        </w:rPr>
        <w:t>means the International English Language Testing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registered nurse or licensed practical nurse license that has been placed on inactive status because it was not renewed by the fifteenth day of the month following the expiration date or means that the board has received notification that a licensee has declared another compact state as the primary state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 license” </w:t>
      </w:r>
      <w:r>
        <w:rPr>
          <w:rFonts w:ascii="Times New Roman" w:hAnsi="Times New Roman"/>
          <w:b w:val="false"/>
          <w:i w:val="false"/>
          <w:color w:val="000000"/>
          <w:sz w:val="22"/>
        </w:rPr>
        <w:t>means a registered nurse or licensed practical nurse license that has not been renewed by the expiration date. The time between the expiration date and the fifteenth day of the month following the expiration date is considered a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who has been issued a license to practice as a registered nurse, licensed practical nurse or advanced registered nurse practitioner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“Multistate license” </w:t>
      </w:r>
      <w:r>
        <w:rPr>
          <w:rFonts w:ascii="Times New Roman" w:hAnsi="Times New Roman"/>
          <w:b w:val="false"/>
          <w:i w:val="false"/>
          <w:color w:val="000000"/>
          <w:sz w:val="22"/>
        </w:rPr>
        <w:t xml:space="preserve">means a license to practice as a registered nurse or licensed practical nurse issued to a qualified person under Iowa Code chapter </w:t>
      </w:r>
      <w:hyperlink r:id="rId5">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that authorizes the holder to practice in all party states under a multistate licensure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“Multistate licensure privilege” </w:t>
      </w:r>
      <w:r>
        <w:rPr>
          <w:rFonts w:ascii="Times New Roman" w:hAnsi="Times New Roman"/>
          <w:b w:val="false"/>
          <w:i w:val="false"/>
          <w:color w:val="000000"/>
          <w:sz w:val="22"/>
        </w:rPr>
        <w:t>means a legal authorization associated with a multistate license permitting the practice of nursing as either a registered nurse or a licensed practical nurse in a party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“NCSBN” </w:t>
      </w:r>
      <w:r>
        <w:rPr>
          <w:rFonts w:ascii="Times New Roman" w:hAnsi="Times New Roman"/>
          <w:b w:val="false"/>
          <w:i w:val="false"/>
          <w:color w:val="000000"/>
          <w:sz w:val="22"/>
        </w:rPr>
        <w:t>means the National Council of State Boards of Nursing,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licensure compact” </w:t>
      </w:r>
      <w:r>
        <w:rPr>
          <w:rFonts w:ascii="Times New Roman" w:hAnsi="Times New Roman"/>
          <w:b w:val="false"/>
          <w:i w:val="false"/>
          <w:color w:val="000000"/>
          <w:sz w:val="22"/>
        </w:rPr>
        <w:t xml:space="preserve">means the agreement between party states, as set forth in Iowa Code chapter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to allow mutual recognition of a nursing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payment in excess of the required fee. An overpayment less than $10 received by the board shall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state” </w:t>
      </w:r>
      <w:r>
        <w:rPr>
          <w:rFonts w:ascii="Times New Roman" w:hAnsi="Times New Roman"/>
          <w:b w:val="false"/>
          <w:i w:val="false"/>
          <w:color w:val="000000"/>
          <w:sz w:val="22"/>
        </w:rPr>
        <w:t>means any state that has adopted the nurse licensure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“TOEFL®” </w:t>
      </w:r>
      <w:r>
        <w:rPr>
          <w:rFonts w:ascii="Times New Roman" w:hAnsi="Times New Roman"/>
          <w:b w:val="false"/>
          <w:i w:val="false"/>
          <w:color w:val="000000"/>
          <w:sz w:val="22"/>
        </w:rPr>
        <w:t>means the Test of English as a Foreign Language.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655—3.2</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Mandatory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engages in the practice of nursing in the state of Iowa as defined in Iowa Code section </w:t>
      </w:r>
      <w:hyperlink r:id="rId7">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outside of caring for one’s family, shall have a current Iowa license, whether or not the person’s employer is in Iowa and whether or not the person receives compensation. Any nurse who participates in the care of a patient situated in Iowa, whether that care is provided through telephonic, electronic or in-person means, and regardless of the location of the nurse, must obtain Iowa licensure unless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Current Iowa licensure is not mandatory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holds an active multistate license issued by a party state, pursuant to Iowa Code chapter </w:t>
      </w:r>
      <w:hyperlink r:id="rId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 nurse who practices nursing in Iowa pursuant to a multistate licensure privilege is subject to the jurisdiction of the board, the courts, and the laws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nurse holds an active license in another state and is providing services to patients in Iowa only during interstate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nurse holds an active license in another state and is providing emergency services in an area in which the governor of Iowa has declared a state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who is enrolled in an approved program for registered nurses shall hold an active licensed practical nurse license in all jurisdictions in which the licensed practical nurse provides patient care. A registered nurse who is enrolled in an approved program for advanced registered nurse practitioners shall hold an active registered nurse license in all jurisdictions in which the registered nurse provides patient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qualifications for registered nurse and licensed practical nurse. </w:t>
      </w:r>
      <w:r>
        <w:rPr>
          <w:rFonts w:ascii="Times New Roman" w:hAnsi="Times New Roman"/>
          <w:b w:val="false"/>
          <w:i w:val="false"/>
          <w:color w:val="000000"/>
          <w:sz w:val="22"/>
        </w:rPr>
        <w:t>Applicants for registered nurse and licensed practical nurse licenses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Graduation from an approved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Successful passage of the National Council Licensure Examination (NCLEX®) or the State Board Test Pool Examination, the national examination used prior to 1982. The passing standard shall be the standard established by the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board approval of an applicant with a criminal history, pursuant to rule </w:t>
      </w:r>
      <w:hyperlink r:id="rId9">
        <w:r>
          <w:rPr>
            <w:rStyle w:val="Hyperlink"/>
            <w:rFonts w:ascii="Times New Roman" w:hAnsi="Times New Roman"/>
            <w:b w:val="false"/>
            <w:i w:val="false"/>
            <w:color w:val="000000"/>
            <w:sz w:val="22"/>
          </w:rPr>
          <w:t>655—3.11</w:t>
        </w:r>
      </w:hyperlink>
      <w:r>
        <w:rPr>
          <w:rFonts w:ascii="Times New Roman" w:hAnsi="Times New Roman"/>
          <w:b w:val="false"/>
          <w:i w:val="false"/>
          <w:color w:val="000000"/>
          <w:sz w:val="22"/>
        </w:rPr>
        <w:t>(272C), or a record of prior disciplinary action, regardless of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A graduate of an approved nursing program seeking initial licensure as a registered nurse or licensed practical nurse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copies of all documents required by rule </w:t>
      </w:r>
      <w:hyperlink r:id="rId10">
        <w:r>
          <w:rPr>
            <w:rStyle w:val="Hyperlink"/>
            <w:rFonts w:ascii="Times New Roman" w:hAnsi="Times New Roman"/>
            <w:b w:val="false"/>
            <w:i w:val="false"/>
            <w:color w:val="000000"/>
            <w:sz w:val="22"/>
          </w:rPr>
          <w:t>655—3.11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denoting the date of graduation and diploma or degree conferred, sent directly to the board from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color w:val="000000"/>
          <w:sz w:val="22"/>
        </w:rPr>
        <w:t xml:space="preserve">Test registration. </w:t>
      </w:r>
      <w:r>
        <w:rPr>
          <w:rFonts w:ascii="Times New Roman" w:hAnsi="Times New Roman"/>
          <w:b w:val="false"/>
          <w:i w:val="false"/>
          <w:color w:val="000000"/>
          <w:sz w:val="22"/>
        </w:rPr>
        <w:t>The applicant shall complete NCLEX® registration, including payment of applicable fees through the national test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color w:val="000000"/>
          <w:sz w:val="22"/>
        </w:rPr>
        <w:t xml:space="preserve">Americans with Disabilities Act accommodations. </w:t>
      </w:r>
      <w:r>
        <w:rPr>
          <w:rFonts w:ascii="Times New Roman" w:hAnsi="Times New Roman"/>
          <w:b w:val="false"/>
          <w:i w:val="false"/>
          <w:color w:val="000000"/>
          <w:sz w:val="22"/>
        </w:rPr>
        <w:t>An applicant with a disability may submit a request to the board for testing accommodations. The request must include the nature of the disability and the specific testing accommodations being requested. A request must be accompanied by written documentation from the applicant’s health care provider describing the disability and the recommended accommodations, and documentation from the applicant’s nursing education program if testing accommodations were provided to the applicant during school. The board’s recommendation regarding approval of accommodation requests will be communicated to the national test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test. </w:t>
      </w:r>
      <w:r>
        <w:rPr>
          <w:rFonts w:ascii="Times New Roman" w:hAnsi="Times New Roman"/>
          <w:b w:val="false"/>
          <w:i w:val="false"/>
          <w:color w:val="000000"/>
          <w:sz w:val="22"/>
        </w:rPr>
        <w:t xml:space="preserve">An applicant will not receive an authorization to test until all of the requirements in </w:t>
      </w:r>
      <w:hyperlink r:id="rId11">
        <w:r>
          <w:rPr>
            <w:rStyle w:val="Hyperlink"/>
            <w:rFonts w:ascii="Times New Roman" w:hAnsi="Times New Roman"/>
            <w:b w:val="false"/>
            <w:i w:val="false"/>
            <w:color w:val="000000"/>
            <w:sz w:val="22"/>
          </w:rPr>
          <w:t>subrules 3.4(1)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3.4(2)</w:t>
        </w:r>
      </w:hyperlink>
      <w:r>
        <w:rPr>
          <w:rFonts w:ascii="Times New Roman" w:hAnsi="Times New Roman"/>
          <w:b w:val="false"/>
          <w:i w:val="false"/>
          <w:color w:val="000000"/>
          <w:sz w:val="22"/>
        </w:rPr>
        <w:t xml:space="preserve"> are met. An applicant shall self-schedule the examination with an approved testing center and must test within 91 days of receiving the authorization to test. An applicant who does not test within 91 days of receiving the authorization to test is required to submit a new completed application for licensure by examination and fee to the board. An applicant who does not appear for a testing appointment or does not complete the examination must follow the requirements for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r>
        <w:rPr>
          <w:rFonts w:ascii="Times New Roman" w:hAnsi="Times New Roman"/>
          <w:b w:val="false"/>
          <w:i w:val="false"/>
          <w:color w:val="000000"/>
          <w:sz w:val="22"/>
        </w:rPr>
        <w:t xml:space="preserve">An applicant who fails the examination and reapplies within 12 months of submitting a prior application to the board shall be required to complete the requirements in paragraphs </w:t>
      </w:r>
      <w:hyperlink r:id="rId13">
        <w:r>
          <w:rPr>
            <w:rStyle w:val="Hyperlink"/>
            <w:rFonts w:ascii="Times New Roman" w:hAnsi="Times New Roman"/>
            <w:b w:val="false"/>
            <w:i w:val="false"/>
            <w:color w:val="000000"/>
            <w:sz w:val="22"/>
          </w:rPr>
          <w:t>3.4(1)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subrule 3.4(2)</w:t>
        </w:r>
      </w:hyperlink>
      <w:r>
        <w:rPr>
          <w:rFonts w:ascii="Times New Roman" w:hAnsi="Times New Roman"/>
          <w:b w:val="false"/>
          <w:i w:val="false"/>
          <w:color w:val="000000"/>
          <w:sz w:val="22"/>
        </w:rPr>
        <w:t xml:space="preserve">. An applicant who fails the examination and reapplies after 12 months of submitting a prior application to the board shall be required to complete all requirements in </w:t>
      </w:r>
      <w:hyperlink r:id="rId15">
        <w:r>
          <w:rPr>
            <w:rStyle w:val="Hyperlink"/>
            <w:rFonts w:ascii="Times New Roman" w:hAnsi="Times New Roman"/>
            <w:b w:val="false"/>
            <w:i w:val="false"/>
            <w:color w:val="000000"/>
            <w:sz w:val="22"/>
          </w:rPr>
          <w:t>subrules 3.4(1)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Upon satisfactory review of the documentation required by </w:t>
      </w:r>
      <w:hyperlink r:id="rId17">
        <w:r>
          <w:rPr>
            <w:rStyle w:val="Hyperlink"/>
            <w:rFonts w:ascii="Times New Roman" w:hAnsi="Times New Roman"/>
            <w:b w:val="false"/>
            <w:i w:val="false"/>
            <w:color w:val="000000"/>
            <w:sz w:val="22"/>
          </w:rPr>
          <w:t>subrule 3.4(1)</w:t>
        </w:r>
      </w:hyperlink>
      <w:r>
        <w:rPr>
          <w:rFonts w:ascii="Times New Roman" w:hAnsi="Times New Roman"/>
          <w:b w:val="false"/>
          <w:i w:val="false"/>
          <w:color w:val="000000"/>
          <w:sz w:val="22"/>
        </w:rPr>
        <w:t xml:space="preserve"> and proof of successful passage of the examination, the applicant will be issued a license to practice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the licensure process. </w:t>
      </w:r>
      <w:r>
        <w:rPr>
          <w:rFonts w:ascii="Times New Roman" w:hAnsi="Times New Roman"/>
          <w:b w:val="false"/>
          <w:i w:val="false"/>
          <w:color w:val="000000"/>
          <w:sz w:val="22"/>
        </w:rPr>
        <w:t>Once an application is initiated, the applicant has 12 months to complete the licensure process. The board reserves the right to destroy any applications and supporting documents after 12 months if the applicant has not completed the licensure process. Applicants who fail to complete the licensure process within 12 months are required to start the application process anew.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A graduate of an approved nursing program seeking licensure as a registered nurse or licensed practical nurse in Iowa who has been licensed in another state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application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copies of all documents required by rule </w:t>
      </w:r>
      <w:hyperlink r:id="rId18">
        <w:r>
          <w:rPr>
            <w:rStyle w:val="Hyperlink"/>
            <w:rFonts w:ascii="Times New Roman" w:hAnsi="Times New Roman"/>
            <w:b w:val="false"/>
            <w:i w:val="false"/>
            <w:color w:val="000000"/>
            <w:sz w:val="22"/>
          </w:rPr>
          <w:t>655—3.11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relevant disciplinary documents if the applicant has had disciplinary action taken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original state of licensure, which may be done through </w:t>
      </w:r>
      <w:hyperlink r:id="rId19">
        <w:r>
          <w:rPr>
            <w:rStyle w:val="Hyperlink"/>
            <w:rFonts w:ascii="Times New Roman" w:hAnsi="Times New Roman"/>
            <w:b w:val="false"/>
            <w:i w:val="false"/>
            <w:color w:val="000000"/>
            <w:sz w:val="22"/>
            <w:u w:val="single"/>
          </w:rPr>
          <w:t>www.nursys.com</w:t>
        </w:r>
      </w:hyperlink>
      <w:r>
        <w:rPr>
          <w:rFonts w:ascii="Times New Roman" w:hAnsi="Times New Roman"/>
          <w:b w:val="false"/>
          <w:i w:val="false"/>
          <w:color w:val="000000"/>
          <w:sz w:val="22"/>
        </w:rPr>
        <w:t xml:space="preserve"> or by using the verification form depending on the requirements of the original state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active licensure in any jurisdiction within the previous five years from the date of application or proof of completion of a nurse refresher course in accordance with rule </w:t>
      </w:r>
      <w:hyperlink r:id="rId20">
        <w:r>
          <w:rPr>
            <w:rStyle w:val="Hyperlink"/>
            <w:rFonts w:ascii="Times New Roman" w:hAnsi="Times New Roman"/>
            <w:b w:val="false"/>
            <w:i w:val="false"/>
            <w:color w:val="000000"/>
            <w:sz w:val="22"/>
          </w:rPr>
          <w:t>655—3.10</w:t>
        </w:r>
      </w:hyperlink>
      <w:r>
        <w:rPr>
          <w:rFonts w:ascii="Times New Roman" w:hAnsi="Times New Roman"/>
          <w:b w:val="false"/>
          <w:i w:val="false"/>
          <w:color w:val="000000"/>
          <w:sz w:val="22"/>
        </w:rPr>
        <w:t>(152) within the 12 months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denoting the date of graduation and diploma or degree conferred, sent directly to the board from the nursing program. An applicant may be excused from this requirement if the nursing program is closed and records are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 xml:space="preserve">An applicant who has submitted all documentation described in </w:t>
      </w:r>
      <w:hyperlink r:id="rId21">
        <w:r>
          <w:rPr>
            <w:rStyle w:val="Hyperlink"/>
            <w:rFonts w:ascii="Times New Roman" w:hAnsi="Times New Roman"/>
            <w:b w:val="false"/>
            <w:i w:val="false"/>
            <w:color w:val="000000"/>
            <w:sz w:val="22"/>
          </w:rPr>
          <w:t>paragraphs 3.5(1)</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hyperlink>
      <w:r>
        <w:rPr>
          <w:rFonts w:ascii="Times New Roman" w:hAnsi="Times New Roman"/>
          <w:b w:val="false"/>
          <w:i w:val="false"/>
          <w:color w:val="000000"/>
          <w:sz w:val="22"/>
        </w:rPr>
        <w:t xml:space="preserve"> may request a temporary registered nurse or licensed practical nurse license, which authorizes the practice of nursing in Iowa for a maximum of 30 days, pending receipt of official transcripts from the nursing program. A temporarily licensed licensee will automatically be issued a permanent license upon receipt of satisfactory transcripts from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Upon satisfactory review of the documentation described in </w:t>
      </w:r>
      <w:hyperlink r:id="rId22">
        <w:r>
          <w:rPr>
            <w:rStyle w:val="Hyperlink"/>
            <w:rFonts w:ascii="Times New Roman" w:hAnsi="Times New Roman"/>
            <w:b w:val="false"/>
            <w:i w:val="false"/>
            <w:color w:val="000000"/>
            <w:sz w:val="22"/>
          </w:rPr>
          <w:t>subrule 3.5(1)</w:t>
        </w:r>
      </w:hyperlink>
      <w:r>
        <w:rPr>
          <w:rFonts w:ascii="Times New Roman" w:hAnsi="Times New Roman"/>
          <w:b w:val="false"/>
          <w:i w:val="false"/>
          <w:color w:val="000000"/>
          <w:sz w:val="22"/>
        </w:rPr>
        <w:t>, the applicant will be issued a license to practice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the licensure process. </w:t>
      </w:r>
      <w:r>
        <w:rPr>
          <w:rFonts w:ascii="Times New Roman" w:hAnsi="Times New Roman"/>
          <w:b w:val="false"/>
          <w:i w:val="false"/>
          <w:color w:val="000000"/>
          <w:sz w:val="22"/>
        </w:rPr>
        <w:t>Once an application is initiated, the applicant has 12 months to complete the licensure process. The board reserves the right to destroy any applications and supporting documents after 12 months if the applicant has not completed the licensure process. Applicants who fail to complete the licensure process within 12 months are required to start the application process anew.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w:t>
      </w:r>
      <w:r>
        <w:rPr>
          <w:rFonts w:ascii="Times New Roman" w:hAnsi="Times New Roman"/>
          <w:b w:val="false"/>
          <w:i w:val="false"/>
          <w:color w:val="000000"/>
          <w:sz w:val="22"/>
        </w:rPr>
        <w:t> </w:t>
      </w:r>
      <w:r>
        <w:rPr>
          <w:rFonts w:ascii="Times New Roman" w:hAnsi="Times New Roman"/>
          <w:b w:val="false"/>
          <w:i/>
          <w:color w:val="000000"/>
          <w:sz w:val="22"/>
        </w:rPr>
        <w:t xml:space="preserve">Changing primary state of residence for multistate license. </w:t>
      </w:r>
      <w:r>
        <w:rPr>
          <w:rFonts w:ascii="Times New Roman" w:hAnsi="Times New Roman"/>
          <w:b w:val="false"/>
          <w:i w:val="false"/>
          <w:color w:val="000000"/>
          <w:sz w:val="22"/>
        </w:rPr>
        <w:t>A nurse who holds a multistate license issued by a party state and who changes the nurse’s primary state of residence to Iowa must apply for licensure in Iowa pursuant to this rule. Upon issuance of a multistate license by the board, the nurse’s prior multistate license will be deactivated.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655—3.6</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Applicants educated in a foreign country or in a U.S. territory that is not a member of NCSBN.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Applicant for licensure. </w:t>
      </w:r>
      <w:r>
        <w:rPr>
          <w:rFonts w:ascii="Times New Roman" w:hAnsi="Times New Roman"/>
          <w:b w:val="false"/>
          <w:i w:val="false"/>
          <w:color w:val="000000"/>
          <w:sz w:val="22"/>
        </w:rPr>
        <w:t xml:space="preserve">An applicant seeking licensure in Iowa who was educated in a foreign country or in a U.S. territory that is not a member of NCSBN shall apply for licensure by examination pursuant to rule </w:t>
      </w:r>
      <w:hyperlink r:id="rId23">
        <w:r>
          <w:rPr>
            <w:rStyle w:val="Hyperlink"/>
            <w:rFonts w:ascii="Times New Roman" w:hAnsi="Times New Roman"/>
            <w:b w:val="false"/>
            <w:i w:val="false"/>
            <w:color w:val="000000"/>
            <w:sz w:val="22"/>
          </w:rPr>
          <w:t>655—3.4</w:t>
        </w:r>
      </w:hyperlink>
      <w:r>
        <w:rPr>
          <w:rFonts w:ascii="Times New Roman" w:hAnsi="Times New Roman"/>
          <w:b w:val="false"/>
          <w:i w:val="false"/>
          <w:color w:val="000000"/>
          <w:sz w:val="22"/>
        </w:rPr>
        <w:t xml:space="preserve">(17A,147,152,272C) or licensure by endorsement pursuant to rule </w:t>
      </w:r>
      <w:hyperlink r:id="rId24">
        <w:r>
          <w:rPr>
            <w:rStyle w:val="Hyperlink"/>
            <w:rFonts w:ascii="Times New Roman" w:hAnsi="Times New Roman"/>
            <w:b w:val="false"/>
            <w:i w:val="false"/>
            <w:color w:val="000000"/>
            <w:sz w:val="22"/>
          </w:rPr>
          <w:t>655—3.5</w:t>
        </w:r>
      </w:hyperlink>
      <w:r>
        <w:rPr>
          <w:rFonts w:ascii="Times New Roman" w:hAnsi="Times New Roman"/>
          <w:b w:val="false"/>
          <w:i w:val="false"/>
          <w:color w:val="000000"/>
          <w:sz w:val="22"/>
        </w:rPr>
        <w:t>(17A,147,152,272C), as applicable, but instead of submitting an official transcript, shall submit one of the following documents issued by CGFNS: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Credentials Evaluation Service (CES) Professional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VisaScreen® certificate or certificate verification letter verifying that a VisaScreen®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CGFNS Certification Program® certificate or certificate verification letter verifying that a CGFNS Certification Program®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CGFNS documentation. </w:t>
      </w:r>
      <w:r>
        <w:rPr>
          <w:rFonts w:ascii="Times New Roman" w:hAnsi="Times New Roman"/>
          <w:b w:val="false"/>
          <w:i w:val="false"/>
          <w:color w:val="000000"/>
          <w:sz w:val="22"/>
        </w:rPr>
        <w:t>The documentation issued by CGFNS shall verify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education equivalent to approved nursing programs for licensed practical nurse and registered nurse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licensure or registration as a nurse in the applicant’s country or U.S. territory of origin, current country or U.S. territory of residence, or country or U.S. territory where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ability to read, write, speak, and understand the English language as determined by passing the TOEFL® or IELTS™ test. For the TOEFL® test, a passing score is as follows: 560 for the TOEFL® paper-based test, or 220 for the TOEFL® computer-based test, or 84 for the TOEFL® Internet-based test with a speaking score of at least 26. For the IELTS™ test, a passing score is as follows: an overall score of 6.5 and a speaking score of 7.0. An applicant shall be exempt from taking either the TOEFL® or IELTS™ test when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nursing education was completed in a college, university, or professional school located in Australia, Barbados, Canada (except Quebec), Ireland, Jamaica, New Zealand, South Africa, Trinidad and Tobago, or the United Kingdom.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language of instruction in the nursing program was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language of the textbooks in the nursing program was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To be eligible for a multistate license, an applicant must have a social security number. An applicant who does not have a social security number shall submit documentation of lawful presence and will only be eligible for a single 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655—3.7</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License renewal and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changes. </w:t>
      </w:r>
      <w:r>
        <w:rPr>
          <w:rFonts w:ascii="Times New Roman" w:hAnsi="Times New Roman"/>
          <w:b w:val="false"/>
          <w:i w:val="false"/>
          <w:color w:val="000000"/>
          <w:sz w:val="22"/>
        </w:rPr>
        <w:t>Licensees must notify the board in writing of any name or address change within 30 days of the change. Licensure documents are mailed to the licensee at the address on file in the board office. There is no fee for a change of name or address in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color w:val="000000"/>
          <w:sz w:val="22"/>
        </w:rPr>
        <w:t xml:space="preserve">Initial licenses. </w:t>
      </w:r>
      <w:r>
        <w:rPr>
          <w:rFonts w:ascii="Times New Roman" w:hAnsi="Times New Roman"/>
          <w:b w:val="false"/>
          <w:i w:val="false"/>
          <w:color w:val="000000"/>
          <w:sz w:val="22"/>
        </w:rPr>
        <w:t>The board shall issue licenses by endorsement and examination for a 24- to 36-month period. When the license is renewed, it will be placed on a three-year renewal cycle. License expiration shall be on the fifteenth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licensee may renew the license beginning 60 days prior to license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Attest that Iowa is the primary state of residence or that the primary state of residence is a noncompact state. The board may request evidence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renewal application and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 as set forth in </w:t>
      </w:r>
      <w:hyperlink r:id="rId25">
        <w:r>
          <w:rPr>
            <w:rStyle w:val="Hyperlink"/>
            <w:rFonts w:ascii="Times New Roman" w:hAnsi="Times New Roman"/>
            <w:b w:val="false"/>
            <w:i w:val="false"/>
            <w:color w:val="000000"/>
            <w:sz w:val="22"/>
          </w:rPr>
          <w:t>655—Chapter 5</w:t>
        </w:r>
      </w:hyperlink>
      <w:r>
        <w:rPr>
          <w:rFonts w:ascii="Times New Roman" w:hAnsi="Times New Roman"/>
          <w:b w:val="false"/>
          <w:i w:val="false"/>
          <w:color w:val="000000"/>
          <w:sz w:val="22"/>
        </w:rPr>
        <w:t>,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required mandatory reporter training set forth in </w:t>
      </w:r>
      <w:hyperlink r:id="rId26">
        <w:r>
          <w:rPr>
            <w:rStyle w:val="Hyperlink"/>
            <w:rFonts w:ascii="Times New Roman" w:hAnsi="Times New Roman"/>
            <w:b w:val="false"/>
            <w:i w:val="false"/>
            <w:color w:val="000000"/>
            <w:sz w:val="22"/>
          </w:rPr>
          <w:t>paragraph 3.7(3)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examines, attends, counsels or treats children in Iowa shall indicate on the renewal application completion of training in child abuse identification and reporting as required by Iowa Code section </w:t>
      </w:r>
      <w:hyperlink r:id="rId27">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rule suspension as identified in </w:t>
      </w:r>
      <w:hyperlink r:id="rId28">
        <w:r>
          <w:rPr>
            <w:rStyle w:val="Hyperlink"/>
            <w:rFonts w:ascii="Times New Roman" w:hAnsi="Times New Roman"/>
            <w:b w:val="false"/>
            <w:i w:val="false"/>
            <w:color w:val="000000"/>
            <w:sz w:val="22"/>
          </w:rPr>
          <w:t>subparagraph 3.7(3)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examines, attends, counsels or treats adults in Iowa shall indicate on the renewal application completion of training in dependent adult abuse identification and reporting as required by Iowa Code section </w:t>
      </w:r>
      <w:hyperlink r:id="rId2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rule suspension as identified in </w:t>
      </w:r>
      <w:hyperlink r:id="rId30">
        <w:r>
          <w:rPr>
            <w:rStyle w:val="Hyperlink"/>
            <w:rFonts w:ascii="Times New Roman" w:hAnsi="Times New Roman"/>
            <w:b w:val="false"/>
            <w:i w:val="false"/>
            <w:color w:val="000000"/>
            <w:sz w:val="22"/>
          </w:rPr>
          <w:t>subparagraph 3.7(3)</w:t>
        </w:r>
        <w:r>
          <w:rPr>
            <w:rFonts w:ascii="Times New Roman" w:hAnsi="Times New Roman"/>
            <w:b w:val="false"/>
            <w:i/>
            <w:color w:val="000000"/>
            <w:sz w:val="22"/>
          </w:rPr>
          <w:t>“b”</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w:t>
      </w:r>
      <w:hyperlink r:id="rId31">
        <w:r>
          <w:rPr>
            <w:rStyle w:val="Hyperlink"/>
            <w:rFonts w:ascii="Times New Roman" w:hAnsi="Times New Roman"/>
            <w:b w:val="false"/>
            <w:i w:val="false"/>
            <w:color w:val="000000"/>
            <w:sz w:val="22"/>
          </w:rPr>
          <w:t>subparagraphs 3.7(3)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exemption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33">
        <w:r>
          <w:rPr>
            <w:rStyle w:val="Hyperlink"/>
            <w:rFonts w:ascii="Times New Roman" w:hAnsi="Times New Roman"/>
            <w:b w:val="false"/>
            <w:i w:val="false"/>
            <w:color w:val="000000"/>
            <w:sz w:val="22"/>
          </w:rPr>
          <w:t>655—Chapter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w:t>
      </w:r>
      <w:hyperlink r:id="rId34">
        <w:r>
          <w:rPr>
            <w:rStyle w:val="Hyperlink"/>
            <w:rFonts w:ascii="Times New Roman" w:hAnsi="Times New Roman"/>
            <w:b w:val="false"/>
            <w:i w:val="false"/>
            <w:color w:val="000000"/>
            <w:sz w:val="22"/>
          </w:rPr>
          <w:t>subparagraphs 3.7(3)</w:t>
        </w:r>
        <w:r>
          <w:rPr>
            <w:rFonts w:ascii="Times New Roman" w:hAnsi="Times New Roman"/>
            <w:b w:val="false"/>
            <w:i/>
            <w:color w:val="000000"/>
            <w:sz w:val="22"/>
          </w:rPr>
          <w:t>“b”</w:t>
        </w:r>
        <w:r>
          <w:rPr>
            <w:rFonts w:ascii="Times New Roman" w:hAnsi="Times New Roman"/>
            <w:b w:val="false"/>
            <w:i w:val="false"/>
            <w:color w:val="000000"/>
            <w:sz w:val="22"/>
          </w:rPr>
          <w:t>(1) through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 xml:space="preserve">The license shall become late when the license has not been renewed by the expiration date. The licensee shall be assessed a late fee as specified in rule </w:t>
      </w:r>
      <w:hyperlink r:id="rId35">
        <w:r>
          <w:rPr>
            <w:rStyle w:val="Hyperlink"/>
            <w:rFonts w:ascii="Times New Roman" w:hAnsi="Times New Roman"/>
            <w:b w:val="false"/>
            <w:i w:val="false"/>
            <w:color w:val="000000"/>
            <w:sz w:val="22"/>
          </w:rPr>
          <w:t>655—3.1</w:t>
        </w:r>
      </w:hyperlink>
      <w:r>
        <w:rPr>
          <w:rFonts w:ascii="Times New Roman" w:hAnsi="Times New Roman"/>
          <w:b w:val="false"/>
          <w:i w:val="false"/>
          <w:color w:val="000000"/>
          <w:sz w:val="22"/>
        </w:rPr>
        <w:t>(17A,147,152,152E,272C). To renew a late license, the licensee shall complete the renewal requirements and submit the late fee before the fifteenth day of the month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The license shall become inactive when the license has not been renewed by the fifteenth day of the month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inactive license is not reactivated, it shall remain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resides in Iowa or a noncompact state, the licensee shall not practice nursing in Iowa until the license is reactivated to active status. If the licensee is identified as engaging in the practice of nursing with an inactive license, disciplinary proceedings may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obtain continuing education credit or pay fees while the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w:t>
      </w:r>
      <w:r>
        <w:rPr>
          <w:rFonts w:ascii="Times New Roman" w:hAnsi="Times New Roman"/>
          <w:b w:val="false"/>
          <w:i w:val="false"/>
          <w:color w:val="000000"/>
          <w:sz w:val="22"/>
        </w:rPr>
        <w:t> </w:t>
      </w:r>
      <w:r>
        <w:rPr>
          <w:rFonts w:ascii="Times New Roman" w:hAnsi="Times New Roman"/>
          <w:b w:val="false"/>
          <w:i/>
          <w:color w:val="000000"/>
          <w:sz w:val="22"/>
        </w:rPr>
        <w:t xml:space="preserve">Changing primary state of residence for multistate license. </w:t>
      </w:r>
      <w:r>
        <w:rPr>
          <w:rFonts w:ascii="Times New Roman" w:hAnsi="Times New Roman"/>
          <w:b w:val="false"/>
          <w:i w:val="false"/>
          <w:color w:val="000000"/>
          <w:sz w:val="22"/>
        </w:rPr>
        <w:t>A licensee who holds a multistate license issued by this board and who changes the licensee’s primary state of residency to another party state must apply for licensure in the new party state. Once the board has been notified by the new party state that a new license has been issued, the Iowa multistate license will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reactivate an inactive license, the licensee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of the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completed continuing education report form and supporting continuing education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have obtained 36 contact hours of continuing education, as specified in </w:t>
      </w:r>
      <w:hyperlink r:id="rId36">
        <w:r>
          <w:rPr>
            <w:rStyle w:val="Hyperlink"/>
            <w:rFonts w:ascii="Times New Roman" w:hAnsi="Times New Roman"/>
            <w:b w:val="false"/>
            <w:i w:val="false"/>
            <w:color w:val="000000"/>
            <w:sz w:val="22"/>
          </w:rPr>
          <w:t>655—Chapter 5</w:t>
        </w:r>
      </w:hyperlink>
      <w:r>
        <w:rPr>
          <w:rFonts w:ascii="Times New Roman" w:hAnsi="Times New Roman"/>
          <w:b w:val="false"/>
          <w:i w:val="false"/>
          <w:color w:val="000000"/>
          <w:sz w:val="22"/>
        </w:rPr>
        <w:t>, within the 36 months prior to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licensee has not held an active license in any jurisdiction within the previous five years, the licensee must complete a nurse refresher course in accordance with rule </w:t>
      </w:r>
      <w:hyperlink r:id="rId37">
        <w:r>
          <w:rPr>
            <w:rStyle w:val="Hyperlink"/>
            <w:rFonts w:ascii="Times New Roman" w:hAnsi="Times New Roman"/>
            <w:b w:val="false"/>
            <w:i w:val="false"/>
            <w:color w:val="000000"/>
            <w:sz w:val="22"/>
          </w:rPr>
          <w:t>655—3.10</w:t>
        </w:r>
      </w:hyperlink>
      <w:r>
        <w:rPr>
          <w:rFonts w:ascii="Times New Roman" w:hAnsi="Times New Roman"/>
          <w:b w:val="false"/>
          <w:i w:val="false"/>
          <w:color w:val="000000"/>
          <w:sz w:val="22"/>
        </w:rPr>
        <w:t>(152) within 12 months of applying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all necessary materials, the licensee shall be issued a license for a 24- to 36-month period. At the time of the next renewal, the license will be placed on a three-year renewal cycle. License expiration shall be on the fifteenth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fails to complete the reactivation of licensure process within 12 months from the date of initial application must reapply. 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655—3.8</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Verification. </w:t>
      </w:r>
      <w:r>
        <w:rPr>
          <w:rFonts w:ascii="Times New Roman" w:hAnsi="Times New Roman"/>
          <w:b w:val="false"/>
          <w:i w:val="false"/>
          <w:color w:val="000000"/>
          <w:sz w:val="22"/>
        </w:rPr>
        <w:t xml:space="preserve">Upon written request from the licensee or another jurisdiction and payment of the verification fee as specified in rule </w:t>
      </w:r>
      <w:hyperlink r:id="rId38">
        <w:r>
          <w:rPr>
            <w:rStyle w:val="Hyperlink"/>
            <w:rFonts w:ascii="Times New Roman" w:hAnsi="Times New Roman"/>
            <w:b w:val="false"/>
            <w:i w:val="false"/>
            <w:color w:val="000000"/>
            <w:sz w:val="22"/>
          </w:rPr>
          <w:t>655—3.1</w:t>
        </w:r>
      </w:hyperlink>
      <w:r>
        <w:rPr>
          <w:rFonts w:ascii="Times New Roman" w:hAnsi="Times New Roman"/>
          <w:b w:val="false"/>
          <w:i w:val="false"/>
          <w:color w:val="000000"/>
          <w:sz w:val="22"/>
        </w:rPr>
        <w:t>(17A,147,152,152E,272C), the board shall provide a certified statement to another jurisdiction or entity that the license of a registered nurse, licensed practical nurse or advanced registered nurse practitioner is active, inactive or encumbered/disciplined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655—3.9</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Prior to the denial of licensure to an applicant, the board shall issue a preliminary notice of denial that cites the factual and legal basis for denying the application, notifies the applicant of the appeal process and specifies the date upon which the denial will become final if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issued a preliminary notice of denial may appeal the notice and request a hearing on the issues related to the preliminary notice of denial by serving a request for hearing upon the executive director within 30 days following the date the preliminary notice of denial was mailed. The request for hearing shall specify the factual or legal errors in the preliminary notice of denial and provide any additional written information or documents in support of the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 xml:space="preserve">All hearings held pursuant to this rule shall be held in accordance with the process outlined in </w:t>
      </w:r>
      <w:hyperlink r:id="rId39">
        <w:r>
          <w:rPr>
            <w:rStyle w:val="Hyperlink"/>
            <w:rFonts w:ascii="Times New Roman" w:hAnsi="Times New Roman"/>
            <w:b w:val="false"/>
            <w:i w:val="false"/>
            <w:color w:val="000000"/>
            <w:sz w:val="22"/>
          </w:rPr>
          <w:t>655—Chapter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If an applicant does not appeal a preliminary notice of denial, the preliminary notice of denial automatically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655—3.10</w:t>
      </w:r>
      <w:r>
        <w:rPr>
          <w:rFonts w:ascii="Times New Roman" w:hAnsi="Times New Roman"/>
          <w:b/>
          <w:i w:val="false"/>
          <w:color w:val="000000"/>
          <w:sz w:val="22"/>
        </w:rPr>
        <w:t xml:space="preserve">(152) </w:t>
      </w:r>
      <w:r>
        <w:rPr>
          <w:rFonts w:ascii="Times New Roman" w:hAnsi="Times New Roman"/>
          <w:b/>
          <w:i w:val="false"/>
          <w:color w:val="000000"/>
          <w:sz w:val="22"/>
        </w:rPr>
        <w:t xml:space="preserve">Nurse refresher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A nurse refresher course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theory, with content in basic nursing skills, pharmacology, physical assessment, intravenous (IV) therapy (registered nurse only), and legal and ethical considerations in health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hands-on supervised clinical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To participate in the clinical component of a nurse refresher course in Iowa, a licensee must have an active license to practice nursing in Iowa or a limited authorization issued by the board. A licensee shall request the limited authorization from the board prior to beginning the clinical component of a nurse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val="false"/>
          <w:color w:val="000000"/>
          <w:sz w:val="22"/>
        </w:rPr>
        <w:t>To receive a certificate of completion from the nurse refresher course, a licensee must complete all requirements of the nurse refresher course to the satisfaction of the course provider. The course provider shall submit proof of the licensee’s completion of the nurse refresher course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655—3.11</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w:t>
      </w:r>
      <w:hyperlink r:id="rId40">
        <w:r>
          <w:rPr>
            <w:rStyle w:val="Hyperlink"/>
            <w:rFonts w:ascii="Times New Roman" w:hAnsi="Times New Roman"/>
            <w:b w:val="false"/>
            <w:i w:val="false"/>
            <w:color w:val="000000"/>
            <w:sz w:val="22"/>
          </w:rPr>
          <w:t>subrule 3.11(3)</w:t>
        </w:r>
      </w:hyperlink>
      <w:r>
        <w:rPr>
          <w:rFonts w:ascii="Times New Roman" w:hAnsi="Times New Roman"/>
          <w:b w:val="false"/>
          <w:i w:val="false"/>
          <w:color w:val="000000"/>
          <w:sz w:val="22"/>
        </w:rPr>
        <w:t>,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the license application to be considered complete, an applicant with one or more convictions shall submit the complete criminal record for each conviction and a personal statement regarding whether each conviction directly relates to the duties and responsibilities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part of the license application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41">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deem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petitioner’s or applicant’s convictions include at least one disqualifying offense. Upon the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3.11(5)</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5/12/70; amended 8/11/70]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2/20/76, Notice 12/29/75—published 3/8/76, effective 4/12/76]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5/3/76, Notices 1/12/76, 3/22/76—published 5/17/76, effective 6/21/76]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5/24/76, Notice 4/19/76—published 6/14/76, effective 7/19/76]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12/3/76, Notice 8/9/76—published 12/29/76, effective 2/2/77]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3/9/77, Notice 12/29/76—published 4/6/77, effective 5/11/77]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3/18/77, Notice 8/9/76—published 4/6/77, effective 5/11/77]</w:t>
      </w:r>
    </w:p>
    <w:p>
      <w:pPr>
        <w:spacing w:before="0" w:after="0"/>
        <w:ind w:left="120"/>
        <w:jc w:val="center"/>
      </w:pPr>
      <w:r>
        <w:rPr>
          <w:rFonts w:ascii="Times New Roman" w:hAnsi="Times New Roman"/>
          <w:b w:val="false"/>
          <w:i w:val="false"/>
          <w:color w:val="000000"/>
          <w:sz w:val="21"/>
        </w:rPr>
        <w:t>[Filed 6/24/77, Notices 12/15/76, 4/20/77—published 7/13/77, effective 8/17/77]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10/3/77, Notice 8/24/77—published 10/19/77, effective 11/23/77]</w:t>
      </w:r>
    </w:p>
    <w:p>
      <w:pPr>
        <w:spacing w:before="0" w:after="0"/>
        <w:ind w:left="120"/>
        <w:jc w:val="center"/>
      </w:pPr>
      <w:r>
        <w:rPr>
          <w:rFonts w:ascii="Times New Roman" w:hAnsi="Times New Roman"/>
          <w:b w:val="false"/>
          <w:i w:val="false"/>
          <w:color w:val="000000"/>
          <w:sz w:val="21"/>
        </w:rPr>
        <w:t>[Filed emergency 1/23/78—published 2/8/78, effective 1/23/78]</w:t>
      </w:r>
    </w:p>
    <w:p>
      <w:pPr>
        <w:spacing w:before="0" w:after="0"/>
        <w:ind w:left="120"/>
        <w:jc w:val="center"/>
      </w:pPr>
      <w:r>
        <w:rPr>
          <w:rFonts w:ascii="Times New Roman" w:hAnsi="Times New Roman"/>
          <w:b w:val="false"/>
          <w:i w:val="false"/>
          <w:color w:val="000000"/>
          <w:sz w:val="21"/>
        </w:rPr>
        <w:t>[Filed 4/21/78, Notice 2/22/78—published 5/17/78, effective 6/21/78]</w:t>
      </w:r>
    </w:p>
    <w:p>
      <w:pPr>
        <w:spacing w:before="0" w:after="0"/>
        <w:ind w:left="120"/>
        <w:jc w:val="center"/>
      </w:pPr>
      <w:r>
        <w:rPr>
          <w:rFonts w:ascii="Times New Roman" w:hAnsi="Times New Roman"/>
          <w:b w:val="false"/>
          <w:i w:val="false"/>
          <w:color w:val="000000"/>
          <w:sz w:val="21"/>
        </w:rPr>
        <w:t>[Filed 4/21/78, Notice 3/8/78—published 5/1/78, effective 6/21/78]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7/17/80, Notice 5/14/80—published 8/6/80, effective 9/10/80]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after Notice 6/21/82, Notice 5/12/82—published 7/7/82, effective 6/21/82]</w:t>
      </w:r>
    </w:p>
    <w:p>
      <w:pPr>
        <w:spacing w:before="0" w:after="0"/>
        <w:ind w:left="120"/>
        <w:jc w:val="center"/>
      </w:pPr>
      <w:r>
        <w:rPr>
          <w:rFonts w:ascii="Times New Roman" w:hAnsi="Times New Roman"/>
          <w:b w:val="false"/>
          <w:i w:val="false"/>
          <w:color w:val="000000"/>
          <w:sz w:val="21"/>
        </w:rPr>
        <w:t>[Filed emergency after Notice 2/10/83, Notice 1/5/83—published 3/2/83, effective 2/10/83]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10/17/84, Notice 8/29/84—published 11/7/84, effective 12/12/84]</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7/19/85, Notice 5/22/85—published 8/14/85, effective 9/18/85]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emergency after Notice 4/15/86, Notice 2/26/86—published 5/7/86, effective 4/18/86]</w:t>
      </w:r>
    </w:p>
    <w:p>
      <w:pPr>
        <w:spacing w:before="0" w:after="0"/>
        <w:ind w:left="120"/>
        <w:jc w:val="center"/>
      </w:pPr>
      <w:r>
        <w:rPr>
          <w:rFonts w:ascii="Times New Roman" w:hAnsi="Times New Roman"/>
          <w:b w:val="false"/>
          <w:i w:val="false"/>
          <w:color w:val="000000"/>
          <w:sz w:val="21"/>
        </w:rPr>
        <w:t>[Filed 9/22/86, Notice 8/13/86—published 10/8/86, effective 11/12/86]</w:t>
      </w:r>
    </w:p>
    <w:p>
      <w:pPr>
        <w:spacing w:before="0" w:after="0"/>
        <w:ind w:left="120"/>
        <w:jc w:val="center"/>
      </w:pPr>
      <w:r>
        <w:rPr>
          <w:rFonts w:ascii="Times New Roman" w:hAnsi="Times New Roman"/>
          <w:b w:val="false"/>
          <w:i w:val="false"/>
          <w:color w:val="000000"/>
          <w:sz w:val="21"/>
        </w:rPr>
        <w:t>[Filed 4/30/87, Notice 2/25/87—published 5/20/87, effective 6/24/87]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10/2/87, Notice 7/15/87—published 10/21/87, effective 11/25/87]</w:t>
      </w:r>
    </w:p>
    <w:p>
      <w:pPr>
        <w:spacing w:before="0" w:after="0"/>
        <w:ind w:left="120"/>
        <w:jc w:val="center"/>
      </w:pPr>
      <w:r>
        <w:rPr>
          <w:rFonts w:ascii="Times New Roman" w:hAnsi="Times New Roman"/>
          <w:b w:val="false"/>
          <w:i w:val="false"/>
          <w:color w:val="000000"/>
          <w:sz w:val="21"/>
        </w:rPr>
        <w:t>[Filed 2/17/88, Notice 12/16/87—published 3/9/88, effective 4/13/88]</w:t>
      </w:r>
    </w:p>
    <w:p>
      <w:pPr>
        <w:spacing w:before="0" w:after="0"/>
        <w:ind w:left="120"/>
        <w:jc w:val="center"/>
      </w:pPr>
      <w:r>
        <w:rPr>
          <w:rFonts w:ascii="Times New Roman" w:hAnsi="Times New Roman"/>
          <w:b w:val="false"/>
          <w:i w:val="false"/>
          <w:color w:val="000000"/>
          <w:sz w:val="21"/>
        </w:rPr>
        <w:t>[Filed 3/10/88, Notice 9/9/87—published 4/6/88, effective 7/1/88]</w:t>
      </w:r>
    </w:p>
    <w:p>
      <w:pPr>
        <w:spacing w:before="0" w:after="0"/>
        <w:ind w:left="120"/>
        <w:jc w:val="center"/>
      </w:pPr>
      <w:r>
        <w:rPr>
          <w:rFonts w:ascii="Times New Roman" w:hAnsi="Times New Roman"/>
          <w:b w:val="false"/>
          <w:i w:val="false"/>
          <w:color w:val="000000"/>
          <w:sz w:val="21"/>
        </w:rPr>
        <w:t>[Filed emergency 4/15/88 after Notice 2/24/88—published 5/4/88, effective 4/15/88]</w:t>
      </w:r>
    </w:p>
    <w:p>
      <w:pPr>
        <w:spacing w:before="0" w:after="0"/>
        <w:ind w:left="120"/>
        <w:jc w:val="center"/>
      </w:pPr>
      <w:r>
        <w:rPr>
          <w:rFonts w:ascii="Times New Roman" w:hAnsi="Times New Roman"/>
          <w:b w:val="false"/>
          <w:i w:val="false"/>
          <w:color w:val="000000"/>
          <w:sz w:val="21"/>
        </w:rPr>
        <w:t>[Filed 8/4/88, Notice 4/20/88—published 8/24/88, effective 9/28/88]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9/12/88, Notice 6/29/88—published 10/5/88, effective 11/9/88]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10/6/88, Notice 8/24/88—published 11/2/88, effective 12/7/88]</w:t>
      </w:r>
    </w:p>
    <w:p>
      <w:pPr>
        <w:spacing w:before="0" w:after="0"/>
        <w:ind w:left="120"/>
        <w:jc w:val="center"/>
      </w:pPr>
      <w:r>
        <w:rPr>
          <w:rFonts w:ascii="Times New Roman" w:hAnsi="Times New Roman"/>
          <w:b w:val="false"/>
          <w:i w:val="false"/>
          <w:color w:val="000000"/>
          <w:sz w:val="21"/>
        </w:rPr>
        <w:t>[Filed 5/26/89, Notice 2/22/89—published 6/14/89, effective 7/19/89]</w:t>
      </w:r>
    </w:p>
    <w:p>
      <w:pPr>
        <w:spacing w:before="0" w:after="0"/>
        <w:ind w:left="120"/>
        <w:jc w:val="center"/>
      </w:pPr>
      <w:r>
        <w:rPr>
          <w:rFonts w:ascii="Times New Roman" w:hAnsi="Times New Roman"/>
          <w:b w:val="false"/>
          <w:i w:val="false"/>
          <w:color w:val="000000"/>
          <w:sz w:val="21"/>
        </w:rPr>
        <w:t>[Filed 3/15/90, Notice 1/10/90—published 4/4/90, effective 5/9/90]</w:t>
      </w:r>
    </w:p>
    <w:p>
      <w:pPr>
        <w:spacing w:before="0" w:after="0"/>
        <w:ind w:left="120"/>
        <w:jc w:val="center"/>
      </w:pPr>
      <w:r>
        <w:rPr>
          <w:rFonts w:ascii="Times New Roman" w:hAnsi="Times New Roman"/>
          <w:b w:val="false"/>
          <w:i w:val="false"/>
          <w:color w:val="000000"/>
          <w:sz w:val="21"/>
        </w:rPr>
        <w:t>[Filed 12/20/91, Notice 10/16/91—published 1/8/92, effective 2/12/92]</w:t>
      </w:r>
    </w:p>
    <w:p>
      <w:pPr>
        <w:spacing w:before="0" w:after="0"/>
        <w:ind w:left="120"/>
        <w:jc w:val="center"/>
      </w:pPr>
      <w:r>
        <w:rPr>
          <w:rFonts w:ascii="Times New Roman" w:hAnsi="Times New Roman"/>
          <w:b w:val="false"/>
          <w:i w:val="false"/>
          <w:color w:val="000000"/>
          <w:sz w:val="21"/>
        </w:rPr>
        <w:t>[Filed emergency 2/10/93 after Notice 1/6/93—published 3/3/93, effective 2/10/93]</w:t>
      </w:r>
    </w:p>
    <w:p>
      <w:pPr>
        <w:spacing w:before="0" w:after="0"/>
        <w:ind w:left="120"/>
        <w:jc w:val="center"/>
      </w:pPr>
      <w:r>
        <w:rPr>
          <w:rFonts w:ascii="Times New Roman" w:hAnsi="Times New Roman"/>
          <w:b w:val="false"/>
          <w:i w:val="false"/>
          <w:color w:val="000000"/>
          <w:sz w:val="21"/>
        </w:rPr>
        <w:t>[Filed 12/8/93, Notice 10/13/93—published 1/5/94, effective 2/9/94]</w:t>
      </w:r>
    </w:p>
    <w:p>
      <w:pPr>
        <w:spacing w:before="0" w:after="0"/>
        <w:ind w:left="120"/>
        <w:jc w:val="center"/>
      </w:pPr>
      <w:r>
        <w:rPr>
          <w:rFonts w:ascii="Times New Roman" w:hAnsi="Times New Roman"/>
          <w:b w:val="false"/>
          <w:i w:val="false"/>
          <w:color w:val="000000"/>
          <w:sz w:val="21"/>
        </w:rPr>
        <w:t>[Filed 6/16/94, Notice 4/13/94—published 7/6/94, effective 8/10/94]</w:t>
      </w:r>
    </w:p>
    <w:p>
      <w:pPr>
        <w:spacing w:before="0" w:after="0"/>
        <w:ind w:left="120"/>
        <w:jc w:val="center"/>
      </w:pPr>
      <w:r>
        <w:rPr>
          <w:rFonts w:ascii="Times New Roman" w:hAnsi="Times New Roman"/>
          <w:b w:val="false"/>
          <w:i w:val="false"/>
          <w:color w:val="000000"/>
          <w:sz w:val="21"/>
        </w:rPr>
        <w:t>[Filed 9/30/94, Notice 7/6/94—published 10/26/94, effective 11/30/94]</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10/5/95, Notice 7/5/95—published 10/25/95, effective 11/29/95]</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8/17/99, Notice 6/30/99—published 9/8/99, effective 10/13/99]</w:t>
      </w:r>
    </w:p>
    <w:p>
      <w:pPr>
        <w:spacing w:before="0" w:after="0"/>
        <w:ind w:left="120"/>
        <w:jc w:val="center"/>
      </w:pPr>
      <w:r>
        <w:rPr>
          <w:rFonts w:ascii="Times New Roman" w:hAnsi="Times New Roman"/>
          <w:b w:val="false"/>
          <w:i w:val="false"/>
          <w:color w:val="000000"/>
          <w:sz w:val="21"/>
        </w:rPr>
        <w:t>[Filed 9/28/99, Notice 8/25/99—published 10/20/99, effective 11/24/99]</w:t>
      </w:r>
    </w:p>
    <w:p>
      <w:pPr>
        <w:spacing w:before="0" w:after="0"/>
        <w:ind w:left="120"/>
        <w:jc w:val="center"/>
      </w:pPr>
      <w:r>
        <w:rPr>
          <w:rFonts w:ascii="Times New Roman" w:hAnsi="Times New Roman"/>
          <w:b w:val="false"/>
          <w:i w:val="false"/>
          <w:color w:val="000000"/>
          <w:sz w:val="21"/>
        </w:rPr>
        <w:t>[Filed 12/10/99, Notice 10/20/99—published 12/29/99, effective 2/2/00]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3/15/01, Notice 1/10/01—published 4/4/01, effective 5/9/01]</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2/8/02, Notice 12/26/01—published 3/6/02, effective 4/10/02]</w:t>
      </w:r>
    </w:p>
    <w:p>
      <w:pPr>
        <w:spacing w:before="0" w:after="0"/>
        <w:ind w:left="120"/>
        <w:jc w:val="center"/>
      </w:pPr>
      <w:r>
        <w:rPr>
          <w:rFonts w:ascii="Times New Roman" w:hAnsi="Times New Roman"/>
          <w:b w:val="false"/>
          <w:i w:val="false"/>
          <w:color w:val="000000"/>
          <w:sz w:val="21"/>
        </w:rPr>
        <w:t>[Filed emergency 6/7/02—published 6/26/02, effective 7/1/02]</w:t>
      </w:r>
    </w:p>
    <w:p>
      <w:pPr>
        <w:spacing w:before="0" w:after="0"/>
        <w:ind w:left="120"/>
        <w:jc w:val="center"/>
      </w:pPr>
      <w:r>
        <w:rPr>
          <w:rFonts w:ascii="Times New Roman" w:hAnsi="Times New Roman"/>
          <w:b w:val="false"/>
          <w:i w:val="false"/>
          <w:color w:val="000000"/>
          <w:sz w:val="21"/>
        </w:rPr>
        <w:t>[Filed 6/7/02, Notice 3/20/02—published 6/26/02, effective 7/31/02]</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9/12/02, Notice 6/26/02—published 10/2/02, effective 11/6/02]</w:t>
      </w:r>
    </w:p>
    <w:p>
      <w:pPr>
        <w:spacing w:before="0" w:after="0"/>
        <w:ind w:left="120"/>
        <w:jc w:val="center"/>
      </w:pPr>
      <w:r>
        <w:rPr>
          <w:rFonts w:ascii="Times New Roman" w:hAnsi="Times New Roman"/>
          <w:b w:val="false"/>
          <w:i w:val="false"/>
          <w:color w:val="000000"/>
          <w:sz w:val="21"/>
        </w:rPr>
        <w:t>[Filed 12/6/02, Notice 10/2/02—published 12/25/02, effective 1/29/03]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12/5/03, Notice 10/1/03—published 12/24/03, effective 1/28/04]</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6/16/05,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3/22/06, Notice 1/4/06—published 4/12/06, effective 5/17/06]</w:t>
      </w:r>
    </w:p>
    <w:p>
      <w:pPr>
        <w:spacing w:before="0" w:after="0"/>
        <w:ind w:left="120"/>
        <w:jc w:val="center"/>
      </w:pPr>
      <w:r>
        <w:rPr>
          <w:rFonts w:ascii="Times New Roman" w:hAnsi="Times New Roman"/>
          <w:b w:val="false"/>
          <w:i w:val="false"/>
          <w:color w:val="000000"/>
          <w:sz w:val="21"/>
        </w:rPr>
        <w:t>[Filed 6/19/07, Notice 3/28/07—published 7/18/07, effective 8/22/07]</w:t>
      </w:r>
    </w:p>
    <w:p>
      <w:pPr>
        <w:spacing w:before="0" w:after="0"/>
        <w:ind w:left="120"/>
        <w:jc w:val="center"/>
      </w:pPr>
      <w:r>
        <w:rPr>
          <w:rFonts w:ascii="Times New Roman" w:hAnsi="Times New Roman"/>
          <w:b w:val="false"/>
          <w:i w:val="false"/>
          <w:color w:val="000000"/>
          <w:sz w:val="21"/>
        </w:rPr>
        <w:t>[Filed ARC 7664B</w:t>
      </w:r>
      <w:r>
        <w:rPr>
          <w:rFonts w:ascii="Times New Roman" w:hAnsi="Times New Roman"/>
          <w:b w:val="false"/>
          <w:i w:val="false"/>
          <w:color w:val="000000"/>
          <w:sz w:val="21"/>
        </w:rPr>
        <w:t xml:space="preserve"> (Notice ARC 7485B, IAB 1/14/09)</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8222B</w:t>
      </w:r>
      <w:r>
        <w:rPr>
          <w:rFonts w:ascii="Times New Roman" w:hAnsi="Times New Roman"/>
          <w:b w:val="false"/>
          <w:i w:val="false"/>
          <w:color w:val="000000"/>
          <w:sz w:val="21"/>
        </w:rPr>
        <w:t xml:space="preserve"> (Notice ARC 7889B,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8810B</w:t>
      </w:r>
      <w:r>
        <w:rPr>
          <w:rFonts w:ascii="Times New Roman" w:hAnsi="Times New Roman"/>
          <w:b w:val="false"/>
          <w:i w:val="false"/>
          <w:color w:val="000000"/>
          <w:sz w:val="21"/>
        </w:rPr>
        <w:t xml:space="preserve"> (Notice ARC 8675B,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1130C</w:t>
      </w:r>
      <w:r>
        <w:rPr>
          <w:rFonts w:ascii="Times New Roman" w:hAnsi="Times New Roman"/>
          <w:b w:val="false"/>
          <w:i w:val="false"/>
          <w:color w:val="000000"/>
          <w:sz w:val="21"/>
        </w:rPr>
        <w:t xml:space="preserve"> (Notice ARC 0810C, IAB 6/26/13)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1131C</w:t>
      </w:r>
      <w:r>
        <w:rPr>
          <w:rFonts w:ascii="Times New Roman" w:hAnsi="Times New Roman"/>
          <w:b w:val="false"/>
          <w:i w:val="false"/>
          <w:color w:val="000000"/>
          <w:sz w:val="21"/>
        </w:rPr>
        <w:t xml:space="preserve"> (Notice ARC 0876C, IAB 7/24/13)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1815C</w:t>
      </w:r>
      <w:r>
        <w:rPr>
          <w:rFonts w:ascii="Times New Roman" w:hAnsi="Times New Roman"/>
          <w:b w:val="false"/>
          <w:i w:val="false"/>
          <w:color w:val="000000"/>
          <w:sz w:val="21"/>
        </w:rPr>
        <w:t xml:space="preserve"> (Notice ARC 1569C, IAB 8/6/14)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3465C</w:t>
      </w:r>
      <w:r>
        <w:rPr>
          <w:rFonts w:ascii="Times New Roman" w:hAnsi="Times New Roman"/>
          <w:b w:val="false"/>
          <w:i w:val="false"/>
          <w:color w:val="000000"/>
          <w:sz w:val="21"/>
        </w:rPr>
        <w:t xml:space="preserve"> (Notice ARC 3046C, IAB 5/10/17)</w:t>
      </w:r>
      <w:r>
        <w:rPr>
          <w:rFonts w:ascii="Times New Roman" w:hAnsi="Times New Roman"/>
          <w:b w:val="false"/>
          <w:i w:val="false"/>
          <w:color w:val="000000"/>
          <w:sz w:val="21"/>
        </w:rPr>
        <w:t>, IAB 11/22/17, effective 1/1/18]</w:t>
      </w:r>
    </w:p>
    <w:p>
      <w:pPr>
        <w:spacing w:before="0" w:after="0"/>
        <w:ind w:left="120"/>
        <w:jc w:val="center"/>
      </w:pPr>
      <w:r>
        <w:rPr>
          <w:rFonts w:ascii="Times New Roman" w:hAnsi="Times New Roman"/>
          <w:b w:val="false"/>
          <w:i w:val="false"/>
          <w:color w:val="000000"/>
          <w:sz w:val="21"/>
        </w:rPr>
        <w:t>[Filed ARC 4413C</w:t>
      </w:r>
      <w:r>
        <w:rPr>
          <w:rFonts w:ascii="Times New Roman" w:hAnsi="Times New Roman"/>
          <w:b w:val="false"/>
          <w:i w:val="false"/>
          <w:color w:val="000000"/>
          <w:sz w:val="21"/>
        </w:rPr>
        <w:t xml:space="preserve"> (Notice ARC 4286C, IAB 2/13/19)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4926C</w:t>
      </w:r>
      <w:r>
        <w:rPr>
          <w:rFonts w:ascii="Times New Roman" w:hAnsi="Times New Roman"/>
          <w:b w:val="false"/>
          <w:i w:val="false"/>
          <w:color w:val="000000"/>
          <w:sz w:val="21"/>
        </w:rPr>
        <w:t xml:space="preserve"> (Notice ARC 4743C,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6197C</w:t>
      </w:r>
      <w:r>
        <w:rPr>
          <w:rFonts w:ascii="Times New Roman" w:hAnsi="Times New Roman"/>
          <w:b w:val="false"/>
          <w:i w:val="false"/>
          <w:color w:val="000000"/>
          <w:sz w:val="21"/>
        </w:rPr>
        <w:t xml:space="preserve"> (Notice ARC 6048C, IAB 11/17/21)</w:t>
      </w:r>
      <w:r>
        <w:rPr>
          <w:rFonts w:ascii="Times New Roman" w:hAnsi="Times New Roman"/>
          <w:b w:val="false"/>
          <w:i w:val="false"/>
          <w:color w:val="000000"/>
          <w:sz w:val="21"/>
        </w:rPr>
        <w:t>, IAB 2/23/22, effective 3/30/22]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History relating also to “Licensure to Practice—Licensed Practical Nurse,” Ch 4 prior to IAC 5/23/84.</w:t>
      </w:r>
    </w:p>
    <w:p>
      <w:pPr>
        <w:pBdr>
          <w:bottom w:space="2"/>
        </w:pBdr>
        <w:spacing w:before="0" w:after="0"/>
        <w:ind w:left="120"/>
        <w:jc w:val="both"/>
      </w:pPr>
      <w:r>
        <w:rPr>
          <w:rFonts w:ascii="Times New Roman" w:hAnsi="Times New Roman"/>
          <w:b w:val="false"/>
          <w:i w:val="false"/>
          <w:color w:val="000000"/>
          <w:sz w:val="22"/>
        </w:rPr>
        <w:t>Effective date of 11/9/88 delayed 70 days by the Administrative Rules Review Committee at its October meeting. Delay lifted by ARRC 11/16/88.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E.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52.1.pdf" Type="http://schemas.openxmlformats.org/officeDocument/2006/relationships/hyperlink" Id="rId7"/>
    <Relationship TargetMode="External" Target="https://www.legis.iowa.gov/docs/ico/chapter/152E.pdf" Type="http://schemas.openxmlformats.org/officeDocument/2006/relationships/hyperlink" Id="rId8"/>
    <Relationship TargetMode="External" Target="https://www.legis.iowa.gov/docs/iac/rule/655.3.11.pdf" Type="http://schemas.openxmlformats.org/officeDocument/2006/relationships/hyperlink" Id="rId9"/>
    <Relationship TargetMode="External" Target="https://www.legis.iowa.gov/docs/iac/rule/655.3.11.pdf" Type="http://schemas.openxmlformats.org/officeDocument/2006/relationships/hyperlink" Id="rId10"/>
    <Relationship TargetMode="External" Target="https://www.legis.iowa.gov/docs/iac/rule/655.3.4.pdf" Type="http://schemas.openxmlformats.org/officeDocument/2006/relationships/hyperlink" Id="rId11"/>
    <Relationship TargetMode="External" Target="https://www.legis.iowa.gov/docs/iac/rule/655.3.4.pdf" Type="http://schemas.openxmlformats.org/officeDocument/2006/relationships/hyperlink" Id="rId12"/>
    <Relationship TargetMode="External" Target="https://www.legis.iowa.gov/docs/iac/rule/655.3.4.pdf" Type="http://schemas.openxmlformats.org/officeDocument/2006/relationships/hyperlink" Id="rId13"/>
    <Relationship TargetMode="External" Target="https://www.legis.iowa.gov/docs/iac/rule/655.3.4.pdf" Type="http://schemas.openxmlformats.org/officeDocument/2006/relationships/hyperlink" Id="rId14"/>
    <Relationship TargetMode="External" Target="https://www.legis.iowa.gov/docs/iac/rule/655.3.4.pdf" Type="http://schemas.openxmlformats.org/officeDocument/2006/relationships/hyperlink" Id="rId15"/>
    <Relationship TargetMode="External" Target="https://www.legis.iowa.gov/docs/iac/rule/655.3.4.pdf" Type="http://schemas.openxmlformats.org/officeDocument/2006/relationships/hyperlink" Id="rId16"/>
    <Relationship TargetMode="External" Target="https://www.legis.iowa.gov/docs/iac/rule/655.3.4.pdf" Type="http://schemas.openxmlformats.org/officeDocument/2006/relationships/hyperlink" Id="rId17"/>
    <Relationship TargetMode="External" Target="https://www.legis.iowa.gov/docs/iac/rule/655.3.11.pdf" Type="http://schemas.openxmlformats.org/officeDocument/2006/relationships/hyperlink" Id="rId18"/>
    <Relationship TargetMode="External" Target="http://www.nursys.com" Type="http://schemas.openxmlformats.org/officeDocument/2006/relationships/hyperlink" Id="rId19"/>
    <Relationship TargetMode="External" Target="https://www.legis.iowa.gov/docs/iac/rule/655.3.10.pdf" Type="http://schemas.openxmlformats.org/officeDocument/2006/relationships/hyperlink" Id="rId20"/>
    <Relationship TargetMode="External" Target="https://www.legis.iowa.gov/docs/iac/rule/655.3.5.pdf" Type="http://schemas.openxmlformats.org/officeDocument/2006/relationships/hyperlink" Id="rId21"/>
    <Relationship TargetMode="External" Target="https://www.legis.iowa.gov/docs/iac/rule/655.3.5.pdf" Type="http://schemas.openxmlformats.org/officeDocument/2006/relationships/hyperlink" Id="rId22"/>
    <Relationship TargetMode="External" Target="https://www.legis.iowa.gov/docs/iac/rule/655.3.4.pdf" Type="http://schemas.openxmlformats.org/officeDocument/2006/relationships/hyperlink" Id="rId23"/>
    <Relationship TargetMode="External" Target="https://www.legis.iowa.gov/docs/iac/rule/655.3.5.pdf" Type="http://schemas.openxmlformats.org/officeDocument/2006/relationships/hyperlink" Id="rId24"/>
    <Relationship TargetMode="External" Target="https://www.legis.iowa.gov/docs/iac/chapter/655.5.pdf" Type="http://schemas.openxmlformats.org/officeDocument/2006/relationships/hyperlink" Id="rId25"/>
    <Relationship TargetMode="External" Target="https://www.legis.iowa.gov/docs/iac/rule/655.3.7.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ac/rule/655.3.7.pdf" Type="http://schemas.openxmlformats.org/officeDocument/2006/relationships/hyperlink" Id="rId28"/>
    <Relationship TargetMode="External" Target="https://www.legis.iowa.gov/docs/ico/chapter/235B.16.pdf" Type="http://schemas.openxmlformats.org/officeDocument/2006/relationships/hyperlink" Id="rId29"/>
    <Relationship TargetMode="External" Target="https://www.legis.iowa.gov/docs/iac/rule/655.3.7.pdf" Type="http://schemas.openxmlformats.org/officeDocument/2006/relationships/hyperlink" Id="rId30"/>
    <Relationship TargetMode="External" Target="https://www.legis.iowa.gov/docs/iac/rule/655.3.7.pdf" Type="http://schemas.openxmlformats.org/officeDocument/2006/relationships/hyperlink" Id="rId31"/>
    <Relationship TargetMode="External" Target="https://www.legis.iowa.gov/docs/iac/rule/655.3.7.pdf" Type="http://schemas.openxmlformats.org/officeDocument/2006/relationships/hyperlink" Id="rId32"/>
    <Relationship TargetMode="External" Target="https://www.legis.iowa.gov/docs/iac/chapter/655.5.pdf" Type="http://schemas.openxmlformats.org/officeDocument/2006/relationships/hyperlink" Id="rId33"/>
    <Relationship TargetMode="External" Target="https://www.legis.iowa.gov/docs/iac/rule/655.3.7.pdf" Type="http://schemas.openxmlformats.org/officeDocument/2006/relationships/hyperlink" Id="rId34"/>
    <Relationship TargetMode="External" Target="https://www.legis.iowa.gov/docs/iac/rule/655.3.1.pdf" Type="http://schemas.openxmlformats.org/officeDocument/2006/relationships/hyperlink" Id="rId35"/>
    <Relationship TargetMode="External" Target="https://www.legis.iowa.gov/docs/iac/chapter/655.5.pdf" Type="http://schemas.openxmlformats.org/officeDocument/2006/relationships/hyperlink" Id="rId36"/>
    <Relationship TargetMode="External" Target="https://www.legis.iowa.gov/docs/iac/rule/655.3.10.pdf" Type="http://schemas.openxmlformats.org/officeDocument/2006/relationships/hyperlink" Id="rId37"/>
    <Relationship TargetMode="External" Target="https://www.legis.iowa.gov/docs/iac/rule/655.3.1.pdf" Type="http://schemas.openxmlformats.org/officeDocument/2006/relationships/hyperlink" Id="rId38"/>
    <Relationship TargetMode="External" Target="https://www.legis.iowa.gov/docs/iac/chapter/655.20.pdf" Type="http://schemas.openxmlformats.org/officeDocument/2006/relationships/hyperlink" Id="rId39"/>
    <Relationship TargetMode="External" Target="https://www.legis.iowa.gov/docs/iac/rule/655.3.11.pdf" Type="http://schemas.openxmlformats.org/officeDocument/2006/relationships/hyperlink" Id="rId40"/>
    <Relationship TargetMode="External" Target="https://www.legis.iowa.gov/docs/ico/chapter/272C.15.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7.pdf" Type="http://schemas.openxmlformats.org/officeDocument/2006/relationships/hyperlink" Id="rId44"/>
    <Relationship TargetMode="External" Target="https://www.legis.iowa.gov/docs/ico/chapter/152.pdf" Type="http://schemas.openxmlformats.org/officeDocument/2006/relationships/hyperlink" Id="rId45"/>
    <Relationship TargetMode="External" Target="https://www.legis.iowa.gov/docs/ico/chapter/152E.pdf" Type="http://schemas.openxmlformats.org/officeDocument/2006/relationships/hyperlink" Id="rId46"/>
    <Relationship TargetMode="External" Target="https://www.legis.iowa.gov/docs/ico/chapter/272C.pdf" Type="http://schemas.openxmlformats.org/officeDocument/2006/relationships/hyperlink"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