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1/6/16, see 655—Chapter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655—20.1</w:t>
      </w:r>
      <w:r>
        <w:rPr>
          <w:rFonts w:ascii="Times New Roman" w:hAnsi="Times New Roman"/>
          <w:b/>
          <w:i w:val="false"/>
          <w:color w:val="000000"/>
          <w:sz w:val="22"/>
        </w:rPr>
        <w:t xml:space="preserve">(17A,272C)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Iowa board of nursing.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w:t>
      </w:r>
      <w:r>
        <w:rPr>
          <w:rFonts w:ascii="Times New Roman" w:hAnsi="Times New Roman"/>
          <w:b/>
          <w:i w:val="false"/>
          <w:color w:val="000000"/>
          <w:sz w:val="22"/>
        </w:rPr>
        <w:t xml:space="preserve">(17A,272C)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a quorum of members of the 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including but not limited to licensee disciplinary proceedings, adverse agency action to limit or revoke the multistate licensure privilege granted under the provisions of the nurse licensure compact, license denial proceedings, and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the state of Iowa, as represented by the office of the attorney general, and the respondent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means a reasonable ground for belief in the existence of facts warranting the specified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655—20.3</w:t>
      </w:r>
      <w:r>
        <w:rPr>
          <w:rFonts w:ascii="Times New Roman" w:hAnsi="Times New Roman"/>
          <w:b/>
          <w:i w:val="false"/>
          <w:color w:val="000000"/>
          <w:sz w:val="22"/>
        </w:rPr>
        <w:t xml:space="preserve">(17A,272C) </w:t>
      </w:r>
      <w:r>
        <w:rPr>
          <w:rFonts w:ascii="Times New Roman" w:hAnsi="Times New Roman"/>
          <w:b/>
          <w:i w:val="false"/>
          <w:color w:val="000000"/>
          <w:sz w:val="22"/>
        </w:rPr>
        <w:t xml:space="preserve">Time requirements. </w:t>
      </w:r>
      <w:r>
        <w:rPr>
          <w:rFonts w:ascii="Times New Roman" w:hAnsi="Times New Roman"/>
          <w:b w:val="false"/>
          <w:i w:val="false"/>
          <w:color w:val="000000"/>
          <w:sz w:val="22"/>
        </w:rPr>
        <w:t xml:space="preserve">Time shall be computed as provided in Iowa Code section </w:t>
      </w:r>
      <w:hyperlink r:id="rId6">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For good cause, the presiding officer may lengthen or shorten the time to take any action, except as precluded by statute or by rule. Except for good cause stated in the record, before lengthening or shortening the time to take any action, the presiding officer shall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655—20.4</w:t>
      </w:r>
      <w:r>
        <w:rPr>
          <w:rFonts w:ascii="Times New Roman" w:hAnsi="Times New Roman"/>
          <w:b/>
          <w:i w:val="false"/>
          <w:color w:val="000000"/>
          <w:sz w:val="22"/>
        </w:rPr>
        <w:t xml:space="preserve">(17A,272C) </w:t>
      </w:r>
      <w:r>
        <w:rPr>
          <w:rFonts w:ascii="Times New Roman" w:hAnsi="Times New Roman"/>
          <w:b/>
          <w:i w:val="false"/>
          <w:color w:val="000000"/>
          <w:sz w:val="22"/>
        </w:rPr>
        <w:t xml:space="preserve">Applicability of Iowa Rules of Civil Procedure. </w:t>
      </w:r>
      <w:r>
        <w:rPr>
          <w:rFonts w:ascii="Times New Roman" w:hAnsi="Times New Roman"/>
          <w:b w:val="false"/>
          <w:i w:val="false"/>
          <w:color w:val="000000"/>
          <w:sz w:val="22"/>
        </w:rPr>
        <w:t xml:space="preserve">Except as expressly provided in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these rules, the Iowa Rules of Civil Procedure do not apply to contested case proceedings. However, upon application by a party, the board may permit the use of procedures provided for in the Iowa Rules of Civil Procedure unless doing so would unreasonably complicate the proceedings or impose an undue hardship on a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655—20.5</w:t>
      </w:r>
      <w:r>
        <w:rPr>
          <w:rFonts w:ascii="Times New Roman" w:hAnsi="Times New Roman"/>
          <w:b/>
          <w:i w:val="false"/>
          <w:color w:val="000000"/>
          <w:sz w:val="22"/>
        </w:rPr>
        <w:t xml:space="preserve">(17A,272C) </w:t>
      </w:r>
      <w:r>
        <w:rPr>
          <w:rFonts w:ascii="Times New Roman" w:hAnsi="Times New Roman"/>
          <w:b/>
          <w:i w:val="false"/>
          <w:color w:val="000000"/>
          <w:sz w:val="22"/>
        </w:rPr>
        <w:t xml:space="preserve">Combined statement of charges and settlement agreement. </w:t>
      </w:r>
      <w:r>
        <w:rPr>
          <w:rFonts w:ascii="Times New Roman" w:hAnsi="Times New Roman"/>
          <w:b w:val="false"/>
          <w:i w:val="false"/>
          <w:color w:val="000000"/>
          <w:sz w:val="22"/>
        </w:rPr>
        <w:t>Upon a determination by the board that probable cause exists to take public disciplinary action, the board and the licensee may enter into a combined statement of charges and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val="false"/>
          <w:color w:val="000000"/>
          <w:sz w:val="22"/>
        </w:rPr>
        <w:t>No licensee is entitled to be offered a combined statement of charges and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val="false"/>
          <w:color w:val="000000"/>
          <w:sz w:val="22"/>
        </w:rPr>
        <w:t>Entering into a combined statement of charges and settlement agreement is completely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val="false"/>
          <w:color w:val="000000"/>
          <w:sz w:val="22"/>
        </w:rPr>
        <w:t>The combined statement of charges and settlement agreement shall include a brief statement of the charges, the circumstances that led to the charges, and the terms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val="false"/>
          <w:color w:val="000000"/>
          <w:sz w:val="22"/>
        </w:rPr>
        <w:t>A combined statement of charges and settlement agreement shall constitute the commencement and resolution of a contested case proceeding. By entering into a combined statement of charges and settlement agreement, the licensee waives the right to a contested case hearing on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combined statement of charges and settlement agreement is a permanent public record open for inspection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655—20.6</w:t>
      </w:r>
      <w:r>
        <w:rPr>
          <w:rFonts w:ascii="Times New Roman" w:hAnsi="Times New Roman"/>
          <w:b/>
          <w:i w:val="false"/>
          <w:color w:val="000000"/>
          <w:sz w:val="22"/>
        </w:rPr>
        <w:t xml:space="preserve">(17A,272C)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restricted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Signed acknowledgment accepting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service cannot be accomplished using the above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shall be prepared outlining the measures taken to attempt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hearing shall be published once each week for three consecutive weeks in a newspaper of general circulation, published or circulated in the county of last-known residence of the respondent. The first notice of hearing shall be published at least 30 days prior to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assistant attorney general representing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9">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that the presiding officer be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Notification of the time period in which the respondent may file an answer;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Notification of the respondent’s right to request a closed hearing,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Notices of hearing are permanent public records open for inspection under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655—20.7</w:t>
      </w:r>
      <w:r>
        <w:rPr>
          <w:rFonts w:ascii="Times New Roman" w:hAnsi="Times New Roman"/>
          <w:b/>
          <w:i w:val="false"/>
          <w:color w:val="000000"/>
          <w:sz w:val="22"/>
        </w:rPr>
        <w:t xml:space="preserve">(17A,272C) </w:t>
      </w:r>
      <w:r>
        <w:rPr>
          <w:rFonts w:ascii="Times New Roman" w:hAnsi="Times New Roman"/>
          <w:b/>
          <w:i w:val="false"/>
          <w:color w:val="000000"/>
          <w:sz w:val="22"/>
        </w:rPr>
        <w:t xml:space="preserve">Statement of charges. </w:t>
      </w:r>
      <w:r>
        <w:rPr>
          <w:rFonts w:ascii="Times New Roman" w:hAnsi="Times New Roman"/>
          <w:b w:val="false"/>
          <w:i w:val="false"/>
          <w:color w:val="000000"/>
          <w:sz w:val="22"/>
        </w:rPr>
        <w:t xml:space="preserve">In the event the board finds there is probable cause for taking public disciplinary action against a licensee, the board shall file a statement of charges. The statement of charges shall be incorporated within the notice of hearing. The statement of charges shall set forth the acts or omissions with which the respondent is charged including the statute(s) and rule(s) which are alleged to have been violated and shall be in sufficient detail to enable the preparation of the respondent’s defense. Every statement of charges prepared by the board shall be reviewed by the office of the attorney general before it is filed. Statements of charges are permanent public records open for inspection under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655—20.8</w:t>
      </w:r>
      <w:r>
        <w:rPr>
          <w:rFonts w:ascii="Times New Roman" w:hAnsi="Times New Roman"/>
          <w:b/>
          <w:i w:val="false"/>
          <w:color w:val="000000"/>
          <w:sz w:val="22"/>
        </w:rPr>
        <w:t xml:space="preserve">(13,272C)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issuance of a notice of hearing, the office of the attorney general shall be responsible for the legal representation of the public interest in the contested case. The assistant attorney general assigned to prosecute a contested case before the board shall not represent the board in that case but shall represent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655—20.9</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The presiding officer in a disciplinary contested case shall be the board. When acting as presiding officer, the board may request that an administrative law judge perform certain functions as an aid to the board, such as ruling on prehearing motions, conducting the prehearing conference, ruling on evidentiary objections at hearing, assisting in deliberations, and drafting the written decision for review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655—20.10</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Presiding officer in a nondisciplinary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w:t>
      </w:r>
      <w:r>
        <w:rPr>
          <w:rFonts w:ascii="Times New Roman" w:hAnsi="Times New Roman"/>
          <w:b w:val="false"/>
          <w:i w:val="false"/>
          <w:color w:val="000000"/>
          <w:sz w:val="22"/>
        </w:rPr>
        <w:t> </w:t>
      </w:r>
      <w:r>
        <w:rPr>
          <w:rFonts w:ascii="Times New Roman" w:hAnsi="Times New Roman"/>
          <w:b w:val="false"/>
          <w:i w:val="false"/>
          <w:color w:val="000000"/>
          <w:sz w:val="22"/>
        </w:rPr>
        <w:t>Any party in a nondisciplinary contested case who wishes to request that the presiding officer assigned to render a proposed decision be an administrative law judge employed by the department of inspections and appeals must file a written request within 20 days after service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20.10(2)</w:t>
      </w:r>
      <w:r>
        <w:rPr>
          <w:rFonts w:ascii="Times New Roman" w:hAnsi="Times New Roman"/>
          <w:b w:val="false"/>
          <w:i w:val="false"/>
          <w:color w:val="000000"/>
          <w:sz w:val="22"/>
        </w:rPr>
        <w:t> </w:t>
      </w:r>
      <w:r>
        <w:rPr>
          <w:rFonts w:ascii="Times New Roman" w:hAnsi="Times New Roman"/>
          <w:b w:val="false"/>
          <w:i w:val="false"/>
          <w:color w:val="000000"/>
          <w:sz w:val="22"/>
        </w:rPr>
        <w:t>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w:t>
      </w:r>
      <w:r>
        <w:rPr>
          <w:rFonts w:ascii="Times New Roman" w:hAnsi="Times New Roman"/>
          <w:b w:val="false"/>
          <w:i w:val="false"/>
          <w:color w:val="000000"/>
          <w:sz w:val="22"/>
        </w:rPr>
        <w:t> </w:t>
      </w:r>
      <w:r>
        <w:rPr>
          <w:rFonts w:ascii="Times New Roman" w:hAnsi="Times New Roman"/>
          <w:b w:val="false"/>
          <w:i w:val="false"/>
          <w:color w:val="000000"/>
          <w:sz w:val="22"/>
        </w:rPr>
        <w:t>The board shall issue a written ruling specifying the grounds for its decision within 20 days after a request for an administrative law judge is filed. If the ruling is contingent upon the availability of an administrative law judge, the parties shall be notified at least 10 days prior to hearing if an administrative law judge will not be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655—20.11</w:t>
      </w:r>
      <w:r>
        <w:rPr>
          <w:rFonts w:ascii="Times New Roman" w:hAnsi="Times New Roman"/>
          <w:b/>
          <w:i w:val="false"/>
          <w:color w:val="000000"/>
          <w:sz w:val="22"/>
        </w:rPr>
        <w:t xml:space="preserve">(17A,272C)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 If the licensee elects to appear before the board in the investigative process, the licensee waives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The term “personally investigated” means taking affirmative steps to interview witnesses directly or to obtain documents or other information directly. The term “personally investigated”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direction and supervision of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Unsolicited receipt of information which is relayed to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another person’s investigative work product in the course of determining whether there is probable cause to initiate a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 to factual information while performing other agency functions, including fact gathering for purposes other than investigation of the matter which culminates in a contested case.</w:t>
      </w:r>
    </w:p>
    <w:p>
      <w:pPr>
        <w:spacing w:before="0" w:after="0"/>
        <w:ind w:left="120"/>
        <w:jc w:val="both"/>
      </w:pPr>
      <w:r>
        <w:rPr>
          <w:rFonts w:ascii="Times New Roman" w:hAnsi="Times New Roman"/>
          <w:b w:val="false"/>
          <w:i w:val="false"/>
          <w:color w:val="000000"/>
          <w:sz w:val="22"/>
        </w:rPr>
        <w:t xml:space="preserve">Factual information relevant to the merits of a contested case received by a person who later serves as presiding officer in that case shall be disclosed if required by Iowa Code section </w:t>
      </w:r>
      <w:hyperlink r:id="rId12">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hyperlink r:id="rId13">
        <w:r>
          <w:rPr>
            <w:rStyle w:val="Hyperlink"/>
            <w:rFonts w:ascii="Times New Roman" w:hAnsi="Times New Roman"/>
            <w:b w:val="false"/>
            <w:i w:val="false"/>
            <w:color w:val="000000"/>
            <w:sz w:val="22"/>
          </w:rPr>
          <w:t>20.11(3)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20.28(8)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By electing to participate in an appearance before the board, the licensee waives any objection to a board member’s both participating in the appearance and later participating as a decision maker in a contested case proceeding on the grounds that the board member “personally investigated” the matter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5">
        <w:r>
          <w:rPr>
            <w:rStyle w:val="Hyperlink"/>
            <w:rFonts w:ascii="Times New Roman" w:hAnsi="Times New Roman"/>
            <w:b w:val="false"/>
            <w:i w:val="false"/>
            <w:color w:val="000000"/>
            <w:sz w:val="22"/>
          </w:rPr>
          <w:t>20.11(1)</w:t>
        </w:r>
      </w:hyperlink>
      <w:r>
        <w:rPr>
          <w:rFonts w:ascii="Times New Roman" w:hAnsi="Times New Roman"/>
          <w:b w:val="false"/>
          <w:i w:val="false"/>
          <w:color w:val="000000"/>
          <w:sz w:val="22"/>
        </w:rPr>
        <w:t xml:space="preserve">, the party shall file a motion supported by an affidavit pursuant to Iowa Code section </w:t>
      </w:r>
      <w:hyperlink r:id="rId16">
        <w:r>
          <w:rPr>
            <w:rStyle w:val="Hyperlink"/>
            <w:rFonts w:ascii="Times New Roman" w:hAnsi="Times New Roman"/>
            <w:b w:val="false"/>
            <w:i w:val="false"/>
            <w:color w:val="000000"/>
            <w:sz w:val="22"/>
          </w:rPr>
          <w:t>17A.11(3)</w:t>
        </w:r>
      </w:hyperlink>
      <w:r>
        <w:rPr>
          <w:rFonts w:ascii="Times New Roman" w:hAnsi="Times New Roman"/>
          <w:b w:val="false"/>
          <w:i w:val="false"/>
          <w:color w:val="000000"/>
          <w:sz w:val="22"/>
        </w:rPr>
        <w:t>. The motion must be filed as soon as practicable after the reason alleged in the motion becomes known to the party. The individual against whom disqualification is asserted shall make the initial determination as to whether disqualification is required. If the individual elects not to disqualify, the board shall make the final determination as to disqualification of that individual as part of the record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655—20.12</w:t>
      </w:r>
      <w:r>
        <w:rPr>
          <w:rFonts w:ascii="Times New Roman" w:hAnsi="Times New Roman"/>
          <w:b/>
          <w:i w:val="false"/>
          <w:color w:val="000000"/>
          <w:sz w:val="22"/>
        </w:rPr>
        <w:t xml:space="preserve">(17A,272C)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the board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655—20.13</w:t>
      </w:r>
      <w:r>
        <w:rPr>
          <w:rFonts w:ascii="Times New Roman" w:hAnsi="Times New Roman"/>
          <w:b/>
          <w:i w:val="false"/>
          <w:color w:val="000000"/>
          <w:sz w:val="22"/>
        </w:rPr>
        <w:t xml:space="preserve">(17A,272C) </w:t>
      </w:r>
      <w:r>
        <w:rPr>
          <w:rFonts w:ascii="Times New Roman" w:hAnsi="Times New Roman"/>
          <w:b/>
          <w:i w:val="false"/>
          <w:color w:val="000000"/>
          <w:sz w:val="22"/>
        </w:rPr>
        <w:t xml:space="preserve">Telephone or electronic proceedings. </w:t>
      </w:r>
      <w:r>
        <w:rPr>
          <w:rFonts w:ascii="Times New Roman" w:hAnsi="Times New Roman"/>
          <w:b w:val="false"/>
          <w:i w:val="false"/>
          <w:color w:val="000000"/>
          <w:sz w:val="22"/>
        </w:rPr>
        <w:t xml:space="preserve">The presiding officer may resolve prehearing matters by telephone conference in which all parties have an opportunity to participate. Contested case hearings will generally not be held by telephone or electronic means in the absence of consent by all parties under compelling circumstances. Nothing shall prohibit a witness from testifying by telephone or electronic means pursuant to paragraph </w:t>
      </w:r>
      <w:hyperlink r:id="rId17">
        <w:r>
          <w:rPr>
            <w:rStyle w:val="Hyperlink"/>
            <w:rFonts w:ascii="Times New Roman" w:hAnsi="Times New Roman"/>
            <w:b w:val="false"/>
            <w:i w:val="false"/>
            <w:color w:val="000000"/>
            <w:sz w:val="22"/>
          </w:rPr>
          <w:t>20.26(3)</w:t>
        </w:r>
        <w:r>
          <w:rPr>
            <w:rFonts w:ascii="Times New Roman" w:hAnsi="Times New Roman"/>
            <w:b w:val="false"/>
            <w:i/>
            <w:color w:val="000000"/>
            <w:sz w:val="22"/>
          </w:rPr>
          <w:t>“b.”</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655—20.14</w:t>
      </w:r>
      <w:r>
        <w:rPr>
          <w:rFonts w:ascii="Times New Roman" w:hAnsi="Times New Roman"/>
          <w:b/>
          <w:i w:val="false"/>
          <w:color w:val="000000"/>
          <w:sz w:val="22"/>
        </w:rPr>
        <w:t xml:space="preserve">(17A,272C)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655—20.15</w:t>
      </w:r>
      <w:r>
        <w:rPr>
          <w:rFonts w:ascii="Times New Roman" w:hAnsi="Times New Roman"/>
          <w:b/>
          <w:i w:val="false"/>
          <w:color w:val="000000"/>
          <w:sz w:val="22"/>
        </w:rPr>
        <w:t xml:space="preserve">(17A,272C) </w:t>
      </w:r>
      <w:r>
        <w:rPr>
          <w:rFonts w:ascii="Times New Roman" w:hAnsi="Times New Roman"/>
          <w:b/>
          <w:i w:val="false"/>
          <w:color w:val="000000"/>
          <w:sz w:val="22"/>
        </w:rPr>
        <w:t xml:space="preserve">Appearance. </w:t>
      </w:r>
      <w:r>
        <w:rPr>
          <w:rFonts w:ascii="Times New Roman" w:hAnsi="Times New Roman"/>
          <w:b w:val="false"/>
          <w:i w:val="false"/>
          <w:color w:val="000000"/>
          <w:sz w:val="22"/>
        </w:rPr>
        <w:t xml:space="preserve">The respondent or applicant may be represented by an attorney. The attorney must file an appearance in the contested case. If the attorney is not licensed to practice law in Iowa, the attorney must fully comply with Iowa Court Rule </w:t>
      </w:r>
      <w:r>
        <w:rPr>
          <w:rFonts w:ascii="Times New Roman" w:hAnsi="Times New Roman"/>
          <w:b w:val="false"/>
          <w:i w:val="false"/>
          <w:color w:val="000000"/>
          <w:sz w:val="22"/>
        </w:rPr>
        <w:t>31.14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655—20.16</w:t>
      </w:r>
      <w:r>
        <w:rPr>
          <w:rFonts w:ascii="Times New Roman" w:hAnsi="Times New Roman"/>
          <w:b/>
          <w:i w:val="false"/>
          <w:color w:val="000000"/>
          <w:sz w:val="22"/>
        </w:rPr>
        <w:t xml:space="preserve">(17A,272C) </w:t>
      </w:r>
      <w:r>
        <w:rPr>
          <w:rFonts w:ascii="Times New Roman" w:hAnsi="Times New Roman"/>
          <w:b/>
          <w:i w:val="false"/>
          <w:color w:val="000000"/>
          <w:sz w:val="22"/>
        </w:rPr>
        <w:t xml:space="preserve">Answer. </w:t>
      </w:r>
      <w:r>
        <w:rPr>
          <w:rFonts w:ascii="Times New Roman" w:hAnsi="Times New Roman"/>
          <w:b w:val="false"/>
          <w:i w:val="false"/>
          <w:color w:val="000000"/>
          <w:sz w:val="22"/>
        </w:rPr>
        <w:t>An answer may be filed within 20 days of service of the notice of hearing and statement of charges. An answer shall specifically admit, deny, or otherwise answer all material allegations of the statement of charges to which it responds. It shall state any facts supporting any affirmative defenses and contain as many additional defenses as the respondent may claim. An answer shall state the name, address and telephone number of the person filing the answer. Any allegation in the statement of charges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655—20.17</w:t>
      </w:r>
      <w:r>
        <w:rPr>
          <w:rFonts w:ascii="Times New Roman" w:hAnsi="Times New Roman"/>
          <w:b/>
          <w:i w:val="false"/>
          <w:color w:val="000000"/>
          <w:sz w:val="22"/>
        </w:rPr>
        <w:t xml:space="preserve">(17A,272C) </w:t>
      </w:r>
      <w:r>
        <w:rPr>
          <w:rFonts w:ascii="Times New Roman" w:hAnsi="Times New Roman"/>
          <w:b/>
          <w:i w:val="false"/>
          <w:color w:val="000000"/>
          <w:sz w:val="22"/>
        </w:rPr>
        <w:t xml:space="preserve">Filing and service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shall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color w:val="000000"/>
          <w:sz w:val="22"/>
        </w:rPr>
        <w:t xml:space="preserve">Filing—how made. </w:t>
      </w:r>
      <w:r>
        <w:rPr>
          <w:rFonts w:ascii="Times New Roman" w:hAnsi="Times New Roman"/>
          <w:b w:val="false"/>
          <w:i w:val="false"/>
          <w:color w:val="000000"/>
          <w:sz w:val="22"/>
        </w:rPr>
        <w:t>Filing shall be made by delivering or mailing the document to the board office located at 400 S.W. 8th Street, Suite B, Des Moines, Iowa 50309-4685.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A document is deemed filed at the time it is delivered to the board office, delivered to an established courier service for immediate delivery to the board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as otherwise provided by law, every document filed in a contested case proceeding shall be simultaneously served upon each of the parties of record to the proceeding, including the assistant attorney general representing the state. Except for an application for rehearing as provided in Iowa Code section </w:t>
      </w:r>
      <w:hyperlink r:id="rId18">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w:t>
      </w:r>
      <w:r>
        <w:rPr>
          <w:rFonts w:ascii="Times New Roman" w:hAnsi="Times New Roman"/>
          <w:b w:val="false"/>
          <w:i w:val="false"/>
          <w:color w:val="000000"/>
          <w:sz w:val="22"/>
        </w:rPr>
        <w:t> </w:t>
      </w:r>
      <w:r>
        <w:rPr>
          <w:rFonts w:ascii="Times New Roman" w:hAnsi="Times New Roman"/>
          <w:b w:val="false"/>
          <w:i/>
          <w:color w:val="000000"/>
          <w:sz w:val="22"/>
        </w:rPr>
        <w:t xml:space="preserve">Electronic service. </w:t>
      </w:r>
      <w:r>
        <w:rPr>
          <w:rFonts w:ascii="Times New Roman" w:hAnsi="Times New Roman"/>
          <w:b w:val="false"/>
          <w:i w:val="false"/>
          <w:color w:val="000000"/>
          <w:sz w:val="22"/>
        </w:rPr>
        <w:t>Service may be made upon a party or attorney by electronic mail (e-mail) if the person consents in writing in that case to be served in that manner. The written consent shall specify the e-mail address for such service. The written consent may be withdrawn by written notice served on the parties or attorneys.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mailing/e-mailing. </w:t>
      </w:r>
      <w:r>
        <w:rPr>
          <w:rFonts w:ascii="Times New Roman" w:hAnsi="Times New Roman"/>
          <w:b w:val="false"/>
          <w:i w:val="false"/>
          <w:color w:val="000000"/>
          <w:sz w:val="22"/>
        </w:rPr>
        <w:t>Proof of mailing/e-mailing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(agency office and address) and to the names and addresses of the parties listed below by depositing the same in the United States mail, state interoffice mail, or e-mail when permitted by 655 IAC 20.17(6).</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655—20.18</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Investigative file. </w:t>
      </w:r>
      <w:r>
        <w:rPr>
          <w:rFonts w:ascii="Times New Roman" w:hAnsi="Times New Roman"/>
          <w:b w:val="false"/>
          <w:i w:val="false"/>
          <w:color w:val="000000"/>
          <w:sz w:val="22"/>
        </w:rPr>
        <w:t xml:space="preserve">The board’s investigative file is available to the respondent or applicant upon request only after the commencement of a contested case and only prior to the resolution of the contested case. A licensee who elects to enter into a combined statement of charges and settlement agreement is not entitled to request the investigative file. In accordance with Iowa Code section </w:t>
      </w:r>
      <w:hyperlink r:id="rId1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information contained within an investigative file is confidential and may only be used in connection with the disciplinary proceedings before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655—20.19</w:t>
      </w:r>
      <w:r>
        <w:rPr>
          <w:rFonts w:ascii="Times New Roman" w:hAnsi="Times New Roman"/>
          <w:b/>
          <w:i w:val="false"/>
          <w:color w:val="000000"/>
          <w:sz w:val="22"/>
        </w:rPr>
        <w:t xml:space="preserve">(17A,272C)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scope of discovery described in Iowa Rule of Civil Procedure </w:t>
      </w:r>
      <w:r>
        <w:rPr>
          <w:rFonts w:ascii="Times New Roman" w:hAnsi="Times New Roman"/>
          <w:b w:val="false"/>
          <w:i w:val="false"/>
          <w:color w:val="000000"/>
          <w:sz w:val="22"/>
        </w:rPr>
        <w:t>1.503</w:t>
      </w:r>
      <w:r>
        <w:rPr>
          <w:rFonts w:ascii="Times New Roman" w:hAnsi="Times New Roman"/>
          <w:b w:val="false"/>
          <w:i w:val="false"/>
          <w:color w:val="000000"/>
          <w:sz w:val="22"/>
        </w:rPr>
        <w:t xml:space="preserve"> shall apply to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discovery procedures available in the Iowa Rules of Civil Procedure are available to the parties in a contested case proceeding: depositions upon oral examination or written questions; written interrogatories; production of documents, electronically stored information, and things; and requests for admission. Unless lengthened or shortened by the presiding officer, the time frames for discovery in the specific Iowa Rules of Civil Procedure govern those specific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Rules of Civil Procedure </w:t>
      </w:r>
      <w:r>
        <w:rPr>
          <w:rFonts w:ascii="Times New Roman" w:hAnsi="Times New Roman"/>
          <w:b w:val="false"/>
          <w:i w:val="false"/>
          <w:color w:val="000000"/>
          <w:sz w:val="22"/>
        </w:rPr>
        <w:t>1.701</w:t>
      </w:r>
      <w:r>
        <w:rPr>
          <w:rFonts w:ascii="Times New Roman" w:hAnsi="Times New Roman"/>
          <w:b w:val="false"/>
          <w:i w:val="false"/>
          <w:color w:val="000000"/>
          <w:sz w:val="22"/>
        </w:rPr>
        <w:t xml:space="preserve"> through 1.717 regarding depositions shall apply to any depositions taken in a contested case proceeding. Any party taking a deposition in a contested case shall be responsible for any deposition costs, unless otherwise specified or allocated in an order. Deposition costs include, but are not limited to, reimbursement for mileage of the deponent, costs of a certified shorthand reporter, and expert witness fees,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Rule of Civil Procedure </w:t>
      </w:r>
      <w:r>
        <w:rPr>
          <w:rFonts w:ascii="Times New Roman" w:hAnsi="Times New Roman"/>
          <w:b w:val="false"/>
          <w:i w:val="false"/>
          <w:color w:val="000000"/>
          <w:sz w:val="22"/>
        </w:rPr>
        <w:t>1.509</w:t>
      </w:r>
      <w:r>
        <w:rPr>
          <w:rFonts w:ascii="Times New Roman" w:hAnsi="Times New Roman"/>
          <w:b w:val="false"/>
          <w:i w:val="false"/>
          <w:color w:val="000000"/>
          <w:sz w:val="22"/>
        </w:rPr>
        <w:t xml:space="preserve"> shall apply to any interrogatories propounded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Rule of Civil Procedure </w:t>
      </w:r>
      <w:r>
        <w:rPr>
          <w:rFonts w:ascii="Times New Roman" w:hAnsi="Times New Roman"/>
          <w:b w:val="false"/>
          <w:i w:val="false"/>
          <w:color w:val="000000"/>
          <w:sz w:val="22"/>
        </w:rPr>
        <w:t>1.512</w:t>
      </w:r>
      <w:r>
        <w:rPr>
          <w:rFonts w:ascii="Times New Roman" w:hAnsi="Times New Roman"/>
          <w:b w:val="false"/>
          <w:i w:val="false"/>
          <w:color w:val="000000"/>
          <w:sz w:val="22"/>
        </w:rPr>
        <w:t xml:space="preserve"> shall apply to any requests for production of documents, electronically stored information, and things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Rule of Civil Procedure </w:t>
      </w:r>
      <w:r>
        <w:rPr>
          <w:rFonts w:ascii="Times New Roman" w:hAnsi="Times New Roman"/>
          <w:b w:val="false"/>
          <w:i w:val="false"/>
          <w:color w:val="000000"/>
          <w:sz w:val="22"/>
        </w:rPr>
        <w:t>1.510</w:t>
      </w:r>
      <w:r>
        <w:rPr>
          <w:rFonts w:ascii="Times New Roman" w:hAnsi="Times New Roman"/>
          <w:b w:val="false"/>
          <w:i w:val="false"/>
          <w:color w:val="000000"/>
          <w:sz w:val="22"/>
        </w:rPr>
        <w:t xml:space="preserve"> shall apply to any requests for admission in a contested case proceeding. Iowa Rule of Civil Procedure </w:t>
      </w:r>
      <w:r>
        <w:rPr>
          <w:rFonts w:ascii="Times New Roman" w:hAnsi="Times New Roman"/>
          <w:b w:val="false"/>
          <w:i w:val="false"/>
          <w:color w:val="000000"/>
          <w:sz w:val="22"/>
        </w:rPr>
        <w:t>1.511</w:t>
      </w:r>
      <w:r>
        <w:rPr>
          <w:rFonts w:ascii="Times New Roman" w:hAnsi="Times New Roman"/>
          <w:b w:val="false"/>
          <w:i w:val="false"/>
          <w:color w:val="000000"/>
          <w:sz w:val="22"/>
        </w:rPr>
        <w:t xml:space="preserve"> regarding the effect of an admission shall apply in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disclosure and discovery conference requirements in Iowa Rules of Civil Procedure </w:t>
      </w:r>
      <w:r>
        <w:rPr>
          <w:rFonts w:ascii="Times New Roman" w:hAnsi="Times New Roman"/>
          <w:b w:val="false"/>
          <w:i w:val="false"/>
          <w:color w:val="000000"/>
          <w:sz w:val="22"/>
        </w:rPr>
        <w:t>1.500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1.507</w:t>
      </w:r>
      <w:r>
        <w:rPr>
          <w:rFonts w:ascii="Times New Roman" w:hAnsi="Times New Roman"/>
          <w:b w:val="false"/>
          <w:i w:val="false"/>
          <w:color w:val="000000"/>
          <w:sz w:val="22"/>
        </w:rPr>
        <w:t xml:space="preserve"> do not apply to contested case proceedings. However, upon application by a party, the board may order the parties to comply with these procedures unless doing so would unreasonably complicate the proceedings or impose an undue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Rule of Civil Procedure </w:t>
      </w:r>
      <w:r>
        <w:rPr>
          <w:rFonts w:ascii="Times New Roman" w:hAnsi="Times New Roman"/>
          <w:b w:val="false"/>
          <w:i w:val="false"/>
          <w:color w:val="000000"/>
          <w:sz w:val="22"/>
        </w:rPr>
        <w:t>1.508</w:t>
      </w:r>
      <w:r>
        <w:rPr>
          <w:rFonts w:ascii="Times New Roman" w:hAnsi="Times New Roman"/>
          <w:b w:val="false"/>
          <w:i w:val="false"/>
          <w:color w:val="000000"/>
          <w:sz w:val="22"/>
        </w:rPr>
        <w:t xml:space="preserve"> shall apply to discovery of any experts identified by a party to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w:t>
      </w:r>
      <w:r>
        <w:rPr>
          <w:rFonts w:ascii="Times New Roman" w:hAnsi="Times New Roman"/>
          <w:b w:val="false"/>
          <w:i w:val="false"/>
          <w:color w:val="000000"/>
          <w:sz w:val="22"/>
        </w:rPr>
        <w:t> </w:t>
      </w:r>
      <w:r>
        <w:rPr>
          <w:rFonts w:ascii="Times New Roman" w:hAnsi="Times New Roman"/>
          <w:b w:val="false"/>
          <w:i w:val="false"/>
          <w:color w:val="000000"/>
          <w:sz w:val="22"/>
        </w:rPr>
        <w:t>Discovery shall be served on all parties to the contested case proceeding but shall not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w:t>
      </w:r>
      <w:r>
        <w:rPr>
          <w:rFonts w:ascii="Times New Roman" w:hAnsi="Times New Roman"/>
          <w:b w:val="false"/>
          <w:i w:val="false"/>
          <w:color w:val="000000"/>
          <w:sz w:val="22"/>
        </w:rPr>
        <w:t> </w:t>
      </w:r>
      <w:r>
        <w:rPr>
          <w:rFonts w:ascii="Times New Roman" w:hAnsi="Times New Roman"/>
          <w:b w:val="false"/>
          <w:i w:val="false"/>
          <w:color w:val="000000"/>
          <w:sz w:val="22"/>
        </w:rPr>
        <w:t>A party may file a motion to compel or other motion related to discovery in accordance with this subrule. Any motion filed with the board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10 days of the filing of the motion unless the time is lengthened or shortened by the presiding officer.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20.19(7)</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655—20.20</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Subpoenas issued in a contested case may compel the attendance of witnesses at deposition or hearing and may compel the production of books, papers, records, and other real evidence. A command to produce evidence or to permit inspection may be joined with a command to appear at deposition or hearing or may be issued separately. Subpoenas shall be issued by the executive director or designee upon a written request that complies with the requirements of this rule. A request for a subpoena of mental health records must confirm that the conditions described in subrule </w:t>
      </w:r>
      <w:hyperlink r:id="rId20">
        <w:r>
          <w:rPr>
            <w:rStyle w:val="Hyperlink"/>
            <w:rFonts w:ascii="Times New Roman" w:hAnsi="Times New Roman"/>
            <w:b w:val="false"/>
            <w:i w:val="false"/>
            <w:color w:val="000000"/>
            <w:sz w:val="22"/>
          </w:rPr>
          <w:t>20.20(3)</w:t>
        </w:r>
      </w:hyperlink>
      <w:r>
        <w:rPr>
          <w:rFonts w:ascii="Times New Roman" w:hAnsi="Times New Roman"/>
          <w:b w:val="false"/>
          <w:i w:val="false"/>
          <w:color w:val="000000"/>
          <w:sz w:val="22"/>
        </w:rPr>
        <w:t xml:space="preserve"> have been satisfied prior to the issuance of the subpoena. The executive director or designee may refuse to issue a subpoena if the request does not comply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 unless the subpoena is requested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 and 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subrule </w:t>
      </w:r>
      <w:hyperlink r:id="rId21">
        <w:r>
          <w:rPr>
            <w:rStyle w:val="Hyperlink"/>
            <w:rFonts w:ascii="Times New Roman" w:hAnsi="Times New Roman"/>
            <w:b w:val="false"/>
            <w:i w:val="false"/>
            <w:color w:val="000000"/>
            <w:sz w:val="22"/>
          </w:rPr>
          <w:t>20.20(3)</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w:t>
      </w:r>
      <w:r>
        <w:rPr>
          <w:rFonts w:ascii="Times New Roman" w:hAnsi="Times New Roman"/>
          <w:b w:val="false"/>
          <w:i w:val="false"/>
          <w:color w:val="000000"/>
          <w:sz w:val="22"/>
        </w:rPr>
        <w:t> </w:t>
      </w:r>
      <w:r>
        <w:rPr>
          <w:rFonts w:ascii="Times New Roman" w:hAnsi="Times New Roman"/>
          <w:b w:val="false"/>
          <w:i w:val="false"/>
          <w:color w:val="000000"/>
          <w:sz w:val="22"/>
        </w:rPr>
        <w:t>In the case of a request for a subpoena of mental health records, the request must confirm compliance with the following conditions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issues in the case reasonably justifies the issuance of the requested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the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20.20(4)</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the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20.20(5)</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to compel testimony or documents for rebuttal or impeachment purposes, the executive director or designee shall mail copies of all subpoenas to the parties.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20.20(6)</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20.20(7)</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request an administrative law judge to issue a decision or the board may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20.20(8)</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a ruling of an administrative law judge who desires to challenge that ruling must appeal the ruling to the board by serving on the executive director in accordance with subrule </w:t>
      </w:r>
      <w:hyperlink r:id="rId22">
        <w:r>
          <w:rPr>
            <w:rStyle w:val="Hyperlink"/>
            <w:rFonts w:ascii="Times New Roman" w:hAnsi="Times New Roman"/>
            <w:b w:val="false"/>
            <w:i w:val="false"/>
            <w:color w:val="000000"/>
            <w:sz w:val="22"/>
          </w:rPr>
          <w:t>20.17(5)</w:t>
        </w:r>
      </w:hyperlink>
      <w:r>
        <w:rPr>
          <w:rFonts w:ascii="Times New Roman" w:hAnsi="Times New Roman"/>
          <w:b w:val="false"/>
          <w:i w:val="false"/>
          <w:color w:val="000000"/>
          <w:sz w:val="22"/>
        </w:rPr>
        <w:t xml:space="preserve"> a notice of appeal within 10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20.20(9)</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proceeding, the board’s decision is final for purposes of judicial review. If the person contesting the subpoena is a party to the contested case proceeding,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655—20.21</w:t>
      </w:r>
      <w:r>
        <w:rPr>
          <w:rFonts w:ascii="Times New Roman" w:hAnsi="Times New Roman"/>
          <w:b/>
          <w:i w:val="false"/>
          <w:color w:val="000000"/>
          <w:sz w:val="22"/>
        </w:rPr>
        <w:t xml:space="preserve">(17A,272C)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10 days after the motion is served, unless the time period is lengthened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10 days prior to the date of hearing unless there is good cause for permitting later action or the time for such action is lengthened or shortened by rule of the board or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w:t>
      </w:r>
      <w:r>
        <w:rPr>
          <w:rFonts w:ascii="Times New Roman" w:hAnsi="Times New Roman"/>
          <w:b w:val="false"/>
          <w:i w:val="false"/>
          <w:color w:val="000000"/>
          <w:sz w:val="22"/>
        </w:rPr>
        <w:t> </w:t>
      </w:r>
      <w:r>
        <w:rPr>
          <w:rFonts w:ascii="Times New Roman" w:hAnsi="Times New Roman"/>
          <w:b w:val="false"/>
          <w:i w:val="false"/>
          <w:color w:val="000000"/>
          <w:sz w:val="22"/>
        </w:rPr>
        <w:t>Dispositive motions, such as motions for summary judgment or motions to dismiss, must be filed with the board and served on all parties to the contested case proceeding at least 30 days prior to the scheduled hearing date, unless otherwise ordered or permitted by the presiding officer. Any party may file a written response to a dispositive motion within 10 days after the motion is served, unless the time for response is otherwise lengthened or shortened by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655—20.22</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Prehearing conferences shall be conducted by the executive director, who may request that an administrative law judge conduct the prehearing conference. A written request for prehearing conference or an order for prehearing conference on the executive director’s own motion shall be filed not less than 7 days prior to the hearing date, unless authorized by the person conducting the prehearing conference. A prehearing conference shall be scheduled not less than 3 business days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w:t>
      </w:r>
      <w:r>
        <w:rPr>
          <w:rFonts w:ascii="Times New Roman" w:hAnsi="Times New Roman"/>
          <w:b w:val="false"/>
          <w:i w:val="false"/>
          <w:color w:val="000000"/>
          <w:sz w:val="22"/>
        </w:rPr>
        <w:t> </w:t>
      </w:r>
      <w:r>
        <w:rPr>
          <w:rFonts w:ascii="Times New Roman" w:hAnsi="Times New Roman"/>
          <w:b w:val="false"/>
          <w:i w:val="false"/>
          <w:color w:val="000000"/>
          <w:sz w:val="22"/>
        </w:rPr>
        <w:t>Each party shall be prepared to discuss the following subjects at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Submission of expert and other witness lists. Witness lists may be amended subsequent to the prehearing conference within the time limits established by the executive director or administrative law judge at the prehearing conference. Any such amendments must be served on all parties.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executive director or administrative law judge at the prehearing conference. Other than rebuttal exhibits,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20.22(3)</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20.22(4)</w:t>
      </w:r>
      <w:r>
        <w:rPr>
          <w:rFonts w:ascii="Times New Roman" w:hAnsi="Times New Roman"/>
          <w:b w:val="false"/>
          <w:i w:val="false"/>
          <w:color w:val="000000"/>
          <w:sz w:val="22"/>
        </w:rPr>
        <w:t> </w:t>
      </w:r>
      <w:r>
        <w:rPr>
          <w:rFonts w:ascii="Times New Roman" w:hAnsi="Times New Roman"/>
          <w:b w:val="false"/>
          <w:i w:val="false"/>
          <w:color w:val="000000"/>
          <w:sz w:val="22"/>
        </w:rPr>
        <w:t>A party must seek intra-agency appeal to the board of prehearing rulings made by an administrative law judge in order to adequately exhaust administrative remedies. Such appeals must be filed within 10 days of the date of the issuance of the challenged ruling but no later than the time for compliance with the order or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655—20.23</w:t>
      </w:r>
      <w:r>
        <w:rPr>
          <w:rFonts w:ascii="Times New Roman" w:hAnsi="Times New Roman"/>
          <w:b/>
          <w:i w:val="false"/>
          <w:color w:val="000000"/>
          <w:sz w:val="22"/>
        </w:rPr>
        <w:t xml:space="preserve">(17A,272C)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requests for continuance shall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20.23(1)</w:t>
      </w:r>
      <w:r>
        <w:rPr>
          <w:rFonts w:ascii="Times New Roman" w:hAnsi="Times New Roman"/>
          <w:b w:val="false"/>
          <w:i w:val="false"/>
          <w:color w:val="000000"/>
          <w:sz w:val="22"/>
        </w:rPr>
        <w:t> </w:t>
      </w:r>
      <w:r>
        <w:rPr>
          <w:rFonts w:ascii="Times New Roman" w:hAnsi="Times New Roman"/>
          <w:b w:val="false"/>
          <w:i w:val="false"/>
          <w:color w:val="000000"/>
          <w:sz w:val="22"/>
        </w:rPr>
        <w:t>A written request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7 days before the hearing except in cases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20.23(2)</w:t>
      </w:r>
      <w:r>
        <w:rPr>
          <w:rFonts w:ascii="Times New Roman" w:hAnsi="Times New Roman"/>
          <w:b w:val="false"/>
          <w:i w:val="false"/>
          <w:color w:val="000000"/>
          <w:sz w:val="22"/>
        </w:rPr>
        <w:t> </w:t>
      </w:r>
      <w:r>
        <w:rPr>
          <w:rFonts w:ascii="Times New Roman" w:hAnsi="Times New Roman"/>
          <w:b w:val="false"/>
          <w:i w:val="false"/>
          <w:color w:val="000000"/>
          <w:sz w:val="22"/>
        </w:rPr>
        <w:t>No request for continuance shall be made or granted without notice to all parties except in an emergency where notice is not feasible. The presiding officer may allow an oral application for continuance at the contested case hearing only in the event of an unanticipated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the executive director has the authority to grant or deny a request for a continuance in accordance with this subrule. The executive director or an administrative law judge may enter an order granting an uncontested request for a continuance. Upon consultation with the board chair, the executive director or an administrative law judge may deny an uncontested request for a continuance or may rule on a contested request for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20.23(4)</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or the executive director may require documentation of any grounds for continuance and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likelihood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655—20.24</w:t>
      </w:r>
      <w:r>
        <w:rPr>
          <w:rFonts w:ascii="Times New Roman" w:hAnsi="Times New Roman"/>
          <w:b/>
          <w:i w:val="false"/>
          <w:color w:val="000000"/>
          <w:sz w:val="22"/>
        </w:rPr>
        <w:t xml:space="preserve">(17A,272C) </w:t>
      </w:r>
      <w:r>
        <w:rPr>
          <w:rFonts w:ascii="Times New Roman" w:hAnsi="Times New Roman"/>
          <w:b/>
          <w:i w:val="false"/>
          <w:color w:val="000000"/>
          <w:sz w:val="22"/>
        </w:rPr>
        <w:t xml:space="preserve">Settlement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20.24(1)</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contested case may be resolved by settlement agreement. Settlement negotiations may be initiated by any party at any stage of a contested case. No party is required to participate in the settlement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respondent initiates or consents to settlement negotiations, the assistant attorney general prosecuting the case may discuss settlement with the board chair without violating the prohibition against ex parte communications in Iowa Code section </w:t>
      </w:r>
      <w:hyperlink r:id="rId23">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without disqualifying the board chair from participating in the adjudication of the contested case. The full board shall not be involved in settlement negotiations until a proposed settlement agreement executed by the respondent is submitted to the board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20.24(3)</w:t>
      </w:r>
      <w:r>
        <w:rPr>
          <w:rFonts w:ascii="Times New Roman" w:hAnsi="Times New Roman"/>
          <w:b w:val="false"/>
          <w:i w:val="false"/>
          <w:color w:val="000000"/>
          <w:sz w:val="22"/>
        </w:rPr>
        <w:t> </w:t>
      </w:r>
      <w:r>
        <w:rPr>
          <w:rFonts w:ascii="Times New Roman" w:hAnsi="Times New Roman"/>
          <w:b w:val="false"/>
          <w:i w:val="false"/>
          <w:color w:val="000000"/>
          <w:sz w:val="22"/>
        </w:rPr>
        <w:t>By signing the proposed settlement agreement, the respondent authorizes an assistant attorney general to have ex parte communications with the board related to the terms of the proposed settlement. If the board fails to approve the proposed settlement agreement, it shall be of no force or effect to either party and shall not be admissible at hearing. Upon rejecting a proposed settlement agreement, the board may suggest alternative terms of settlement, which the respondent is free to accept or reject.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20.24(4)</w:t>
      </w:r>
      <w:r>
        <w:rPr>
          <w:rFonts w:ascii="Times New Roman" w:hAnsi="Times New Roman"/>
          <w:b w:val="false"/>
          <w:i w:val="false"/>
          <w:color w:val="000000"/>
          <w:sz w:val="22"/>
        </w:rPr>
        <w:t> </w:t>
      </w:r>
      <w:r>
        <w:rPr>
          <w:rFonts w:ascii="Times New Roman" w:hAnsi="Times New Roman"/>
          <w:b w:val="false"/>
          <w:i w:val="false"/>
          <w:color w:val="000000"/>
          <w:sz w:val="22"/>
        </w:rPr>
        <w:t xml:space="preserve">A settlement agreement is a permanent public record open for inspection under Iowa Code chapter </w:t>
      </w:r>
      <w:hyperlink r:id="rId2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655—20.25</w:t>
      </w:r>
      <w:r>
        <w:rPr>
          <w:rFonts w:ascii="Times New Roman" w:hAnsi="Times New Roman"/>
          <w:b/>
          <w:i w:val="false"/>
          <w:color w:val="000000"/>
          <w:sz w:val="22"/>
        </w:rPr>
        <w:t xml:space="preserve">(17A,272C) </w:t>
      </w:r>
      <w:r>
        <w:rPr>
          <w:rFonts w:ascii="Times New Roman" w:hAnsi="Times New Roman"/>
          <w:b/>
          <w:i w:val="false"/>
          <w:color w:val="000000"/>
          <w:sz w:val="22"/>
        </w:rPr>
        <w:t xml:space="preserve">Hearing procedures in 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be in control of the proceedings and shall have the authority to administer oaths and to admit or exclude testimony or evidence and shall rule on all motions and objections. The board may request that an administrative law judge assist the board by performing any of these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20.25(2)</w:t>
      </w:r>
      <w:r>
        <w:rPr>
          <w:rFonts w:ascii="Times New Roman" w:hAnsi="Times New Roman"/>
          <w:b w:val="false"/>
          <w:i w:val="false"/>
          <w:color w:val="000000"/>
          <w:sz w:val="22"/>
        </w:rPr>
        <w:t> </w:t>
      </w:r>
      <w:r>
        <w:rPr>
          <w:rFonts w:ascii="Times New Roman" w:hAnsi="Times New Roman"/>
          <w:b w:val="false"/>
          <w:i w:val="false"/>
          <w:color w:val="000000"/>
          <w:sz w:val="22"/>
        </w:rPr>
        <w:t>When, in the opinion of the board, it is desirable to obtain specialists within an area of practice when holding disciplinary hearings, the board may appoint a panel of three specialists who are not board members to make findings of fact and to report to the board. Such findings shall not include any recommendation for or against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20.25(3)</w:t>
      </w:r>
      <w:r>
        <w:rPr>
          <w:rFonts w:ascii="Times New Roman" w:hAnsi="Times New Roman"/>
          <w:b w:val="false"/>
          <w:i w:val="false"/>
          <w:color w:val="000000"/>
          <w:sz w:val="22"/>
        </w:rPr>
        <w:t> </w:t>
      </w:r>
      <w:r>
        <w:rPr>
          <w:rFonts w:ascii="Times New Roman" w:hAnsi="Times New Roman"/>
          <w:b w:val="false"/>
          <w:i w:val="false"/>
          <w:color w:val="000000"/>
          <w:sz w:val="22"/>
        </w:rPr>
        <w:t>An applicant or respondent has the right to participate or to be represented in all hearings related to the applicant’s or respondent’s case. Any applicant or respondent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20.25(4)</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20.25(5)</w:t>
      </w:r>
      <w:r>
        <w:rPr>
          <w:rFonts w:ascii="Times New Roman" w:hAnsi="Times New Roman"/>
          <w:b w:val="false"/>
          <w:i w:val="false"/>
          <w:color w:val="000000"/>
          <w:sz w:val="22"/>
        </w:rPr>
        <w:t> </w:t>
      </w:r>
      <w:r>
        <w:rPr>
          <w:rFonts w:ascii="Times New Roman" w:hAnsi="Times New Roman"/>
          <w:b w:val="false"/>
          <w:i w:val="false"/>
          <w:color w:val="000000"/>
          <w:sz w:val="22"/>
        </w:rPr>
        <w:t>Subject to terms prescribed by the presiding officer, parties have the right to introduce evidence on issues of material fact, cross-examine witnesses present at the hearing as necessary for a full and true disclosure of the facts, present evidence in rebuttal,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20.25(6)</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20.25(7)</w:t>
      </w:r>
      <w:r>
        <w:rPr>
          <w:rFonts w:ascii="Times New Roman" w:hAnsi="Times New Roman"/>
          <w:b w:val="false"/>
          <w:i w:val="false"/>
          <w:color w:val="000000"/>
          <w:sz w:val="22"/>
        </w:rPr>
        <w:t> </w:t>
      </w:r>
      <w:r>
        <w:rPr>
          <w:rFonts w:ascii="Times New Roman" w:hAnsi="Times New Roman"/>
          <w:b w:val="false"/>
          <w:i w:val="false"/>
          <w:color w:val="000000"/>
          <w:sz w:val="22"/>
        </w:rPr>
        <w:t>All rulings by an administrative law judge who acts either as presiding officer or as an aid to the board are subject to appeal to the board. While a party may seek immediate board review of rulings made by an administrative law judge when the administrative law judge is sitting with and acting as an aid to the board or panel of specialists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20.25(8)</w:t>
      </w:r>
      <w:r>
        <w:rPr>
          <w:rFonts w:ascii="Times New Roman" w:hAnsi="Times New Roman"/>
          <w:b w:val="false"/>
          <w:i w:val="false"/>
          <w:color w:val="000000"/>
          <w:sz w:val="22"/>
        </w:rPr>
        <w:t> </w:t>
      </w:r>
      <w:r>
        <w:rPr>
          <w:rFonts w:ascii="Times New Roman" w:hAnsi="Times New Roman"/>
          <w:b w:val="false"/>
          <w:i w:val="false"/>
          <w:color w:val="000000"/>
          <w:sz w:val="22"/>
        </w:rPr>
        <w:t>Conduct of hearing. 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board members and administrative law judge have the right to question a witness.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20.25(9)</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open to the public unless the respondent requests that the hearing be closed, in accordance with Iowa Code section </w:t>
      </w:r>
      <w:hyperlink r:id="rId25">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At the request of either party, or on the board’s own motion, the presiding officer may issue a protective order to protect documents which are privileged or confidential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655—20.26</w:t>
      </w:r>
      <w:r>
        <w:rPr>
          <w:rFonts w:ascii="Times New Roman" w:hAnsi="Times New Roman"/>
          <w:b/>
          <w:i w:val="false"/>
          <w:color w:val="000000"/>
          <w:sz w:val="22"/>
        </w:rPr>
        <w:t xml:space="preserve">(17A,272C)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Relevant evidence is admissible, subject to the discretion of the presiding officer. Irrelevant, immaterial and unduly repetitious evidence should be excluded. A finding will be based upon the kind of evidence on which reasonably prudent persons are accustomed to rely for the conduct of their serious affairs, and may be based on hearsay or other types of evidence which may or would be inadmissible in a jury trial.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20.26(2)</w:t>
      </w:r>
      <w:r>
        <w:rPr>
          <w:rFonts w:ascii="Times New Roman" w:hAnsi="Times New Roman"/>
          <w:b w:val="false"/>
          <w:i w:val="false"/>
          <w:color w:val="000000"/>
          <w:sz w:val="22"/>
        </w:rPr>
        <w:t> </w:t>
      </w:r>
      <w:r>
        <w:rPr>
          <w:rFonts w:ascii="Times New Roman" w:hAnsi="Times New Roman"/>
          <w:b w:val="false"/>
          <w:i/>
          <w:color w:val="000000"/>
          <w:sz w:val="22"/>
        </w:rPr>
        <w:t xml:space="preserve">Exhibits.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If admitted, copies of documents should be distributed to individual board members and the administrative law judge. Unless prior arrangements have been made, the party seeking admission of a document should arrive at the hearing prepared with sufficient copies of the document to distribute to opposing parties, board members, the administrative law judge, and witnesses who are expected to examine the document. The state’s exhibits shall be marked numerically, and the applicant’s or respondent’s exhibits shall be marked alphabetically.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original is not required to prove the content of a writing, recording, or photograph. Duplicates or photocopies are admissible. Any objection related to the authenticity of an exhibit shall go to the weight given to that exhibit and not preclude its admissibility.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20.26(3)</w:t>
      </w:r>
      <w:r>
        <w:rPr>
          <w:rFonts w:ascii="Times New Roman" w:hAnsi="Times New Roman"/>
          <w:b w:val="false"/>
          <w:i w:val="false"/>
          <w:color w:val="000000"/>
          <w:sz w:val="22"/>
        </w:rPr>
        <w:t> </w:t>
      </w:r>
      <w:r>
        <w:rPr>
          <w:rFonts w:ascii="Times New Roman" w:hAnsi="Times New Roman"/>
          <w:b w:val="false"/>
          <w:i/>
          <w:color w:val="000000"/>
          <w:sz w:val="22"/>
        </w:rPr>
        <w:t xml:space="preserve">Witnesses.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terms prescribed by the presiding officer and the limitations in Iowa Rule of Civil Procedure </w:t>
      </w:r>
      <w:r>
        <w:rPr>
          <w:rFonts w:ascii="Times New Roman" w:hAnsi="Times New Roman"/>
          <w:b w:val="false"/>
          <w:i w:val="false"/>
          <w:color w:val="000000"/>
          <w:sz w:val="22"/>
        </w:rPr>
        <w:t>1.704</w:t>
      </w:r>
      <w:r>
        <w:rPr>
          <w:rFonts w:ascii="Times New Roman" w:hAnsi="Times New Roman"/>
          <w:b w:val="false"/>
          <w:i w:val="false"/>
          <w:color w:val="000000"/>
          <w:sz w:val="22"/>
        </w:rPr>
        <w:t xml:space="preserve">, parties may present the testimony of witnesses in person, by telephone, by videoconference, by affidavit, or by written or video deposition. If a witness is providing testimony in person, by telephone, or by videoconference, use of any deposition is limited by Iowa Rule of Civil Procedure </w:t>
      </w:r>
      <w:r>
        <w:rPr>
          <w:rFonts w:ascii="Times New Roman" w:hAnsi="Times New Roman"/>
          <w:b w:val="false"/>
          <w:i w:val="false"/>
          <w:color w:val="000000"/>
          <w:sz w:val="22"/>
        </w:rPr>
        <w:t>1.704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Witnesses are entitled to be represented by an attorney at their own expense. In a closed hearing, the attorney may be present only when the client testifies. The attorney may assert legal privileges personal to the client, but may not make other objections. The attorney may only ask questions to the client to prevent a misstatement from being entered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in a contested case shall be responsible for any witness fees and expenses incurred by witnesses appearing at the contested case hearing, unless otherwise specified or allocated in an order. The costs for lay witnesses shall be determined in accordance with Iowa Code section </w:t>
      </w:r>
      <w:hyperlink r:id="rId26">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The costs for expert witnesses shall be determined in accordance with Iowa Code section </w:t>
      </w:r>
      <w:hyperlink r:id="rId27">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Witnesses are entitled to reimbursement for mileage and may be entitled to reimbursement for meals and lodging, as incurred.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655—20.27</w:t>
      </w:r>
      <w:r>
        <w:rPr>
          <w:rFonts w:ascii="Times New Roman" w:hAnsi="Times New Roman"/>
          <w:b/>
          <w:i w:val="false"/>
          <w:color w:val="000000"/>
          <w:sz w:val="22"/>
        </w:rPr>
        <w:t xml:space="preserve">(17A,272C)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rule </w:t>
      </w:r>
      <w:hyperlink r:id="rId28">
        <w:r>
          <w:rPr>
            <w:rStyle w:val="Hyperlink"/>
            <w:rFonts w:ascii="Times New Roman" w:hAnsi="Times New Roman"/>
            <w:b w:val="false"/>
            <w:i w:val="false"/>
            <w:color w:val="000000"/>
            <w:sz w:val="22"/>
          </w:rPr>
          <w:t>655—20.30</w:t>
        </w:r>
      </w:hyperlink>
      <w:r>
        <w:rPr>
          <w:rFonts w:ascii="Times New Roman" w:hAnsi="Times New Roman"/>
          <w:b w:val="false"/>
          <w:i w:val="false"/>
          <w:color w:val="000000"/>
          <w:sz w:val="22"/>
        </w:rPr>
        <w:t>(17A,272C). A motion to vacate must state all facts relied upon by the moving party which establish that good cause existed for that party’s failure to appear or participate at the contested case proceeding. Each fact so stated must be substantiated by at least one sworn affidavit from a person with personal knowledge of each such fact. The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10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20.27(6)</w:t>
      </w:r>
      <w:r>
        <w:rPr>
          <w:rFonts w:ascii="Times New Roman" w:hAnsi="Times New Roman"/>
          <w:b w:val="false"/>
          <w:i w:val="false"/>
          <w:color w:val="000000"/>
          <w:sz w:val="22"/>
        </w:rPr>
        <w:t> </w:t>
      </w:r>
      <w:r>
        <w:rPr>
          <w:rFonts w:ascii="Times New Roman" w:hAnsi="Times New Roman"/>
          <w:b w:val="false"/>
          <w:i w:val="false"/>
          <w:color w:val="000000"/>
          <w:sz w:val="22"/>
        </w:rPr>
        <w:t xml:space="preserve">“Good cause” for purposes of this rule shall have the same meaning as “good cause” for setting aside a default judgment under Iowa Rule of Civil Procedure </w:t>
      </w:r>
      <w:r>
        <w:rPr>
          <w:rFonts w:ascii="Times New Roman" w:hAnsi="Times New Roman"/>
          <w:b w:val="false"/>
          <w:i w:val="false"/>
          <w:color w:val="000000"/>
          <w:sz w:val="22"/>
        </w:rPr>
        <w:t>1.971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20.27(7)</w:t>
      </w:r>
      <w:r>
        <w:rPr>
          <w:rFonts w:ascii="Times New Roman" w:hAnsi="Times New Roman"/>
          <w:b w:val="false"/>
          <w:i w:val="false"/>
          <w:color w:val="000000"/>
          <w:sz w:val="22"/>
        </w:rPr>
        <w:t> </w:t>
      </w:r>
      <w:r>
        <w:rPr>
          <w:rFonts w:ascii="Times New Roman" w:hAnsi="Times New Roman"/>
          <w:b w:val="false"/>
          <w:i w:val="false"/>
          <w:color w:val="000000"/>
          <w:sz w:val="22"/>
        </w:rPr>
        <w:t>A decision by an administrative law judge granting or denying a motion to vacate is subject to appeal to the board within 20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appeal to the board has been filed, the presiding officer shall issue a rescheduling order setting a new hearing date and the contested case shall proceed accordingly.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655—20.28</w:t>
      </w:r>
      <w:r>
        <w:rPr>
          <w:rFonts w:ascii="Times New Roman" w:hAnsi="Times New Roman"/>
          <w:b/>
          <w:i w:val="false"/>
          <w:color w:val="000000"/>
          <w:sz w:val="22"/>
        </w:rPr>
        <w:t xml:space="preserve">(17A,272C)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agency or seeking the advice or help of persons other than those with a personal interest in, or those engaged in personally investigating as defined in subrule </w:t>
      </w:r>
      <w:hyperlink r:id="rId29">
        <w:r>
          <w:rPr>
            <w:rStyle w:val="Hyperlink"/>
            <w:rFonts w:ascii="Times New Roman" w:hAnsi="Times New Roman"/>
            <w:b w:val="false"/>
            <w:i w:val="false"/>
            <w:color w:val="000000"/>
            <w:sz w:val="22"/>
          </w:rPr>
          <w:t>20.11(2)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30">
        <w:r>
          <w:rPr>
            <w:rStyle w:val="Hyperlink"/>
            <w:rFonts w:ascii="Times New Roman" w:hAnsi="Times New Roman"/>
            <w:b w:val="false"/>
            <w:i w:val="false"/>
            <w:color w:val="000000"/>
            <w:sz w:val="22"/>
          </w:rPr>
          <w:t>655—20.17</w:t>
        </w:r>
      </w:hyperlink>
      <w:r>
        <w:rPr>
          <w:rFonts w:ascii="Times New Roman" w:hAnsi="Times New Roman"/>
          <w:b w:val="false"/>
          <w:i w:val="false"/>
          <w:color w:val="000000"/>
          <w:sz w:val="22"/>
        </w:rPr>
        <w:t>(17A,272C) and may be supplemented by telephone, facsimile, electronic mail or other means of notification. Where permitted, oral communications may be initiated through telephone conference call which includes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designee may be present in deliberations or otherwise advise the presiding officer without notice or opportunity for parties to participate as long as the executive director or designee is not disqualified from participating in the making of a proposed or final decision under subrule </w:t>
      </w:r>
      <w:hyperlink r:id="rId31">
        <w:r>
          <w:rPr>
            <w:rStyle w:val="Hyperlink"/>
            <w:rFonts w:ascii="Times New Roman" w:hAnsi="Times New Roman"/>
            <w:b w:val="false"/>
            <w:i w:val="false"/>
            <w:color w:val="000000"/>
            <w:sz w:val="22"/>
          </w:rPr>
          <w:t>20.11(1)</w:t>
        </w:r>
      </w:hyperlink>
      <w:r>
        <w:rPr>
          <w:rFonts w:ascii="Times New Roman" w:hAnsi="Times New Roman"/>
          <w:b w:val="false"/>
          <w:i w:val="false"/>
          <w:color w:val="000000"/>
          <w:sz w:val="22"/>
        </w:rPr>
        <w:t xml:space="preserve"> or other law and the executive director or designee complies with subrule </w:t>
      </w:r>
      <w:hyperlink r:id="rId32">
        <w:r>
          <w:rPr>
            <w:rStyle w:val="Hyperlink"/>
            <w:rFonts w:ascii="Times New Roman" w:hAnsi="Times New Roman"/>
            <w:b w:val="false"/>
            <w:i w:val="false"/>
            <w:color w:val="000000"/>
            <w:sz w:val="22"/>
          </w:rPr>
          <w:t>20.28(1)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20.28(7)</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scheduling or uncontested procedural matters do not require notice or opportunity for parties to participate. A party should notify other parties prior to initiating such contact with the presiding officer when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20.28(8)</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received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10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the presiding officer shall disclose to all parties material factual information received through ex parte communication prior to such assignment, unless the factual information has already been or shortly will be disclosed pursuant to Iowa Code section </w:t>
      </w:r>
      <w:hyperlink r:id="rId33">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board. Violation of ex parte communication prohibitions by board personnel shall be reported to the board’s executive director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655—20.29</w:t>
      </w:r>
      <w:r>
        <w:rPr>
          <w:rFonts w:ascii="Times New Roman" w:hAnsi="Times New Roman"/>
          <w:b/>
          <w:i w:val="false"/>
          <w:color w:val="000000"/>
          <w:sz w:val="22"/>
        </w:rPr>
        <w:t xml:space="preserve">(17A,272C) </w:t>
      </w:r>
      <w:r>
        <w:rPr>
          <w:rFonts w:ascii="Times New Roman" w:hAnsi="Times New Roman"/>
          <w:b/>
          <w:i w:val="false"/>
          <w:color w:val="000000"/>
          <w:sz w:val="22"/>
        </w:rPr>
        <w:t xml:space="preserve">Recording. </w:t>
      </w:r>
      <w:r>
        <w:rPr>
          <w:rFonts w:ascii="Times New Roman" w:hAnsi="Times New Roman"/>
          <w:b w:val="false"/>
          <w:i w:val="false"/>
          <w:color w:val="000000"/>
          <w:sz w:val="22"/>
        </w:rPr>
        <w:t xml:space="preserve">Contested case hearings shall be recorded by electronic means or by a certified shorthand reporter. A party may request that a hearing be recorded by a certified shorthand reporter instead of through electronic means by filing a request with the board at least 14 days in advance of the hearing. Parties who request that a hearing be recorded by a certified shorthand reporter rather than by electronic means shall bear the cost of the certified shorthand reporter. Upon request, the board shall provide a copy of the whole or any portion of the record at cost. The cost of preparing a copy of the record or of transcribing the hearing record shall be paid by the requesting party. If the request for the hearing record is made as a result of a petition for judicial review, the party who filed the petition shall be considered the requesting party.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655—20.30</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Proposed decisions. </w:t>
      </w:r>
      <w:r>
        <w:rPr>
          <w:rFonts w:ascii="Times New Roman" w:hAnsi="Times New Roman"/>
          <w:b w:val="false"/>
          <w:i w:val="false"/>
          <w:color w:val="000000"/>
          <w:sz w:val="22"/>
        </w:rPr>
        <w:t>Decisions issued by an administrative law judge in nondisciplinary cases are proposed decisions. A proposed decision issued by an administrative law judge becomes a final decision if not timely appealed or reviewed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20.30(1)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20.30(2)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20.30(3)</w:t>
      </w:r>
      <w:r>
        <w:rPr>
          <w:rFonts w:ascii="Times New Roman" w:hAnsi="Times New Roman"/>
          <w:b w:val="false"/>
          <w:i w:val="false"/>
          <w:color w:val="000000"/>
          <w:sz w:val="22"/>
        </w:rPr>
        <w:t> </w:t>
      </w:r>
      <w:r>
        <w:rPr>
          <w:rFonts w:ascii="Times New Roman" w:hAnsi="Times New Roman"/>
          <w:b w:val="false"/>
          <w:i/>
          <w:color w:val="000000"/>
          <w:sz w:val="22"/>
        </w:rPr>
        <w:t xml:space="preserve">Exhaustion. </w:t>
      </w:r>
      <w:r>
        <w:rPr>
          <w:rFonts w:ascii="Times New Roman" w:hAnsi="Times New Roman"/>
          <w:b w:val="false"/>
          <w:i w:val="false"/>
          <w:color w:val="000000"/>
          <w:sz w:val="22"/>
        </w:rPr>
        <w:t>A party must timely seek intra-agency appeal of a proposed decision in order to adequately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20.30(4)</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an attorney for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which is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20.30(5)</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20.30(6)</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20.30(7)</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20.30(8)</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shall be the entire record made before the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655—20.31</w:t>
      </w:r>
      <w:r>
        <w:rPr>
          <w:rFonts w:ascii="Times New Roman" w:hAnsi="Times New Roman"/>
          <w:b/>
          <w:i w:val="false"/>
          <w:color w:val="000000"/>
          <w:sz w:val="22"/>
        </w:rPr>
        <w:t xml:space="preserve">(17A,272C) </w:t>
      </w:r>
      <w:r>
        <w:rPr>
          <w:rFonts w:ascii="Times New Roman" w:hAnsi="Times New Roman"/>
          <w:b/>
          <w:i w:val="false"/>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w:t>
      </w:r>
      <w:r>
        <w:rPr>
          <w:rFonts w:ascii="Times New Roman" w:hAnsi="Times New Roman"/>
          <w:b w:val="false"/>
          <w:i w:val="false"/>
          <w:color w:val="000000"/>
          <w:sz w:val="22"/>
        </w:rPr>
        <w:t> </w:t>
      </w:r>
      <w:r>
        <w:rPr>
          <w:rFonts w:ascii="Times New Roman" w:hAnsi="Times New Roman"/>
          <w:b w:val="false"/>
          <w:i w:val="false"/>
          <w:color w:val="000000"/>
          <w:sz w:val="22"/>
        </w:rPr>
        <w:t>A final decision of the board shall include findings of fact and conclusions of law. When the board presides over the reception of the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board may charge a fee to the licensee not to exceed $75 for conducting a disciplinary hearing which results in disciplinary action taken against the licensee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w:t>
      </w:r>
      <w:r>
        <w:rPr>
          <w:rFonts w:ascii="Times New Roman" w:hAnsi="Times New Roman"/>
          <w:b w:val="false"/>
          <w:i w:val="false"/>
          <w:color w:val="000000"/>
          <w:sz w:val="22"/>
        </w:rPr>
        <w:t> </w:t>
      </w:r>
      <w:r>
        <w:rPr>
          <w:rFonts w:ascii="Times New Roman" w:hAnsi="Times New Roman"/>
          <w:b w:val="false"/>
          <w:i w:val="false"/>
          <w:color w:val="000000"/>
          <w:sz w:val="22"/>
        </w:rPr>
        <w:t>Final decisions shall be served on the respondent or applicant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Signed acknowledgment accepting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service cannot be accomplished using the above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shall be prepared outlining the measures taken to attempt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final decision shall be published once each week for three consecutive weeks in a newspaper of general circulation, published or circulated in the county of last-known residence of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respondent or applicant is represented by an attorney, the final decision shall be mailed to the attorney. The attorney may waive the requirement to serve the respondent or applicant through a written acknowledgment that the attorney is accepting service on behalf of the client. The state shall be served by first-class mail or state interoffice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20.31(4)</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final decision is a permanent public record open for inspection under Iowa Code chapter </w:t>
      </w:r>
      <w:hyperlink r:id="rId3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in accordance with Iowa Code section </w:t>
      </w:r>
      <w:hyperlink r:id="rId35">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655—20.32</w:t>
      </w:r>
      <w:r>
        <w:rPr>
          <w:rFonts w:ascii="Times New Roman" w:hAnsi="Times New Roman"/>
          <w:b/>
          <w:i w:val="false"/>
          <w:color w:val="000000"/>
          <w:sz w:val="22"/>
        </w:rPr>
        <w:t xml:space="preserve">(17A,272C)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An application for rehearing shall state on whose behalf it is filed, the specific grounds for rehearing, and the relief sought. In addition, the application shall state whether the applicant desires reconsideration of all or part of the board decision on the existing record and whether, upon showing good cause, the applicant requests an opportunity to submit additional evidence. A party may request the taking of additional evidence after the issuance of a final order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the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office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board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board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20.32(6)</w:t>
      </w:r>
      <w:r>
        <w:rPr>
          <w:rFonts w:ascii="Times New Roman" w:hAnsi="Times New Roman"/>
          <w:b w:val="false"/>
          <w:i w:val="false"/>
          <w:color w:val="000000"/>
          <w:sz w:val="22"/>
        </w:rPr>
        <w:t> </w:t>
      </w:r>
      <w:r>
        <w:rPr>
          <w:rFonts w:ascii="Times New Roman" w:hAnsi="Times New Roman"/>
          <w:b w:val="false"/>
          <w:i/>
          <w:color w:val="000000"/>
          <w:sz w:val="22"/>
        </w:rPr>
        <w:t xml:space="preserve">Only remedy. </w:t>
      </w:r>
      <w:r>
        <w:rPr>
          <w:rFonts w:ascii="Times New Roman" w:hAnsi="Times New Roman"/>
          <w:b w:val="false"/>
          <w:i w:val="false"/>
          <w:color w:val="000000"/>
          <w:sz w:val="22"/>
        </w:rPr>
        <w:t>Application for rehearing is the only procedure by which a party may request that the board reconsider a final board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655—20.33</w:t>
      </w:r>
      <w:r>
        <w:rPr>
          <w:rFonts w:ascii="Times New Roman" w:hAnsi="Times New Roman"/>
          <w:b/>
          <w:i w:val="false"/>
          <w:color w:val="000000"/>
          <w:sz w:val="22"/>
        </w:rPr>
        <w:t xml:space="preserve">(17A,272C)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or pending judicial review. The petition shall state the reasons justifying a stay or other temporary remedy. The petition must be filed within 30 days of the issuance of the final order, or if a party filed a request for rehearing that was denied, the petition must be filed within 30 days after the request for rehearing was denied or deemed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The board shall not grant a stay in any case in which the district court would be expressly prohibited by statute from granting a stay. In determining whether to grant a stay, the presiding officer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board or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relief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grant of relief to the applicant will substantially harm other parties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board is sufficient to justify the board’s action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20.33(3)</w:t>
      </w:r>
      <w:r>
        <w:rPr>
          <w:rFonts w:ascii="Times New Roman" w:hAnsi="Times New Roman"/>
          <w:b w:val="false"/>
          <w:i w:val="false"/>
          <w:color w:val="000000"/>
          <w:sz w:val="22"/>
        </w:rPr>
        <w:t> </w:t>
      </w:r>
      <w:r>
        <w:rPr>
          <w:rFonts w:ascii="Times New Roman" w:hAnsi="Times New Roman"/>
          <w:b w:val="false"/>
          <w:i/>
          <w:color w:val="000000"/>
          <w:sz w:val="22"/>
        </w:rPr>
        <w:t xml:space="preserve">Exhaustion required. </w:t>
      </w:r>
      <w:r>
        <w:rPr>
          <w:rFonts w:ascii="Times New Roman" w:hAnsi="Times New Roman"/>
          <w:b w:val="false"/>
          <w:i w:val="false"/>
          <w:color w:val="000000"/>
          <w:sz w:val="22"/>
        </w:rPr>
        <w:t>A party must petition the board for a stay pursuant to this rule prior to requesting a stay from the district court in a judicial review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655—20.34</w:t>
      </w:r>
      <w:r>
        <w:rPr>
          <w:rFonts w:ascii="Times New Roman" w:hAnsi="Times New Roman"/>
          <w:b/>
          <w:i w:val="false"/>
          <w:color w:val="000000"/>
          <w:sz w:val="22"/>
        </w:rPr>
        <w:t xml:space="preserve">(17A,272C)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655—20.35</w:t>
      </w:r>
      <w:r>
        <w:rPr>
          <w:rFonts w:ascii="Times New Roman" w:hAnsi="Times New Roman"/>
          <w:b/>
          <w:i w:val="false"/>
          <w:color w:val="000000"/>
          <w:sz w:val="22"/>
        </w:rPr>
        <w:t xml:space="preserve">(17A,272C)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the board may issue a written order in compliance with Iowa Code section </w:t>
      </w:r>
      <w:hyperlink r:id="rId36">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agency by emergency adjudicative order. Before issuing an emergency adjudicative order, the board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agency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20.35(2)</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board’s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served on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service, as provided in the Iowa Rules of Civil Procedure,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restricted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Signed acknowledgment accepting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Unless the written emergency adjudicative order is served personally on the same day that the order issues, the board shall make reasonable immediate efforts to contact by telephone and electronic mail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Issuance of a written emergency adjudicative order shall include notification of the date on which agency proceedings are scheduled for hearing. After issuance of an emergency adjudicative order, the licensee subject to the emergency adjudicative order may request a continuance of the hearing at any time by filing a request with the board. The state may only file a request for a continuance in compelling circumstances. Nothing in this subrule shall be construed to eliminate the opportunity to resolve the matter with a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20.35(5)</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An emergency adjudicative order is a permanent public record open for inspection under Iowa Code chapter </w:t>
      </w:r>
      <w:hyperlink r:id="rId3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655—20.36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Application for reinstatement. </w:t>
      </w:r>
      <w:r>
        <w:rPr>
          <w:rFonts w:ascii="Times New Roman" w:hAnsi="Times New Roman"/>
          <w:b w:val="false"/>
          <w:i w:val="false"/>
          <w:color w:val="000000"/>
          <w:sz w:val="22"/>
        </w:rPr>
        <w:t>Any person whose license to practice nursing has been revoked or has been voluntarily surrendered may apply for reinstatement. An application for reinstatement must be made in accordance with the terms specified in the board’s order of revocation or order accepting the voluntary surrender. Any person whose license to practice nursing has been suspended and the board order imposing the suspension indicates that the respondent must apply for and receive reinstatement may apply for reinstatement in accordance with the terms specified in the board’s order. All applications for reinstatement must be filed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20.36(1)</w:t>
      </w:r>
      <w:r>
        <w:rPr>
          <w:rFonts w:ascii="Times New Roman" w:hAnsi="Times New Roman"/>
          <w:b w:val="false"/>
          <w:i w:val="false"/>
          <w:color w:val="000000"/>
          <w:sz w:val="22"/>
        </w:rPr>
        <w:t> </w:t>
      </w:r>
      <w:r>
        <w:rPr>
          <w:rFonts w:ascii="Times New Roman" w:hAnsi="Times New Roman"/>
          <w:b w:val="false"/>
          <w:i w:val="false"/>
          <w:color w:val="000000"/>
          <w:sz w:val="22"/>
        </w:rPr>
        <w:t>If the order for revocation, suspension, or surrender did not establish terms for reinstatement, an initial application for reinstatement may not be filed until at least one year has elapsed from the date of issuance of the order. Persons who have failed to satisfy the terms imposed by the board order revoking, suspending, or surrendering a license shall not be entitled to apply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20.36(2)</w:t>
      </w:r>
      <w:r>
        <w:rPr>
          <w:rFonts w:ascii="Times New Roman" w:hAnsi="Times New Roman"/>
          <w:b w:val="false"/>
          <w:i w:val="false"/>
          <w:color w:val="000000"/>
          <w:sz w:val="22"/>
        </w:rPr>
        <w:t> </w:t>
      </w:r>
      <w:r>
        <w:rPr>
          <w:rFonts w:ascii="Times New Roman" w:hAnsi="Times New Roman"/>
          <w:b w:val="false"/>
          <w:i w:val="false"/>
          <w:color w:val="000000"/>
          <w:sz w:val="22"/>
        </w:rPr>
        <w:t>Reinstatement proceedings shall be initiated by the respondent, who shall file with the board an application for reinstatement of the respondent’s license. Such application shall be docketed in the original contested case in which the license was revoked, suspended, or surrendered. The person filing the application for reinstatement shall immediately serve a copy upon the office of the attorney general and shall serve any additional documents filed in connection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allege facts and circumstances which, if established, will be sufficient to enable the board to determine that the basis for the revocation, suspension, or surrender no longer exists and that it shall be in the public interest for the license to be reinstated. The application shall include written evidence supporting the respondent’s assertion that the basis for the revocation, suspension, or surrender no longer exists and that it shall be in the public interest for the license to be reinstated. Such evidence may include, but is not limited to: medical and mental health records establishing successful completion of any necessary medical or mental health treatment and aftercare recommendations; documentation verifying successful completion of any court-imposed terms of probation; statements from support group sponsors verifying active participation in a support group; verified statements from current and past employers attesting to employability; and evidence establishing that prior professional competency or unethical conduct issues have been resolved. The burden of proof to establish such facts shall be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designee shall review the application for reinstatement and determine if it conforms to the terms established in the board order that revoked, suspended, or surrendered the license and the requirements imposed by this rule. Applications failing to comply with the specified terms or with the requirements in this rule will be denied. Such denial shall be in writing, stating the grounds, and may be appealed by requesting a hearing before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20.36(5)</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not denied for failure to conform to the terms established in the board order that revoked, suspended, or surrendered the license or requirements imposed by this rule may be set for hearing before the board. The hearing shall be a contested case hearing within the meaning of Iowa Code section </w:t>
      </w:r>
      <w:hyperlink r:id="rId38">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the order to grant or deny reinstatement shall incorporate findings of fact and conclusions of law. If reinstatement is granted, terms may be imposed. Nothing shall prohibit the board from entering into a stipulated order granting reinstatement with or without terms in the absence of a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20.36(6)</w:t>
      </w:r>
      <w:r>
        <w:rPr>
          <w:rFonts w:ascii="Times New Roman" w:hAnsi="Times New Roman"/>
          <w:b w:val="false"/>
          <w:i w:val="false"/>
          <w:color w:val="000000"/>
          <w:sz w:val="22"/>
        </w:rPr>
        <w:t> </w:t>
      </w:r>
      <w:r>
        <w:rPr>
          <w:rFonts w:ascii="Times New Roman" w:hAnsi="Times New Roman"/>
          <w:b w:val="false"/>
          <w:i w:val="false"/>
          <w:color w:val="000000"/>
          <w:sz w:val="22"/>
        </w:rPr>
        <w:t>A nurse whose license is reinstated must complete the requirements for license reactivation in order to receive an 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20.36(7)</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or denying reinstatement is a permanent public record open for inspection under Iowa Code chapter </w:t>
      </w:r>
      <w:hyperlink r:id="rId3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655—20.37</w:t>
      </w:r>
      <w:r>
        <w:rPr>
          <w:rFonts w:ascii="Times New Roman" w:hAnsi="Times New Roman"/>
          <w:b/>
          <w:i w:val="false"/>
          <w:color w:val="000000"/>
          <w:sz w:val="22"/>
        </w:rPr>
        <w:t xml:space="preserve">(17A,22,272C) </w:t>
      </w:r>
      <w:r>
        <w:rPr>
          <w:rFonts w:ascii="Times New Roman" w:hAnsi="Times New Roman"/>
          <w:b/>
          <w:i w:val="false"/>
          <w:color w:val="000000"/>
          <w:sz w:val="22"/>
        </w:rPr>
        <w:t xml:space="preserve">Dissemination of public records. </w:t>
      </w:r>
      <w:r>
        <w:rPr>
          <w:rFonts w:ascii="Times New Roman" w:hAnsi="Times New Roman"/>
          <w:b w:val="false"/>
          <w:i w:val="false"/>
          <w:color w:val="000000"/>
          <w:sz w:val="22"/>
        </w:rPr>
        <w:t>All documents identified in this chapter as permanent public records open for inspection under Iowa Code chapter22 are reported to NURSYS</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and national databanks in accordance with applicable reporting requirements. In addition, these documents may be posted on the board’s Web site, published in the board’s newsletter, distributed to national or state associations, transmitted to mailing lists or news media, issued in conjunction with a press release, or otherwise disseminated.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655—20.38</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a final order of the board may be sought in accordance with the terms of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4.1.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17A.11.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17A.17.pdf" Type="http://schemas.openxmlformats.org/officeDocument/2006/relationships/hyperlink" Id="rId12"/>
    <Relationship TargetMode="External" Target="https://www.legis.iowa.gov/docs/iac/rule/655.20.11.pdf" Type="http://schemas.openxmlformats.org/officeDocument/2006/relationships/hyperlink" Id="rId13"/>
    <Relationship TargetMode="External" Target="https://www.legis.iowa.gov/docs/iac/rule/655.20.28.pdf" Type="http://schemas.openxmlformats.org/officeDocument/2006/relationships/hyperlink" Id="rId14"/>
    <Relationship TargetMode="External" Target="https://www.legis.iowa.gov/docs/iac/rule/655.20.11.pdf" Type="http://schemas.openxmlformats.org/officeDocument/2006/relationships/hyperlink" Id="rId15"/>
    <Relationship TargetMode="External" Target="https://www.legis.iowa.gov/docs/ico/chapter/17A.11.pdf" Type="http://schemas.openxmlformats.org/officeDocument/2006/relationships/hyperlink" Id="rId16"/>
    <Relationship TargetMode="External" Target="https://www.legis.iowa.gov/docs/iac/rule/655.20.26.pdf" Type="http://schemas.openxmlformats.org/officeDocument/2006/relationships/hyperlink" Id="rId17"/>
    <Relationship TargetMode="External" Target="https://www.legis.iowa.gov/docs/ico/chapter/17A.16.pdf" Type="http://schemas.openxmlformats.org/officeDocument/2006/relationships/hyperlink" Id="rId18"/>
    <Relationship TargetMode="External" Target="https://www.legis.iowa.gov/docs/ico/chapter/272C.6.pdf" Type="http://schemas.openxmlformats.org/officeDocument/2006/relationships/hyperlink" Id="rId19"/>
    <Relationship TargetMode="External" Target="https://www.legis.iowa.gov/docs/iac/rule/655.20.20.pdf" Type="http://schemas.openxmlformats.org/officeDocument/2006/relationships/hyperlink" Id="rId20"/>
    <Relationship TargetMode="External" Target="https://www.legis.iowa.gov/docs/iac/rule/655.20.20.pdf" Type="http://schemas.openxmlformats.org/officeDocument/2006/relationships/hyperlink" Id="rId21"/>
    <Relationship TargetMode="External" Target="https://www.legis.iowa.gov/docs/iac/rule/655.20.17.pdf" Type="http://schemas.openxmlformats.org/officeDocument/2006/relationships/hyperlink" Id="rId22"/>
    <Relationship TargetMode="External" Target="https://www.legis.iowa.gov/docs/ico/chapter/17A.17.pdf" Type="http://schemas.openxmlformats.org/officeDocument/2006/relationships/hyperlink" Id="rId23"/>
    <Relationship TargetMode="External" Target="https://www.legis.iowa.gov/docs/ico/chapter/22.pdf" Type="http://schemas.openxmlformats.org/officeDocument/2006/relationships/hyperlink" Id="rId24"/>
    <Relationship TargetMode="External" Target="https://www.legis.iowa.gov/docs/ico/chapter/272C.6.pdf" Type="http://schemas.openxmlformats.org/officeDocument/2006/relationships/hyperlink" Id="rId25"/>
    <Relationship TargetMode="External" Target="https://www.legis.iowa.gov/docs/ico/chapter/622.69.pdf" Type="http://schemas.openxmlformats.org/officeDocument/2006/relationships/hyperlink" Id="rId26"/>
    <Relationship TargetMode="External" Target="https://www.legis.iowa.gov/docs/ico/chapter/622.72.pdf" Type="http://schemas.openxmlformats.org/officeDocument/2006/relationships/hyperlink" Id="rId27"/>
    <Relationship TargetMode="External" Target="https://www.legis.iowa.gov/docs/iac/rule/655.20.30.pdf" Type="http://schemas.openxmlformats.org/officeDocument/2006/relationships/hyperlink" Id="rId28"/>
    <Relationship TargetMode="External" Target="https://www.legis.iowa.gov/docs/iac/rule/655.20.11.pdf" Type="http://schemas.openxmlformats.org/officeDocument/2006/relationships/hyperlink" Id="rId29"/>
    <Relationship TargetMode="External" Target="https://www.legis.iowa.gov/docs/iac/rule/655.20.17.pdf" Type="http://schemas.openxmlformats.org/officeDocument/2006/relationships/hyperlink" Id="rId30"/>
    <Relationship TargetMode="External" Target="https://www.legis.iowa.gov/docs/iac/rule/655.20.11.pdf" Type="http://schemas.openxmlformats.org/officeDocument/2006/relationships/hyperlink" Id="rId31"/>
    <Relationship TargetMode="External" Target="https://www.legis.iowa.gov/docs/iac/rule/655.20.28.pdf" Type="http://schemas.openxmlformats.org/officeDocument/2006/relationships/hyperlink" Id="rId32"/>
    <Relationship TargetMode="External" Target="https://www.legis.iowa.gov/docs/ico/chapter/17A.13.pdf" Type="http://schemas.openxmlformats.org/officeDocument/2006/relationships/hyperlink" Id="rId33"/>
    <Relationship TargetMode="External" Target="https://www.legis.iowa.gov/docs/ico/chapter/22.pdf" Type="http://schemas.openxmlformats.org/officeDocument/2006/relationships/hyperlink" Id="rId34"/>
    <Relationship TargetMode="External" Target="https://www.legis.iowa.gov/docs/ico/chapter/272C.6.pdf" Type="http://schemas.openxmlformats.org/officeDocument/2006/relationships/hyperlink" Id="rId35"/>
    <Relationship TargetMode="External" Target="https://www.legis.iowa.gov/docs/ico/chapter/17A.18.pdf" Type="http://schemas.openxmlformats.org/officeDocument/2006/relationships/hyperlink" Id="rId36"/>
    <Relationship TargetMode="External" Target="https://www.legis.iowa.gov/docs/ico/chapter/22.pdf" Type="http://schemas.openxmlformats.org/officeDocument/2006/relationships/hyperlink" Id="rId37"/>
    <Relationship TargetMode="External" Target="https://www.legis.iowa.gov/docs/ico/chapter/17A.12.pdf" Type="http://schemas.openxmlformats.org/officeDocument/2006/relationships/hyperlink" Id="rId38"/>
    <Relationship TargetMode="External" Target="https://www.legis.iowa.gov/docs/ico/chapter/22.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147.pdf" Type="http://schemas.openxmlformats.org/officeDocument/2006/relationships/hyperlink" Id="rId42"/>
    <Relationship TargetMode="External" Target="https://www.legis.iowa.gov/docs/ico/chapter/152.pdf" Type="http://schemas.openxmlformats.org/officeDocument/2006/relationships/hyperlink" Id="rId43"/>
    <Relationship TargetMode="External" Target="https://www.legis.iowa.gov/docs/ico/chapter/152E.pdf" Type="http://schemas.openxmlformats.org/officeDocument/2006/relationships/hyperlink" Id="rId44"/>
    <Relationship TargetMode="External" Target="https://www.legis.iowa.gov/docs/ico/chapter/272C.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