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NURSING EDUCATION PROGRAMS</w:t>
      </w:r>
    </w:p>
    <w:p>
      <w:pPr>
        <w:spacing w:before="0" w:after="0"/>
        <w:ind w:left="120"/>
        <w:jc w:val="center"/>
      </w:pPr>
      <w:r>
        <w:rPr>
          <w:rFonts w:ascii="Times New Roman" w:hAnsi="Times New Roman"/>
          <w:b w:val="false"/>
          <w:i w:val="false"/>
          <w:color w:val="000000"/>
          <w:sz w:val="14"/>
        </w:rPr>
        <w:t>[Prior to 8/26/87, Nursing Board[590]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655—2.1</w:t>
      </w:r>
      <w:r>
        <w:rPr>
          <w:rFonts w:ascii="Times New Roman" w:hAnsi="Times New Roman"/>
          <w:b/>
          <w:i w:val="false"/>
          <w:color w:val="000000"/>
          <w:sz w:val="22"/>
        </w:rPr>
        <w:t xml:space="preserve">(152)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means recognition status given to nursing education programs based on the programs’ compliance with the criteria specified in this chapter. Approval may be granted or continued for any time period determined by the board for up to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facilities” </w:t>
      </w:r>
      <w:r>
        <w:rPr>
          <w:rFonts w:ascii="Times New Roman" w:hAnsi="Times New Roman"/>
          <w:b w:val="false"/>
          <w:i w:val="false"/>
          <w:color w:val="000000"/>
          <w:sz w:val="22"/>
        </w:rPr>
        <w:t>means locations where students directly care for patients/clients under the supervision of a qualified faculty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instruction” </w:t>
      </w:r>
      <w:r>
        <w:rPr>
          <w:rFonts w:ascii="Times New Roman" w:hAnsi="Times New Roman"/>
          <w:b w:val="false"/>
          <w:i w:val="false"/>
          <w:color w:val="000000"/>
          <w:sz w:val="22"/>
        </w:rPr>
        <w:t>means hands-on learning situations in which students directly care for patients/clients within a relevant setting, under the supervision of a qualified faculty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means the subject matter in a given area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“Controlling institution” </w:t>
      </w:r>
      <w:r>
        <w:rPr>
          <w:rFonts w:ascii="Times New Roman" w:hAnsi="Times New Roman"/>
          <w:b w:val="false"/>
          <w:i w:val="false"/>
          <w:color w:val="000000"/>
          <w:sz w:val="22"/>
        </w:rPr>
        <w:t>means the institution that has authority over and administrative accountability for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content, lab/simulation, observation and clinical experiences developed, implemented and evaluated by faculty to facilitate achievement of program outcomes and to meet the learning needs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“Debriefing” </w:t>
      </w:r>
      <w:r>
        <w:rPr>
          <w:rFonts w:ascii="Times New Roman" w:hAnsi="Times New Roman"/>
          <w:b w:val="false"/>
          <w:i w:val="false"/>
          <w:color w:val="000000"/>
          <w:sz w:val="22"/>
        </w:rPr>
        <w:t>means an activity that follows a simulation experience and that is led by a faculty member, encourages a participant’s reflective thinking, and provides feedback regarding the participant’s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“Faculty” </w:t>
      </w:r>
      <w:r>
        <w:rPr>
          <w:rFonts w:ascii="Times New Roman" w:hAnsi="Times New Roman"/>
          <w:b w:val="false"/>
          <w:i w:val="false"/>
          <w:color w:val="000000"/>
          <w:sz w:val="22"/>
        </w:rPr>
        <w:t>means the teaching staff in a nursing education program. This definition includes anyone who provides didactic, simulation, laboratory, or clinical instruction in nursing when assigned by the program to provide this instruction for courses included in the nursing curriculum. The definition applies regardless of the amount of time spent teaching, the level of payment, the type of contract, the temporary nature of the position, or the location of the learner.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“Head of program” </w:t>
      </w:r>
      <w:r>
        <w:rPr>
          <w:rFonts w:ascii="Times New Roman" w:hAnsi="Times New Roman"/>
          <w:b w:val="false"/>
          <w:i w:val="false"/>
          <w:color w:val="000000"/>
          <w:sz w:val="22"/>
        </w:rPr>
        <w:t>means the dean, chairperson, director, or coordinator of the nursing education program(s) who is responsible for the administration of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“Improvement status” </w:t>
      </w:r>
      <w:r>
        <w:rPr>
          <w:rFonts w:ascii="Times New Roman" w:hAnsi="Times New Roman"/>
          <w:b w:val="false"/>
          <w:i w:val="false"/>
          <w:color w:val="000000"/>
          <w:sz w:val="22"/>
        </w:rPr>
        <w:t>means the status on which a program is placed after three consecutive years of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results below the 95 percent of the national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approval” </w:t>
      </w:r>
      <w:r>
        <w:rPr>
          <w:rFonts w:ascii="Times New Roman" w:hAnsi="Times New Roman"/>
          <w:b w:val="false"/>
          <w:i w:val="false"/>
          <w:color w:val="000000"/>
          <w:sz w:val="22"/>
        </w:rPr>
        <w:t>means approval granted to a new nursing program, at which time students may be admitted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“Lab/simulation” </w:t>
      </w:r>
      <w:r>
        <w:rPr>
          <w:rFonts w:ascii="Times New Roman" w:hAnsi="Times New Roman"/>
          <w:b w:val="false"/>
          <w:i w:val="false"/>
          <w:color w:val="000000"/>
          <w:sz w:val="22"/>
        </w:rPr>
        <w:t>means activities that mimic the reality of a clinical environment and that are designed to demonstrate procedures, decision making and critical thinking through interactive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“Learning experiences” </w:t>
      </w:r>
      <w:r>
        <w:rPr>
          <w:rFonts w:ascii="Times New Roman" w:hAnsi="Times New Roman"/>
          <w:b w:val="false"/>
          <w:i w:val="false"/>
          <w:color w:val="000000"/>
          <w:sz w:val="22"/>
        </w:rPr>
        <w:t>means experiences that shall include content and clinical instruction and that may include components of lab/simulation, practicum, and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“Located in Iowa” </w:t>
      </w:r>
      <w:r>
        <w:rPr>
          <w:rFonts w:ascii="Times New Roman" w:hAnsi="Times New Roman"/>
          <w:b w:val="false"/>
          <w:i w:val="false"/>
          <w:color w:val="000000"/>
          <w:sz w:val="22"/>
        </w:rPr>
        <w:t>means a college or university that is accredited by the Higher Learning Commission, that has made a substantial investment in a permanent Iowa campus and staff, and that offers a full range of courses leading to the degrees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“Master’s degree” </w:t>
      </w:r>
      <w:r>
        <w:rPr>
          <w:rFonts w:ascii="Times New Roman" w:hAnsi="Times New Roman"/>
          <w:b w:val="false"/>
          <w:i w:val="false"/>
          <w:color w:val="000000"/>
          <w:sz w:val="22"/>
        </w:rPr>
        <w:t>means the title conferred by a college or university upon completion of a program of graduate study that requires a level of academic accomplishment and subject mastery substantially beyond that required for a baccalaureate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NCLEX</w:t>
      </w:r>
      <w:r>
        <w:rPr>
          <w:rFonts w:ascii="Times New Roman" w:hAnsi="Times New Roman"/>
          <w:b w:val="false"/>
          <w:i/>
          <w:color w:val="000000"/>
          <w:sz w:val="18"/>
          <w:vertAlign w:val="superscript"/>
        </w:rPr>
        <w:t>®</w:t>
      </w:r>
      <w:r>
        <w:rPr>
          <w:rFonts w:ascii="Times New Roman" w:hAnsi="Times New Roman"/>
          <w:b w:val="false"/>
          <w:i/>
          <w:color w:val="000000"/>
          <w:sz w:val="22"/>
        </w:rPr>
        <w:t xml:space="preserve"> passing percentage” </w:t>
      </w:r>
      <w:r>
        <w:rPr>
          <w:rFonts w:ascii="Times New Roman" w:hAnsi="Times New Roman"/>
          <w:b w:val="false"/>
          <w:i w:val="false"/>
          <w:color w:val="000000"/>
          <w:sz w:val="22"/>
        </w:rPr>
        <w:t>means the percentage of first-time testers who achieve a passing score on the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examination for licensed practical nurse or registered nurse licensure, calculated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“NCLEX</w:t>
      </w:r>
      <w:r>
        <w:rPr>
          <w:rFonts w:ascii="Times New Roman" w:hAnsi="Times New Roman"/>
          <w:b w:val="false"/>
          <w:i/>
          <w:color w:val="000000"/>
          <w:sz w:val="18"/>
          <w:vertAlign w:val="superscript"/>
        </w:rPr>
        <w:t>®</w:t>
      </w:r>
      <w:r>
        <w:rPr>
          <w:rFonts w:ascii="Times New Roman" w:hAnsi="Times New Roman"/>
          <w:b w:val="false"/>
          <w:i/>
          <w:color w:val="000000"/>
          <w:sz w:val="22"/>
        </w:rPr>
        <w:t xml:space="preserve">” </w:t>
      </w:r>
      <w:r>
        <w:rPr>
          <w:rFonts w:ascii="Times New Roman" w:hAnsi="Times New Roman"/>
          <w:b w:val="false"/>
          <w:i w:val="false"/>
          <w:color w:val="000000"/>
          <w:sz w:val="22"/>
        </w:rPr>
        <w:t>means the National Council Licensure Examination, the examination currently used for initial licensure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“NCLEX</w:t>
      </w:r>
      <w:r>
        <w:rPr>
          <w:rFonts w:ascii="Times New Roman" w:hAnsi="Times New Roman"/>
          <w:b w:val="false"/>
          <w:i/>
          <w:color w:val="000000"/>
          <w:sz w:val="18"/>
          <w:vertAlign w:val="superscript"/>
        </w:rPr>
        <w:t>®</w:t>
      </w:r>
      <w:r>
        <w:rPr>
          <w:rFonts w:ascii="Times New Roman" w:hAnsi="Times New Roman"/>
          <w:b w:val="false"/>
          <w:i/>
          <w:color w:val="000000"/>
          <w:sz w:val="22"/>
        </w:rPr>
        <w:t xml:space="preserve"> passing percentage” </w:t>
      </w:r>
      <w:r>
        <w:rPr>
          <w:rFonts w:ascii="Times New Roman" w:hAnsi="Times New Roman"/>
          <w:b w:val="false"/>
          <w:i w:val="false"/>
          <w:color w:val="000000"/>
          <w:sz w:val="22"/>
        </w:rPr>
        <w:t>means the percentage of first-time testers who achieve a passing score on the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examination for licensed practical nurse or registered nurse licensure within six months of graduation from a nursing program, calculated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“Observation” </w:t>
      </w:r>
      <w:r>
        <w:rPr>
          <w:rFonts w:ascii="Times New Roman" w:hAnsi="Times New Roman"/>
          <w:b w:val="false"/>
          <w:i w:val="false"/>
          <w:color w:val="000000"/>
          <w:sz w:val="22"/>
        </w:rPr>
        <w:t>means learning experiences in a relevant setting that meet program outcomes but do not require on-site faculty supervision and where the student does not directly care for patients/clients.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program” </w:t>
      </w:r>
      <w:r>
        <w:rPr>
          <w:rFonts w:ascii="Times New Roman" w:hAnsi="Times New Roman"/>
          <w:b w:val="false"/>
          <w:i w:val="false"/>
          <w:color w:val="000000"/>
          <w:sz w:val="22"/>
        </w:rPr>
        <w:t>means an approved nursing program within United States jurisdiction that provides clinical experiences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means a course of study designed especially for the preparation of nurses that involves the supervised practical application of previously studied theory.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 licensed individual who meets Iowa board of nursing qualifications as specified in this chapter, is on staff at the facility where the experience occurs, is selected by the nursing program in collaboration with the clinical facility, and is responsible for the on-site direction of the student over a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“Preceptorship” </w:t>
      </w:r>
      <w:r>
        <w:rPr>
          <w:rFonts w:ascii="Times New Roman" w:hAnsi="Times New Roman"/>
          <w:b w:val="false"/>
          <w:i w:val="false"/>
          <w:color w:val="000000"/>
          <w:sz w:val="22"/>
        </w:rPr>
        <w:t>means an experience between a preceptor and a nursing student over a period of time that is congruent with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a course of study by any method of instruction or delivery that leads to a nursing diploma, degree or certificate. Multiple-site programs offered by one controlling institution shall be considered one program if the philosophy and curriculum of all the sites are the same.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nursing faculty” </w:t>
      </w:r>
      <w:r>
        <w:rPr>
          <w:rFonts w:ascii="Times New Roman" w:hAnsi="Times New Roman"/>
          <w:b w:val="false"/>
          <w:i w:val="false"/>
          <w:color w:val="000000"/>
          <w:sz w:val="22"/>
        </w:rPr>
        <w:t>means individuals who meet board faculty qualifications as specified in this chapter and the qualifications of the parent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5286C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655—2.2</w:t>
      </w:r>
      <w:r>
        <w:rPr>
          <w:rFonts w:ascii="Times New Roman" w:hAnsi="Times New Roman"/>
          <w:b/>
          <w:i w:val="false"/>
          <w:color w:val="000000"/>
          <w:sz w:val="22"/>
        </w:rPr>
        <w:t xml:space="preserve">(152) </w:t>
      </w:r>
      <w:r>
        <w:rPr>
          <w:rFonts w:ascii="Times New Roman" w:hAnsi="Times New Roman"/>
          <w:b/>
          <w:i w:val="false"/>
          <w:color w:val="000000"/>
          <w:sz w:val="22"/>
        </w:rPr>
        <w:t xml:space="preserve">Programs eligible for board approval. </w:t>
      </w:r>
      <w:r>
        <w:rPr>
          <w:rFonts w:ascii="Times New Roman" w:hAnsi="Times New Roman"/>
          <w:b w:val="false"/>
          <w:i w:val="false"/>
          <w:color w:val="000000"/>
          <w:sz w:val="22"/>
        </w:rPr>
        <w:t>Programs eligible for board approval shall include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least a one-academic-year course of study or its equivalent in theory and practice as described by the board that leads to a diploma in practical nursing and to eligibility to apply for practical nurse licensure by examination as described in 655—Chapter 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least a two-academic-year course of study or its equivalent in theory and practice as described by the board that leads to a degree in nursing and to eligibility to apply for registered nurse licensure by examination as described in 655—Chapter 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course of study designed for registered nurses that leads to a baccalaureate degree with a major in nursing.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course of study designed for registered nurses that leads to a master’s degree with a major in nursing.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course of study designed for registered nurses who hold a master’s degree in nursing that leads to a certificate in advanced practice nursing and eligibility for licensure as an advanced registered nurse practitioner as described in 655—Chapter 7. When the certificate is in a population focus, the course of study shall lead to eligibility to apply for certification in the population focus by a national professional nursing organization recognized by the board.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post-master’s course of study that leads to a doctoral degree with a major in nursing.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course of study that leads to a doctorate in nursing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655—2.3</w:t>
      </w:r>
      <w:r>
        <w:rPr>
          <w:rFonts w:ascii="Times New Roman" w:hAnsi="Times New Roman"/>
          <w:b/>
          <w:i w:val="false"/>
          <w:color w:val="000000"/>
          <w:sz w:val="22"/>
        </w:rPr>
        <w:t xml:space="preserve">(152) </w:t>
      </w:r>
      <w:r>
        <w:rPr>
          <w:rFonts w:ascii="Times New Roman" w:hAnsi="Times New Roman"/>
          <w:b/>
          <w:i w:val="false"/>
          <w:color w:val="000000"/>
          <w:sz w:val="22"/>
        </w:rPr>
        <w:t xml:space="preserve">Application for interim approval of a nursing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Before establishing a nursing program, a controlling institution shall submit a program application to the board that includes the following information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controlling institution and accreditation status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statement explaining how the college or university meets the definition of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written statement of intent to establish a nursing program, including the academic and licensure levels of the program and the primary method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establishment of an advisory committee composed of representatives of the community and nurses. Minutes of advisory committee meetings shall be kept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Completion of a needs assessment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the present and future need for the program in the state, including availability of potential students and need for entry-level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effect on existing nursing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Availability of qualified head of the program and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Source and description of clinical resources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of potential students and anticipated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adequate academic facilities and staff to support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Evidence of financial resources adequate for the planning, implementation and continuation of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Tentative time schedule for planning and implementing the nursing program and the intended date for entry of the first class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The board shall approve or deny the program application to establish a nursing program. If the board approves the program application, the controlling institution shall then submit to the board a program proposal within one year of the application that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employment of the head of the program, including the individual’s qualifications, at least six months prior to the beginning of the first nursing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philosophy, objectives and outcomes that reflect the proposed level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Organizational chart of the educational institution documenting the relationship of the nursing program within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Curriculum plan that meets the criteria in </w:t>
      </w:r>
      <w:hyperlink r:id="rId5">
        <w:r>
          <w:rPr>
            <w:rStyle w:val="Hyperlink"/>
            <w:rFonts w:ascii="Times New Roman" w:hAnsi="Times New Roman"/>
            <w:b w:val="false"/>
            <w:i w:val="false"/>
            <w:color w:val="000000"/>
            <w:sz w:val="22"/>
          </w:rPr>
          <w:t>rule 655—2.10(152)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Letter of intent from clinical facilities securing clinical opportunities and documentation of the facility type, size, number of beds, and type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provision of qualified faculty. Faculty shall be employed by the controlling institution prior to the beginning of teaching assignments. Faculty members who teach nursing shall meet the qualifications outlined in </w:t>
      </w:r>
      <w:hyperlink r:id="rId6">
        <w:r>
          <w:rPr>
            <w:rStyle w:val="Hyperlink"/>
            <w:rFonts w:ascii="Times New Roman" w:hAnsi="Times New Roman"/>
            <w:b w:val="false"/>
            <w:i w:val="false"/>
            <w:color w:val="000000"/>
            <w:sz w:val="22"/>
          </w:rPr>
          <w:t>subrule 2.11(2)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Updated time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Proposed five-year budget for the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The board may conduct a site visit to the controlling institution and clinical facilities to validate information submitted in the program proposal prior to determining interim approval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val="false"/>
          <w:color w:val="000000"/>
          <w:sz w:val="22"/>
        </w:rPr>
        <w:t>Interim approval may be granted to the program based on the program proposal and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shall publish the interim approval status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head of the program shall submit one electronic copy and one hard copy of a program progress report four weeks prior to each regularly scheduled board meeting until full approval as described in </w:t>
      </w:r>
      <w:hyperlink r:id="rId7">
        <w:r>
          <w:rPr>
            <w:rStyle w:val="Hyperlink"/>
            <w:rFonts w:ascii="Times New Roman" w:hAnsi="Times New Roman"/>
            <w:b w:val="false"/>
            <w:i w:val="false"/>
            <w:color w:val="000000"/>
            <w:sz w:val="22"/>
          </w:rPr>
          <w:t>rule 655—2.4(152)</w:t>
        </w:r>
      </w:hyperlink>
      <w:r>
        <w:rPr>
          <w:rFonts w:ascii="Times New Roman" w:hAnsi="Times New Roman"/>
          <w:b w:val="false"/>
          <w:i w:val="false"/>
          <w:color w:val="000000"/>
          <w:sz w:val="22"/>
        </w:rPr>
        <w:t xml:space="preserve"> is granted by the board. The progress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Updated information in all areas identified in the initial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number of admissions and enrollments.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number of qualified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course offerings, including descriptions, credit hours, outcomes/objectives, placement of course and curriculum submitted six months prior to the offering of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requiring board notification and approval as outlined in </w:t>
      </w:r>
      <w:hyperlink r:id="rId8">
        <w:r>
          <w:rPr>
            <w:rStyle w:val="Hyperlink"/>
            <w:rFonts w:ascii="Times New Roman" w:hAnsi="Times New Roman"/>
            <w:b w:val="false"/>
            <w:i w:val="false"/>
            <w:color w:val="000000"/>
            <w:sz w:val="22"/>
          </w:rPr>
          <w:t>subrule 2.17(3)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approval shall continue until the board conducts a review of program materials, completes a site visit, and grants approval to the program following graduation of the first class and submission of results of the national examination for licensure or advanced practice certification,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seek additional program information from the controlling institution and head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val="false"/>
          <w:color w:val="000000"/>
          <w:sz w:val="22"/>
        </w:rPr>
        <w:t>The board may deny interim approval based on the program proposal and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reconsidered, the controlling institution shall resubmit a program proposal within six months from the time of program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year from the initial application, the controlling institution may resubmit a program application to the board in order to be reconsidered.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655—2.4</w:t>
      </w:r>
      <w:r>
        <w:rPr>
          <w:rFonts w:ascii="Times New Roman" w:hAnsi="Times New Roman"/>
          <w:b/>
          <w:i w:val="false"/>
          <w:color w:val="000000"/>
          <w:sz w:val="22"/>
        </w:rPr>
        <w:t xml:space="preserve">(152) </w:t>
      </w:r>
      <w:r>
        <w:rPr>
          <w:rFonts w:ascii="Times New Roman" w:hAnsi="Times New Roman"/>
          <w:b/>
          <w:i w:val="false"/>
          <w:color w:val="000000"/>
          <w:sz w:val="22"/>
        </w:rPr>
        <w:t xml:space="preserve">Approval and reapproval procedures. </w:t>
      </w:r>
      <w:r>
        <w:rPr>
          <w:rFonts w:ascii="Times New Roman" w:hAnsi="Times New Roman"/>
          <w:b w:val="false"/>
          <w:i w:val="false"/>
          <w:color w:val="000000"/>
          <w:sz w:val="22"/>
        </w:rPr>
        <w:t>The full approval procedure for programs with interim approval and the reapproval procedure of programs for colleges or universities located in Iowa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The board shall provide the program with the schedule and the criteria for approval 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provide to the board the nursing education program report and requested materials addressing all aspects of the program outlined in </w:t>
      </w:r>
      <w:hyperlink r:id="rId9">
        <w:r>
          <w:rPr>
            <w:rStyle w:val="Hyperlink"/>
            <w:rFonts w:ascii="Times New Roman" w:hAnsi="Times New Roman"/>
            <w:b w:val="false"/>
            <w:i w:val="false"/>
            <w:color w:val="000000"/>
            <w:sz w:val="22"/>
          </w:rPr>
          <w:t>rules 655—2.8(152)</w:t>
        </w:r>
      </w:hyperlink>
      <w:r>
        <w:rPr>
          <w:rFonts w:ascii="Times New Roman" w:hAnsi="Times New Roman"/>
          <w:b w:val="false"/>
          <w:i w:val="false"/>
          <w:color w:val="000000"/>
          <w:sz w:val="22"/>
        </w:rPr>
        <w:t xml:space="preserve"> to 655—2.18(152) and documenting how the criteria for approval are met. Documentation may include current information submitted by the program to other approving and accrediting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board shall make a site visit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grant full approval to programs with interim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purpose of determining if the program continues to meet the criteria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is at any time evidence that the program does not meet the criteria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The board shall provide to the head of the program a report addressing any recommendations as a result of the site visit and nursing education program report. The head of the program shall be provided an opportunity to respond in writing to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val="false"/>
          <w:color w:val="000000"/>
          <w:sz w:val="22"/>
        </w:rPr>
        <w:t>The nursing education program report and the program response shall be submitted to the board for board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w:t>
      </w:r>
      <w:r>
        <w:rPr>
          <w:rFonts w:ascii="Times New Roman" w:hAnsi="Times New Roman"/>
          <w:b w:val="false"/>
          <w:i w:val="false"/>
          <w:color w:val="000000"/>
          <w:sz w:val="22"/>
        </w:rPr>
        <w:t> </w:t>
      </w:r>
      <w:r>
        <w:rPr>
          <w:rFonts w:ascii="Times New Roman" w:hAnsi="Times New Roman"/>
          <w:b w:val="false"/>
          <w:i w:val="false"/>
          <w:color w:val="000000"/>
          <w:sz w:val="22"/>
        </w:rPr>
        <w:t>The board shall determine the approval status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approval may be granted or continued, within any time frame determined by the board, up to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Provisional approval may be granted as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5286C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655—2.5</w:t>
      </w:r>
      <w:r>
        <w:rPr>
          <w:rFonts w:ascii="Times New Roman" w:hAnsi="Times New Roman"/>
          <w:b/>
          <w:i w:val="false"/>
          <w:color w:val="000000"/>
          <w:sz w:val="22"/>
        </w:rPr>
        <w:t xml:space="preserve">(152) </w:t>
      </w:r>
      <w:r>
        <w:rPr>
          <w:rFonts w:ascii="Times New Roman" w:hAnsi="Times New Roman"/>
          <w:b/>
          <w:i w:val="false"/>
          <w:color w:val="000000"/>
          <w:sz w:val="22"/>
        </w:rPr>
        <w:t xml:space="preserve">Provisional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Provisional approval may be granted at the board’s discretion to a program if the board determines that the program does not meet the criteria for approval during the full approval procedure or at any time during the progression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At the time of provisional approval,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notify the president of the academic institution and head of the nursing program, in writing, of the program’s provisional approval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meet with representatives of the program and controlling institution to discuss the length of provisional approval, set conditions for achieving full approval, and identify expected outcomes;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May require progress reports and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val="false"/>
          <w:color w:val="000000"/>
          <w:sz w:val="22"/>
        </w:rPr>
        <w:t>Throughout provisional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all students and prospective students of the program’s provisional approval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require progress reports, conduct site visits, and request board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val="false"/>
          <w:color w:val="000000"/>
          <w:sz w:val="22"/>
        </w:rPr>
        <w:t>Prior to the expiration of a program’s provisional approval, the board shall meet with representatives of the program and controlling institution to determine if the outcomes are met. The board shall determine whether to grant the program full approval, extend provisional approval, or initiate proceedings to deny or withdraw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655—2.6</w:t>
      </w:r>
      <w:r>
        <w:rPr>
          <w:rFonts w:ascii="Times New Roman" w:hAnsi="Times New Roman"/>
          <w:b/>
          <w:i w:val="false"/>
          <w:color w:val="000000"/>
          <w:sz w:val="22"/>
        </w:rPr>
        <w:t xml:space="preserve">(152) </w:t>
      </w:r>
      <w:r>
        <w:rPr>
          <w:rFonts w:ascii="Times New Roman" w:hAnsi="Times New Roman"/>
          <w:b/>
          <w:i w:val="false"/>
          <w:color w:val="000000"/>
          <w:sz w:val="22"/>
        </w:rPr>
        <w:t xml:space="preserve">Denial or withdrawal of board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val="false"/>
          <w:color w:val="000000"/>
          <w:sz w:val="22"/>
        </w:rPr>
        <w:t>If a program does not meet the conditions imposed during provisional approval to return to full approval within the time period specified, the board may initiate proceedings to deny or withdraw approval of the program. To initiate proceedings, the board shall issue to the program a notice of intent to deny or withdraw approval. The notice of intent shall set forth the basis for the denial or withdrawal and describe the process for appealing the notice. If a program appeals, a contested case hearing shall be scheduled. The hearing shall be governed by the rules found in 655—Chapter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val="false"/>
          <w:color w:val="000000"/>
          <w:sz w:val="22"/>
        </w:rPr>
        <w:t>If, after a contested case proceeding, the board denies or withdraws approval of a program, the program shall immediately notify all enrolled students of the denial or withdrawal of approval. Such notification must include the date of denial or withdrawal of approval and a statement that students must graduate from an approved program to be eligible for licensure. The program shall assist all enrolled students with transferring to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655—2.7</w:t>
      </w:r>
      <w:r>
        <w:rPr>
          <w:rFonts w:ascii="Times New Roman" w:hAnsi="Times New Roman"/>
          <w:b/>
          <w:i w:val="false"/>
          <w:color w:val="000000"/>
          <w:sz w:val="22"/>
        </w:rPr>
        <w:t xml:space="preserve">(152) </w:t>
      </w:r>
      <w:r>
        <w:rPr>
          <w:rFonts w:ascii="Times New Roman" w:hAnsi="Times New Roman"/>
          <w:b/>
          <w:i w:val="false"/>
          <w:color w:val="000000"/>
          <w:sz w:val="22"/>
        </w:rPr>
        <w:t xml:space="preserve">Closure of an approved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val="false"/>
          <w:color w:val="000000"/>
          <w:sz w:val="22"/>
        </w:rPr>
        <w:t>Prior to program closure, the controlling institution shall submit a written plan for board approval. The plan shall include reasons for closure and the date of closure, which is defined as the date when the last student graduates. The plan shall also address a provision for the graduation of enrolled students, retention of adequate numbers of qualified faculty, retention of approved curriculum, maintenance of educational resources and student services, and a provision for student and graduate transcripts. When a program intends to close prior to the graduation of enrolled students who are actively taking nursing courses, the plan shall be submitted to the board at least 12 months prior to closure, except when closure is occurring as a result of an emergency or unforeseen circumstances. The board may shorten the 12-month time period if the board determines that the controlling institution has made adequate provisions for enrolled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val="false"/>
          <w:color w:val="000000"/>
          <w:sz w:val="22"/>
        </w:rPr>
        <w:t>The program shall continue to meet the criteria for board approval until all enrolled students have graduated or the board has approved a plan for closure prior to graduation of the students. The board may require progress reports during the closure process. Prior to closure, the controlling institution shall notify the board regarding the location and maintenance of student and graduate transcripts and records to enable retrieval after the program closes.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655—2.8</w:t>
      </w:r>
      <w:r>
        <w:rPr>
          <w:rFonts w:ascii="Times New Roman" w:hAnsi="Times New Roman"/>
          <w:b/>
          <w:i w:val="false"/>
          <w:color w:val="000000"/>
          <w:sz w:val="22"/>
        </w:rPr>
        <w:t xml:space="preserve">(152) </w:t>
      </w:r>
      <w:r>
        <w:rPr>
          <w:rFonts w:ascii="Times New Roman" w:hAnsi="Times New Roman"/>
          <w:b/>
          <w:i w:val="false"/>
          <w:color w:val="000000"/>
          <w:sz w:val="22"/>
        </w:rPr>
        <w:t xml:space="preserve">Organization and administration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val="false"/>
          <w:color w:val="000000"/>
          <w:sz w:val="22"/>
        </w:rPr>
        <w:t>The program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Authorization for conducting a program is granted in accordance with Iowa Code chapter </w:t>
      </w:r>
      <w:hyperlink r:id="rId10">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Authority and administrative responsibility. </w:t>
      </w:r>
      <w:r>
        <w:rPr>
          <w:rFonts w:ascii="Times New Roman" w:hAnsi="Times New Roman"/>
          <w:b w:val="false"/>
          <w:i w:val="false"/>
          <w:color w:val="000000"/>
          <w:sz w:val="22"/>
        </w:rPr>
        <w:t>The authority and administrative responsibility of the program shall be vested in the head of the program, who is responsible to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Organizational chart. </w:t>
      </w:r>
      <w:r>
        <w:rPr>
          <w:rFonts w:ascii="Times New Roman" w:hAnsi="Times New Roman"/>
          <w:b w:val="false"/>
          <w:i w:val="false"/>
          <w:color w:val="000000"/>
          <w:sz w:val="22"/>
        </w:rPr>
        <w:t>The organizational chart(s) shall clearly indicate the lines of authority and communication within the program and with the central administration, other units within the controlling institution, cooperating agencies, and advisory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shall allocate adequate funds to carry out the purposes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head of the program shall prepare the budget with the assistance of the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Ethical practices. </w:t>
      </w:r>
      <w:r>
        <w:rPr>
          <w:rFonts w:ascii="Times New Roman" w:hAnsi="Times New Roman"/>
          <w:b w:val="false"/>
          <w:i w:val="false"/>
          <w:color w:val="000000"/>
          <w:sz w:val="22"/>
        </w:rPr>
        <w:t>Ethical practices and standards, including those for recruitment and advertising, shall be consistent with those of the controlling institution and shall be made available to students and prospective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Contractual agreements. </w:t>
      </w:r>
      <w:r>
        <w:rPr>
          <w:rFonts w:ascii="Times New Roman" w:hAnsi="Times New Roman"/>
          <w:b w:val="false"/>
          <w:i w:val="false"/>
          <w:color w:val="000000"/>
          <w:sz w:val="22"/>
        </w:rPr>
        <w:t>Written contractual agreements shall exist between the program and the clinical facilities. The agreements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responsibilities of both parties related to patient or client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 for faculty control, selection and guidance of student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for termination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for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that the facility is in good standing with its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Accrediting and approving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or program shall be accredited by the Higher Learning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program is located at a community college, the controlling institution shall be approved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program is offered under the auspices of the United States armed forces, it shall be accredited by the U.S. Department of the Army.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Philosophy/mission and program outcomes. </w:t>
      </w:r>
      <w:r>
        <w:rPr>
          <w:rFonts w:ascii="Times New Roman" w:hAnsi="Times New Roman"/>
          <w:b w:val="false"/>
          <w:i w:val="false"/>
          <w:color w:val="000000"/>
          <w:sz w:val="22"/>
        </w:rPr>
        <w:t>The faculty shall develop a philosophy or mission statement and program outcomes that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Consistent with the philosophy or mission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Reflective of faculty beliefs about nursing, education and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guide in the development, implementation and evaluation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Available to students and prospective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Program evaluation. </w:t>
      </w:r>
      <w:r>
        <w:rPr>
          <w:rFonts w:ascii="Times New Roman" w:hAnsi="Times New Roman"/>
          <w:b w:val="false"/>
          <w:i w:val="false"/>
          <w:color w:val="000000"/>
          <w:sz w:val="22"/>
        </w:rPr>
        <w:t>A written plan shall outline the evaluation process for all aspects of the program and shall identify the methodology, tools, responsible parties and time frame. Evidence of implementation shall reflect achievement of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val="false"/>
          <w:color w:val="000000"/>
          <w:sz w:val="22"/>
        </w:rPr>
        <w:t>The head of a program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registered nurse in Iowa. An individual is currently licensed when licensed in another state and recognized for licensure in this state pursuant to the nurse licensure compact contained in Iowa Code chapter </w:t>
      </w:r>
      <w:hyperlink r:id="rId11">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years of experience in clinical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years of teaching experience in a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Academic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head of a program who was employed on or before July 1, 1992, shall be considered adequately prepared as long as that person remains in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head of a program hired after July 1, 1992, shall have a master’s or doctoral degree with a major in nursing at either level at the time of hire. The date of hire is the first day of employment as head of the program with compensation at a particular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program offers a baccalaureate or higher degree in nursing, the head of the program shall have a doctoral degree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qualifications to the board office within one month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val="false"/>
          <w:color w:val="000000"/>
          <w:sz w:val="22"/>
        </w:rPr>
        <w:t>A nursing education program shall have one head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655—2.9</w:t>
      </w:r>
      <w:r>
        <w:rPr>
          <w:rFonts w:ascii="Times New Roman" w:hAnsi="Times New Roman"/>
          <w:b/>
          <w:i w:val="false"/>
          <w:color w:val="000000"/>
          <w:sz w:val="22"/>
        </w:rPr>
        <w:t xml:space="preserve">(152) </w:t>
      </w:r>
      <w:r>
        <w:rPr>
          <w:rFonts w:ascii="Times New Roman" w:hAnsi="Times New Roman"/>
          <w:b/>
          <w:i w:val="false"/>
          <w:color w:val="000000"/>
          <w:sz w:val="22"/>
        </w:rPr>
        <w:t xml:space="preserve">Resources of the controlling institution. </w:t>
      </w:r>
      <w:r>
        <w:rPr>
          <w:rFonts w:ascii="Times New Roman" w:hAnsi="Times New Roman"/>
          <w:b w:val="false"/>
          <w:i w:val="false"/>
          <w:color w:val="000000"/>
          <w:sz w:val="22"/>
        </w:rPr>
        <w:t>The controlling institution is responsible for provision of resources adequate to meet program needs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Human resources. </w:t>
      </w:r>
      <w:r>
        <w:rPr>
          <w:rFonts w:ascii="Times New Roman" w:hAnsi="Times New Roman"/>
          <w:b w:val="false"/>
          <w:i w:val="false"/>
          <w:color w:val="000000"/>
          <w:sz w:val="22"/>
        </w:rPr>
        <w:t>Human resources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Secretarial and other support and staff services to ensure appropriate use of faculty time and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 staff for online or distance education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Physical resources. </w:t>
      </w:r>
      <w:r>
        <w:rPr>
          <w:rFonts w:ascii="Times New Roman" w:hAnsi="Times New Roman"/>
          <w:b w:val="false"/>
          <w:i w:val="false"/>
          <w:color w:val="000000"/>
          <w:sz w:val="22"/>
        </w:rPr>
        <w:t>Physical resources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Classrooms, conference rooms, laboratories, simulation laboratories, offices,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Learning resources. </w:t>
      </w:r>
      <w:r>
        <w:rPr>
          <w:rFonts w:ascii="Times New Roman" w:hAnsi="Times New Roman"/>
          <w:b w:val="false"/>
          <w:i w:val="false"/>
          <w:color w:val="000000"/>
          <w:sz w:val="22"/>
        </w:rPr>
        <w:t>Learning resources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Print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Computer-mediated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Laboratory/simulation laboratory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color w:val="000000"/>
          <w:sz w:val="22"/>
        </w:rPr>
        <w:t xml:space="preserve">Financial resources. </w:t>
      </w:r>
      <w:r>
        <w:rPr>
          <w:rFonts w:ascii="Times New Roman" w:hAnsi="Times New Roman"/>
          <w:b w:val="false"/>
          <w:i w:val="false"/>
          <w:color w:val="000000"/>
          <w:sz w:val="22"/>
        </w:rPr>
        <w:t>Financial resources shall be adequate to support and carry out the mission of the controlling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655—2.10</w:t>
      </w:r>
      <w:r>
        <w:rPr>
          <w:rFonts w:ascii="Times New Roman" w:hAnsi="Times New Roman"/>
          <w:b/>
          <w:i w:val="false"/>
          <w:color w:val="000000"/>
          <w:sz w:val="22"/>
        </w:rPr>
        <w:t xml:space="preserve">(152) </w:t>
      </w:r>
      <w:r>
        <w:rPr>
          <w:rFonts w:ascii="Times New Roman" w:hAnsi="Times New Roman"/>
          <w:b/>
          <w:i w:val="false"/>
          <w:color w:val="000000"/>
          <w:sz w:val="22"/>
        </w:rPr>
        <w:t xml:space="preserve">Curriculum.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Reflect the philosophy/mission and program outcomes supported by the nursing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program outcomes and define how learning experiences support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Reflect current standards of nursing practice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consistent with laws governing the practice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sufficient preparation for the safe and effective practice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Include planned learning experiences and strategies that demonstrate integration of knowledge and attainment of the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Reflect the roles for which the student is being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evaluated on a regular basis by the faculty and reflect achievement of student outcomes as demonstrated in the program evaluation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offered within a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comparable in quality and requirements to other degree programs within the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planned in accordance with the college or university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Assign credit hours for learning experiences that are consistent with the college or university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teaching/learning environment (classroom, clinical, laboratory, or simulation) that supports achievement of expected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val="false"/>
          <w:color w:val="000000"/>
          <w:sz w:val="22"/>
        </w:rPr>
        <w:t>Standardized examinations may be used to supplement a program’s curriculum but shall not prevent a student’s academic progression or graduation. At the time of enrollment, students shall be informed of the schedule and procedure for any standardized examinations utilized in the curriculum. The program shall have a process and procedure for remediation of students who do not pass the standardized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w:t>
      </w:r>
      <w:r>
        <w:rPr>
          <w:rFonts w:ascii="Times New Roman" w:hAnsi="Times New Roman"/>
          <w:b w:val="false"/>
          <w:i w:val="false"/>
          <w:color w:val="000000"/>
          <w:sz w:val="22"/>
        </w:rPr>
        <w:t> </w:t>
      </w:r>
      <w:r>
        <w:rPr>
          <w:rFonts w:ascii="Times New Roman" w:hAnsi="Times New Roman"/>
          <w:b w:val="false"/>
          <w:i w:val="false"/>
          <w:color w:val="000000"/>
          <w:sz w:val="22"/>
        </w:rPr>
        <w:t>Prelicensure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eligibility for initial licensure as a licensed practical nurse or registered nurse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that is consistent with the practice of nursing as defined in Iowa Code section </w:t>
      </w:r>
      <w:hyperlink r:id="rId12">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in medical, surgical, gerontological, mental health, and nursing of childbearing families and children that reflects current nursing practice and that encompasses health needs throughout the life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Opportunities to participate in the nursing process and to develop competencies in direct patient care, problem-solving methodologies, clinical judgment, communication, and the use of current equipment and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Content in nursing history and trends, including professional, legal, and ethical aspects.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Supporting content from the natural and social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identified in paragraph 2.10(3)</w:t>
      </w:r>
      <w:r>
        <w:rPr>
          <w:rFonts w:ascii="Times New Roman" w:hAnsi="Times New Roman"/>
          <w:b w:val="false"/>
          <w:i/>
          <w:color w:val="000000"/>
          <w:sz w:val="22"/>
        </w:rPr>
        <w:t>“a,”</w:t>
      </w:r>
      <w:r>
        <w:rPr>
          <w:rFonts w:ascii="Times New Roman" w:hAnsi="Times New Roman"/>
          <w:b w:val="false"/>
          <w:i w:val="false"/>
          <w:color w:val="000000"/>
          <w:sz w:val="22"/>
        </w:rPr>
        <w:t xml:space="preserve"> the curriculum of a program leading to a diploma in practical nursing and to eligibility to apply for practical nurse licensure by examination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consistent with the scope of practice of a licensed practical nurse as outlined in </w:t>
      </w:r>
      <w:hyperlink r:id="rId13">
        <w:r>
          <w:rPr>
            <w:rStyle w:val="Hyperlink"/>
            <w:rFonts w:ascii="Times New Roman" w:hAnsi="Times New Roman"/>
            <w:b w:val="false"/>
            <w:i w:val="false"/>
            <w:color w:val="000000"/>
            <w:sz w:val="22"/>
          </w:rPr>
          <w:t>rules 655—6.3(152)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655—6.6(152)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Focus on supportive or restorative care provided under the supervision of a registered nurse or physician pursuant to Iowa Code section </w:t>
      </w:r>
      <w:hyperlink r:id="rId15">
        <w:r>
          <w:rPr>
            <w:rStyle w:val="Hyperlink"/>
            <w:rFonts w:ascii="Times New Roman" w:hAnsi="Times New Roman"/>
            <w:b w:val="false"/>
            <w:i w:val="false"/>
            <w:color w:val="000000"/>
            <w:sz w:val="22"/>
          </w:rPr>
          <w:t>152.1(4)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learning experiences in medical, surgical and gerontological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content in nursing of childbearing families and children and mental health that is supported by one or more of the following: clinical instruction, lab/simulation, or observation experiences adequate to meet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identified in paragraph 2.10(3)</w:t>
      </w:r>
      <w:r>
        <w:rPr>
          <w:rFonts w:ascii="Times New Roman" w:hAnsi="Times New Roman"/>
          <w:b w:val="false"/>
          <w:i/>
          <w:color w:val="000000"/>
          <w:sz w:val="22"/>
        </w:rPr>
        <w:t>“a,”</w:t>
      </w:r>
      <w:r>
        <w:rPr>
          <w:rFonts w:ascii="Times New Roman" w:hAnsi="Times New Roman"/>
          <w:b w:val="false"/>
          <w:i w:val="false"/>
          <w:color w:val="000000"/>
          <w:sz w:val="22"/>
        </w:rPr>
        <w:t xml:space="preserve"> the curriculum of a program leading to a degree in nursing and to eligibility to apply for registered nurse licensure by examination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consistent with the scope of practice of a registered nurse as outlined in </w:t>
      </w:r>
      <w:hyperlink r:id="rId16">
        <w:r>
          <w:rPr>
            <w:rStyle w:val="Hyperlink"/>
            <w:rFonts w:ascii="Times New Roman" w:hAnsi="Times New Roman"/>
            <w:b w:val="false"/>
            <w:i w:val="false"/>
            <w:color w:val="000000"/>
            <w:sz w:val="22"/>
          </w:rPr>
          <w:t>rules 655—6.2(152)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655—6.7(152)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Focus on attaining, maintaining and regaining health and safety for individuals and groups by utilizing the principles of leadership, management, nursing informatics, and client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learning experiences in medical, surgical, mental health and gerontological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content in nursing of childbearing families and children that is supported by one or more of the following: clinical instruction, lab/simulation, or observation experiences adequate to meet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content in nursing research when the program leads to a baccalaureate, master’s or doctoral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learning experiences in community health nursing when the program leads to a baccalaureate, master’s or doctoral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2.10(4)</w:t>
      </w:r>
      <w:r>
        <w:rPr>
          <w:rFonts w:ascii="Times New Roman" w:hAnsi="Times New Roman"/>
          <w:b w:val="false"/>
          <w:i w:val="false"/>
          <w:color w:val="000000"/>
          <w:sz w:val="22"/>
        </w:rPr>
        <w:t> </w:t>
      </w:r>
      <w:r>
        <w:rPr>
          <w:rFonts w:ascii="Times New Roman" w:hAnsi="Times New Roman"/>
          <w:b w:val="false"/>
          <w:i w:val="false"/>
          <w:color w:val="000000"/>
          <w:sz w:val="22"/>
        </w:rPr>
        <w:t>Postlicensure programs for registered nurses who do not hold a baccalaureate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that leads to a baccalaureate degree in nursing shall include learning experiences in nursing that will enable the student to achieve competencies comparable to outcomes of the prelicensure baccalaureate education, including content in nursing research and learning experiences in community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that leads to a master’s degree in nursing shall include content and learning experiences in nursing that will enable the student to achieve competencies comparable to outcomes of the prelicensure baccalaureate education and master’s education, including content in nursing research and learning experiences in community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2.10(5)</w:t>
      </w:r>
      <w:r>
        <w:rPr>
          <w:rFonts w:ascii="Times New Roman" w:hAnsi="Times New Roman"/>
          <w:b w:val="false"/>
          <w:i w:val="false"/>
          <w:color w:val="000000"/>
          <w:sz w:val="22"/>
        </w:rPr>
        <w:t> </w:t>
      </w:r>
      <w:r>
        <w:rPr>
          <w:rFonts w:ascii="Times New Roman" w:hAnsi="Times New Roman"/>
          <w:b w:val="false"/>
          <w:i w:val="false"/>
          <w:color w:val="000000"/>
          <w:sz w:val="22"/>
        </w:rPr>
        <w:t>Master’s, post-master’s, and doctoral programs for registered nurses who hold a baccalaureate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a master’s or doctoral degree in nursing shall include in-depth study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science, which includes content, practicum experiences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Advanced role areas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a master’s degree or post-master’s certificate in a nursing population focus, eligibility to apply for certification in the population focus by a national professional nursing organization approved by the board, and licensure as an advanced registered nurse practitioner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consistent with the scope of practice of the advanced registered nurse practitioner as described in </w:t>
      </w:r>
      <w:hyperlink r:id="rId18">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advanced learning experiences in a specialty area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2.10(6)</w:t>
      </w:r>
      <w:r>
        <w:rPr>
          <w:rFonts w:ascii="Times New Roman" w:hAnsi="Times New Roman"/>
          <w:b w:val="false"/>
          <w:i w:val="false"/>
          <w:color w:val="000000"/>
          <w:sz w:val="22"/>
        </w:rPr>
        <w:t> </w:t>
      </w:r>
      <w:r>
        <w:rPr>
          <w:rFonts w:ascii="Times New Roman" w:hAnsi="Times New Roman"/>
          <w:b w:val="false"/>
          <w:i w:val="false"/>
          <w:color w:val="000000"/>
          <w:sz w:val="22"/>
        </w:rPr>
        <w:t>Nursing courses with a clinical or practicum component or both. The nursing program shall notify students and prospective students in writing that nursing courses with a clinical or practicum component may not be taken by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has been denied licensure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Whose license is currently suspended, surrendered or revoked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Whose license is currently suspended, surrendered or revoked in another country due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2.10(7)</w:t>
      </w:r>
      <w:r>
        <w:rPr>
          <w:rFonts w:ascii="Times New Roman" w:hAnsi="Times New Roman"/>
          <w:b w:val="false"/>
          <w:i w:val="false"/>
          <w:color w:val="000000"/>
          <w:sz w:val="22"/>
        </w:rPr>
        <w:t> </w:t>
      </w:r>
      <w:r>
        <w:rPr>
          <w:rFonts w:ascii="Times New Roman" w:hAnsi="Times New Roman"/>
          <w:b w:val="false"/>
          <w:i w:val="false"/>
          <w:color w:val="000000"/>
          <w:sz w:val="22"/>
        </w:rPr>
        <w:t>Nursing programs with a simulation component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the simulation component does not exceed 50 percent of total clinical hours in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that the simulation activities are linked to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that simulation activities are based on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written policies and procedures regarding the method of debriefing each simulated activity and a plan for orienting faculty to simulation.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short-term and long-term plans for integration and maintenance of simulation in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faculty educated in the use of simulation and who demonstrate ongoing expertise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Evaluate simulation activities based on faculty and student feedback.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655—2.11</w:t>
      </w:r>
      <w:r>
        <w:rPr>
          <w:rFonts w:ascii="Times New Roman" w:hAnsi="Times New Roman"/>
          <w:b/>
          <w:i w:val="false"/>
          <w:color w:val="000000"/>
          <w:sz w:val="22"/>
        </w:rPr>
        <w:t xml:space="preserve">(152) </w:t>
      </w:r>
      <w:r>
        <w:rPr>
          <w:rFonts w:ascii="Times New Roman" w:hAnsi="Times New Roman"/>
          <w:b/>
          <w:i w:val="false"/>
          <w:color w:val="000000"/>
          <w:sz w:val="22"/>
        </w:rPr>
        <w:t xml:space="preserve">Faculty.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r>
        <w:rPr>
          <w:rFonts w:ascii="Times New Roman" w:hAnsi="Times New Roman"/>
          <w:b w:val="false"/>
          <w:i w:val="false"/>
          <w:color w:val="000000"/>
          <w:sz w:val="22"/>
        </w:rPr>
        <w:t>The program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sufficient number of faculty who satisfy the requirements in </w:t>
      </w:r>
      <w:hyperlink r:id="rId19">
        <w:r>
          <w:rPr>
            <w:rStyle w:val="Hyperlink"/>
            <w:rFonts w:ascii="Times New Roman" w:hAnsi="Times New Roman"/>
            <w:b w:val="false"/>
            <w:i w:val="false"/>
            <w:color w:val="000000"/>
            <w:sz w:val="22"/>
          </w:rPr>
          <w:t>subrule 2.11(2)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personnel policies and position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faculty development program that furthers the competence of individual faculty members and the faculty as a whole.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teaching-load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nursing faculty organization that operates according to written bylaws and that meets on a regular basis. Minutes shall be available for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a prelicensure program, a ratio of one faculty member to a maximum of eight students for hands-on learning situations in which students directly care for clients in a relevant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Faculty member requirements. </w:t>
      </w:r>
      <w:r>
        <w:rPr>
          <w:rFonts w:ascii="Times New Roman" w:hAnsi="Times New Roman"/>
          <w:b w:val="false"/>
          <w:i w:val="false"/>
          <w:color w:val="000000"/>
          <w:sz w:val="22"/>
        </w:rPr>
        <w:t>A faculty member who teaches nursing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registered nurse in Iowa prior to teaching. An individual is currently licensed when licensed in another state and recognized for licensure in Iowa pursuant to the nurse licensure compact contained in Iowa Code chapter </w:t>
      </w:r>
      <w:hyperlink r:id="rId20">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years of experience in clinical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faculty member who was employed on or before July 1, 1992, shall be considered adequately prepared as long as that faculty member remains in that position. A faculty member who was hired to teach in a prelicensure registered nurse program after July 1, 1992, shall have at least a baccalaureate degree with a major in nursing or an applicable field at the time of hire. This person shall make annual progress toward the attainment of a master’s or doctoral degree with a major in nursing or an applicable field. At least one degree shall be in nursing.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Applicable fields include but are not limited to education, anthropology, gerontology, counseling, psychology, sociology, health education, health administration, and public health. A person who wishes to fulfill this requirement with education in an applicable field not listed may petition the board for a determination of applicability.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of hire is the first day of employment with compensation at a particular nursing education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“Annual progress” means a minimum of one course per year taken as part of an organized plan of study. A written plan of study shall be kept in the employee’s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faculty member who was hired to teach after July 1, 1992, in a practical nursing program or at the first level of an associate degree nursing program with a ladder concept shall have a baccalaureate or higher degree in nursing or an applicable field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registered nurse hired to teach in a master’s program shall hold a master’s or doctoral degree with a major in nursing at the time of hire. A registered nurse teaching in a population focus shall hold a master’s degree with a major in nursing, advanced level certification by a national professional nursing organization approved by the board in the population focus area in which the individual teaches, and current licensure as an advanced registered nurse practitioner according to the laws of the state(s) in which the individual teaches. Faculty preparation at the doctoral or terminal degree level shall be consistent with the mission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faculty member hired only to teach in the clinical setting shall be exempt from subparagraphs (1) and (2) if the faculty member is closely supervised to ensure proper integration of didactic content into the clinical setting. If hired after July 1, 1992, a faculty member hired to teach only in the clinical setting shall have a baccalaureate degree in nursing or an applicable field or shall make annual progress toward the attainment of such a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Functions of faculty. </w:t>
      </w:r>
      <w:r>
        <w:rPr>
          <w:rFonts w:ascii="Times New Roman" w:hAnsi="Times New Roman"/>
          <w:b w:val="false"/>
          <w:i w:val="false"/>
          <w:color w:val="000000"/>
          <w:sz w:val="22"/>
        </w:rPr>
        <w:t>Faculty members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implement, and evaluate the purpose, philosophy/mission,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 implement, evaluate, and revise the curriculum as demonstrated in the program evaluation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students with written policies as specified in </w:t>
      </w:r>
      <w:hyperlink r:id="rId21">
        <w:r>
          <w:rPr>
            <w:rStyle w:val="Hyperlink"/>
            <w:rFonts w:ascii="Times New Roman" w:hAnsi="Times New Roman"/>
            <w:b w:val="false"/>
            <w:i w:val="false"/>
            <w:color w:val="000000"/>
            <w:sz w:val="22"/>
          </w:rPr>
          <w:t>subrule 2.12(1)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Participate in academic advisement and guidance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for admission, progression, and graduation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for student evaluation, self-evaluation, and peer evaluation of teaching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Participate in activities to ensure competency in area(s) of responsibility.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655—2.12</w:t>
      </w:r>
      <w:r>
        <w:rPr>
          <w:rFonts w:ascii="Times New Roman" w:hAnsi="Times New Roman"/>
          <w:b/>
          <w:i w:val="false"/>
          <w:color w:val="000000"/>
          <w:sz w:val="22"/>
        </w:rPr>
        <w:t xml:space="preserve">(152) </w:t>
      </w:r>
      <w:r>
        <w:rPr>
          <w:rFonts w:ascii="Times New Roman" w:hAnsi="Times New Roman"/>
          <w:b/>
          <w:i w:val="false"/>
          <w:color w:val="000000"/>
          <w:sz w:val="22"/>
        </w:rPr>
        <w:t xml:space="preserve">Program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Policies affecting students. </w:t>
      </w:r>
      <w:r>
        <w:rPr>
          <w:rFonts w:ascii="Times New Roman" w:hAnsi="Times New Roman"/>
          <w:b w:val="false"/>
          <w:i w:val="false"/>
          <w:color w:val="000000"/>
          <w:sz w:val="22"/>
        </w:rPr>
        <w:t>Programs shall provide for the development, implementation and communication of the following student policies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Admission/enrollment. Licensure if applicable according to </w:t>
      </w:r>
      <w:hyperlink r:id="rId22">
        <w:r>
          <w:rPr>
            <w:rStyle w:val="Hyperlink"/>
            <w:rFonts w:ascii="Times New Roman" w:hAnsi="Times New Roman"/>
            <w:b w:val="false"/>
            <w:i w:val="false"/>
            <w:color w:val="000000"/>
            <w:sz w:val="22"/>
          </w:rPr>
          <w:t>655—subrule 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 or readmission.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Grading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Suspension or dismissal.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program and controlling institution. </w:t>
      </w:r>
      <w:r>
        <w:rPr>
          <w:rFonts w:ascii="Times New Roman" w:hAnsi="Times New Roman"/>
          <w:b w:val="false"/>
          <w:i w:val="false"/>
          <w:color w:val="000000"/>
          <w:sz w:val="22"/>
        </w:rPr>
        <w:t>The following information shall be published and provided to prospective and current students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Philosophy/mission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description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Curriculum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Tuition, fees and refund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Ethical practices, including recruitment and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Official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program’s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for the prior calendar year, as published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Changes to program. </w:t>
      </w:r>
      <w:r>
        <w:rPr>
          <w:rFonts w:ascii="Times New Roman" w:hAnsi="Times New Roman"/>
          <w:b w:val="false"/>
          <w:i w:val="false"/>
          <w:color w:val="000000"/>
          <w:sz w:val="22"/>
        </w:rPr>
        <w:t>A nursing program may not make a change to a program during a student’s academic plan of study unless the change confers the benefit to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Program records. </w:t>
      </w:r>
      <w:r>
        <w:rPr>
          <w:rFonts w:ascii="Times New Roman" w:hAnsi="Times New Roman"/>
          <w:b w:val="false"/>
          <w:i w:val="false"/>
          <w:color w:val="000000"/>
          <w:sz w:val="22"/>
        </w:rPr>
        <w:t>The following records shall be dated and maintained according to the policies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Course syllabi.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Faculty personnel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Catalogs and program bulletins.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Curriculum revisions and reports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Graduate nursing file excluding the final transcript and summative performance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Student and graduate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shall specify methods for permanent maintenance and protection of records against loss, destruction and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record shall include the official transcript and summative performance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final official transcript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Legal name of student.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Dates of admission, completion of the program and graduation.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Courses that were accepted for transfer.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Evidence of authenticity.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Degree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final official transcript shall be maintained permanently.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summative performance statement shall relate the performance of the student at the time of graduation to the program outcomes and shall be maintained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655—2.13</w:t>
      </w:r>
      <w:r>
        <w:rPr>
          <w:rFonts w:ascii="Times New Roman" w:hAnsi="Times New Roman"/>
          <w:b/>
          <w:i w:val="false"/>
          <w:color w:val="000000"/>
          <w:sz w:val="22"/>
        </w:rPr>
        <w:t xml:space="preserve">(152) </w:t>
      </w:r>
      <w:r>
        <w:rPr>
          <w:rFonts w:ascii="Times New Roman" w:hAnsi="Times New Roman"/>
          <w:b/>
          <w:i w:val="false"/>
          <w:color w:val="000000"/>
          <w:sz w:val="22"/>
        </w:rPr>
        <w:t xml:space="preserve">Student criminal history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initiate criminal history and child and dependent adult abuse record checks of students and prospective students to ensure a student’s ability to complete the clinical education component of the program in accordance with Iowa Code sections </w:t>
      </w:r>
      <w:hyperlink r:id="rId23">
        <w:r>
          <w:rPr>
            <w:rStyle w:val="Hyperlink"/>
            <w:rFonts w:ascii="Times New Roman" w:hAnsi="Times New Roman"/>
            <w:b w:val="false"/>
            <w:i w:val="false"/>
            <w:color w:val="000000"/>
            <w:sz w:val="22"/>
          </w:rPr>
          <w:t>152.5A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val="false"/>
          <w:color w:val="000000"/>
          <w:sz w:val="22"/>
        </w:rPr>
        <w:t>The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students and prospective students of the nursing program’s written policy and procedure concerning criminal history and child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record checks in accordance with Iowa Code sections </w:t>
      </w:r>
      <w:hyperlink r:id="rId25">
        <w:r>
          <w:rPr>
            <w:rStyle w:val="Hyperlink"/>
            <w:rFonts w:ascii="Times New Roman" w:hAnsi="Times New Roman"/>
            <w:b w:val="false"/>
            <w:i w:val="false"/>
            <w:color w:val="000000"/>
            <w:sz w:val="22"/>
          </w:rPr>
          <w:t>152.5A</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on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Applying for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Returning to the clinical education component of the nursing program. Time frames between record checks may be determined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Anytime during the student’s enrollment in the nursing program pursuant to the program’s policy and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Abide by the results of the evaluation performed by the department of human services when determining a student’s ability to complete the clinical education component of a nursing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5825C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655—2.14</w:t>
      </w:r>
      <w:r>
        <w:rPr>
          <w:rFonts w:ascii="Times New Roman" w:hAnsi="Times New Roman"/>
          <w:b/>
          <w:i w:val="false"/>
          <w:color w:val="000000"/>
          <w:sz w:val="22"/>
        </w:rPr>
        <w:t xml:space="preserve">(152) </w:t>
      </w:r>
      <w:r>
        <w:rPr>
          <w:rFonts w:ascii="Times New Roman" w:hAnsi="Times New Roman"/>
          <w:b/>
          <w:i w:val="false"/>
          <w:color w:val="000000"/>
          <w:sz w:val="22"/>
        </w:rPr>
        <w:t xml:space="preserve">Clinical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The clinical facilities shall provide learning experiences that meet curriculum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information to the board about clinical facilities used for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clinical facilities shall be accredited/approved by the appropriate agencies and shall have evidence of good standing by their regulatory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evidence that student experiences are coordinated when more than one program uses the same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655—2.15</w:t>
      </w:r>
      <w:r>
        <w:rPr>
          <w:rFonts w:ascii="Times New Roman" w:hAnsi="Times New Roman"/>
          <w:b/>
          <w:i w:val="false"/>
          <w:color w:val="000000"/>
          <w:sz w:val="22"/>
        </w:rPr>
        <w:t xml:space="preserve">(152) </w:t>
      </w:r>
      <w:r>
        <w:rPr>
          <w:rFonts w:ascii="Times New Roman" w:hAnsi="Times New Roman"/>
          <w:b/>
          <w:i w:val="false"/>
          <w:color w:val="000000"/>
          <w:sz w:val="22"/>
        </w:rPr>
        <w:t xml:space="preserve">Undergraduate and non-ARNP graduate program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A preceptor shall be selected by the nursing program in collaboration with a clinical facility to provide supportive learning experiences consistent with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nursing education program shall not require students to find their own preceptors. The nursing education program and student shall work together to find an appropriate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student shall have the preceptorship learning experience with a preceptor who has equivalent licensure as the student or practices in the same role for which the student is preparing.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The qualifications of a preceptor shall be appropriate to support the philosophy, 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preceptor shall be employed by or maintain a current written agreement with the clinical facility in which a preceptorship experience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preceptor shall be currently licensed as a registered nurse, licensed practical nurse, or advanced registered nurse practitioner according to the laws of the state in which the preceptor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preceptor shall function according to written policies for selection, evaluation and reappointment developed by the program. Written qualifications, developed by the program, shall address educational preparation, experience, and clinical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be responsible for informing the preceptor of the responsibilities of the preceptor, faculty and students.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program shall retain ultimate responsibility for student learning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The program shall inform the board about the preceptorship learning experience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preceptorship agreements shall be reviewed annually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conduct a site visit to settings in which preceptorship experiences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rationale for the ratio of students to preceptors shall be documented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val="false"/>
          <w:color w:val="000000"/>
          <w:sz w:val="22"/>
        </w:rPr>
        <w:t>An individual who is not a registered nurse or a licensed practical nurse may serve as a preceptor when appropriate to the philosophy, mission, and outcomes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5286C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655—2.16</w:t>
      </w:r>
      <w:r>
        <w:rPr>
          <w:rFonts w:ascii="Times New Roman" w:hAnsi="Times New Roman"/>
          <w:b/>
          <w:i w:val="false"/>
          <w:color w:val="000000"/>
          <w:sz w:val="22"/>
        </w:rPr>
        <w:t xml:space="preserve">(152) </w:t>
      </w:r>
      <w:r>
        <w:rPr>
          <w:rFonts w:ascii="Times New Roman" w:hAnsi="Times New Roman"/>
          <w:b/>
          <w:i w:val="false"/>
          <w:color w:val="000000"/>
          <w:sz w:val="22"/>
        </w:rPr>
        <w:t xml:space="preserve">ARNP program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A preceptor shall be selected by the nursing program in collaboration with a clinical facility to provide supportive learning experiences consistent with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education program shall not require students to find their own preceptors. The nursing education program and student shall work together to find an appropriate preceptor.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student shall have the majority of preceptorship learning experiences with a preceptor who is an ARNP or physician with the same role and population focus for which the student is preparing.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The qualifications of a preceptor shall be appropriate to support the philosophy, 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preceptor shall be employed by or maintain a current written agreement with the clinical facility in which a preceptorship experience occurs.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preceptor shall be currently licensed as an advanced registered nurse practitioner or physician according to the laws of the state in which the preceptor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preceptor shall function according to written policies for selection, evaluation and reappointment developed by the program. Written qualifications, developed by the program, shall address educational preparation, experience, and clinical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be responsible for informing the preceptor of the responsibilities of the preceptor, faculty and students.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program shall retain ultimate responsibility for student learning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val="false"/>
          <w:color w:val="000000"/>
          <w:sz w:val="22"/>
        </w:rPr>
        <w:t>The program shall inform the board about the preceptorship learning experience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preceptorship agreements shall be reviewed annually by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conduct a site visit to settings in which preceptorship experiences occur.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rationale for the ratio of students to preceptors shall be documented by the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5286C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655—2.17</w:t>
      </w:r>
      <w:r>
        <w:rPr>
          <w:rFonts w:ascii="Times New Roman" w:hAnsi="Times New Roman"/>
          <w:b/>
          <w:i w:val="false"/>
          <w:color w:val="000000"/>
          <w:sz w:val="22"/>
        </w:rPr>
        <w:t xml:space="preserve">(152) </w:t>
      </w:r>
      <w:r>
        <w:rPr>
          <w:rFonts w:ascii="Times New Roman" w:hAnsi="Times New Roman"/>
          <w:b/>
          <w:i w:val="false"/>
          <w:color w:val="000000"/>
          <w:sz w:val="22"/>
        </w:rPr>
        <w:t xml:space="preserve">Results of graduates who take the licensure examination for the first time. </w:t>
      </w:r>
      <w:r>
        <w:rPr>
          <w:rFonts w:ascii="Times New Roman" w:hAnsi="Times New Roman"/>
          <w:b w:val="false"/>
          <w:i w:val="false"/>
          <w:color w:val="000000"/>
          <w:sz w:val="22"/>
        </w:rPr>
        <w:t>The program shall notify the board when the program’s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is lower than 95 percent of the national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for one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A program whose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is lower than 95 percent of the national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shall submit an institutional plan using the board’s template and appear before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After submission of the institutional plan, for each consecutive calendar year that a program’s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is lower than 95 percent of the national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the program shall submit an institutional plan evaluation using the board’s template and appear before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Programs with a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that falls below 95 percent of the national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for three consecutive calendar years shall be placed on improvement status after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A program on improvement status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current and prospective students of the program’s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quarterly reports using the board’s template and present the reports to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w:t>
      </w:r>
      <w:r>
        <w:rPr>
          <w:rFonts w:ascii="Times New Roman" w:hAnsi="Times New Roman"/>
          <w:b w:val="false"/>
          <w:i w:val="false"/>
          <w:color w:val="000000"/>
          <w:sz w:val="22"/>
        </w:rPr>
        <w:t> </w:t>
      </w:r>
      <w:r>
        <w:rPr>
          <w:rFonts w:ascii="Times New Roman" w:hAnsi="Times New Roman"/>
          <w:b w:val="false"/>
          <w:i w:val="false"/>
          <w:color w:val="000000"/>
          <w:sz w:val="22"/>
        </w:rPr>
        <w:t>Board staff may conduct a site visit to the program at any time while the program is on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2.17(6)</w:t>
      </w:r>
      <w:r>
        <w:rPr>
          <w:rFonts w:ascii="Times New Roman" w:hAnsi="Times New Roman"/>
          <w:b w:val="false"/>
          <w:i w:val="false"/>
          <w:color w:val="000000"/>
          <w:sz w:val="22"/>
        </w:rPr>
        <w:t> </w:t>
      </w:r>
      <w:r>
        <w:rPr>
          <w:rFonts w:ascii="Times New Roman" w:hAnsi="Times New Roman"/>
          <w:b w:val="false"/>
          <w:i w:val="false"/>
          <w:color w:val="000000"/>
          <w:sz w:val="22"/>
        </w:rPr>
        <w:t>Programs that remain on improvement status for two consecutive calendar years shall submit a revised institutional plan and appear before the board as directed. The board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the revised institutional plan and formulate an action plan for the program on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Individualize the action plan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w:t>
      </w:r>
      <w:r>
        <w:rPr>
          <w:rFonts w:ascii="Times New Roman" w:hAnsi="Times New Roman"/>
          <w:b w:val="false"/>
          <w:i w:val="false"/>
          <w:color w:val="000000"/>
          <w:sz w:val="22"/>
        </w:rPr>
        <w:t> </w:t>
      </w:r>
      <w:r>
        <w:rPr>
          <w:rFonts w:ascii="Times New Roman" w:hAnsi="Times New Roman"/>
          <w:b w:val="false"/>
          <w:i w:val="false"/>
          <w:color w:val="000000"/>
          <w:sz w:val="22"/>
        </w:rPr>
        <w:t>A program shall be removed from improvement status when the program’s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is above 95 percent of the national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for one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5286C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655—2.18</w:t>
      </w:r>
      <w:r>
        <w:rPr>
          <w:rFonts w:ascii="Times New Roman" w:hAnsi="Times New Roman"/>
          <w:b/>
          <w:i w:val="false"/>
          <w:color w:val="000000"/>
          <w:sz w:val="22"/>
        </w:rPr>
        <w:t xml:space="preserve">(152) </w:t>
      </w:r>
      <w:r>
        <w:rPr>
          <w:rFonts w:ascii="Times New Roman" w:hAnsi="Times New Roman"/>
          <w:b/>
          <w:i w:val="false"/>
          <w:color w:val="000000"/>
          <w:sz w:val="22"/>
        </w:rPr>
        <w:t xml:space="preserve">Reports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The head of the program shall submit an annual report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Progress toward achievement of goals identified by the program for the previous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Qualifications and major responsibilities of the head of the program and each faculty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for admission, enrollment, progression and graduation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for student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Current enrollment by class/cohort.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admissions and graduations per year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Attrition and retention data by class/cohort.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Passing percentages of graduates on the national licensure examinations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Passing percentages of graduates on the advanced registered nurse practitioner certification examinations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Employment data for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Curriculum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Descriptions of resources, clinical facilities, preceptorship experiences and contractual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Audited statement of income and expenditures of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Goals for the current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Catalog or equivalent of the controlling institution or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Special reports. </w:t>
      </w:r>
      <w:r>
        <w:rPr>
          <w:rFonts w:ascii="Times New Roman" w:hAnsi="Times New Roman"/>
          <w:b w:val="false"/>
          <w:i w:val="false"/>
          <w:color w:val="000000"/>
          <w:sz w:val="22"/>
        </w:rPr>
        <w:t>The program shall notify the board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of controlling institution. Information shall include official name of the program(s) and controlling institution, organizational chart of the controlling institution, and names of administrative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administrative personnel in the program or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Opening of a new site or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Changes requiring board notification and approval. </w:t>
      </w:r>
      <w:r>
        <w:rPr>
          <w:rFonts w:ascii="Times New Roman" w:hAnsi="Times New Roman"/>
          <w:b w:val="false"/>
          <w:i w:val="false"/>
          <w:color w:val="000000"/>
          <w:sz w:val="22"/>
        </w:rPr>
        <w:t>The program shall submit one electronic copy and one hard copy of a proposed change for board approval at least four weeks prior to the next scheduled board meeting when the outcome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Lengthen or shorten the plan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 or delete academic credit in a course required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Delete a course required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 a new course. A program shall submit the following to be implemented within six months of an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Course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Outcomes/objectives.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Placement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Curriculum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 graduation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 the human, physical or learning resources provided by the controlling institution to meet program needs as described in </w:t>
      </w:r>
      <w:hyperlink r:id="rId27">
        <w:r>
          <w:rPr>
            <w:rStyle w:val="Hyperlink"/>
            <w:rFonts w:ascii="Times New Roman" w:hAnsi="Times New Roman"/>
            <w:b w:val="false"/>
            <w:i w:val="false"/>
            <w:color w:val="000000"/>
            <w:sz w:val="22"/>
          </w:rPr>
          <w:t>rule 655—2.9(152)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Substantively alter the philosophy/mission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Revise the predominant method of instruction or delivery, including transition from on-site to self-study or distance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Entail delivery of a cooperative program of study with an institution that does not provide a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Increase the number of student admissions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w:t>
      </w:r>
      <w:r>
        <w:rPr>
          <w:rFonts w:ascii="Times New Roman" w:hAnsi="Times New Roman"/>
          <w:b w:val="false"/>
          <w:i w:val="false"/>
          <w:color w:val="000000"/>
          <w:sz w:val="22"/>
        </w:rPr>
        <w:t> </w:t>
      </w:r>
      <w:r>
        <w:rPr>
          <w:rFonts w:ascii="Times New Roman" w:hAnsi="Times New Roman"/>
          <w:b w:val="false"/>
          <w:i w:val="false"/>
          <w:color w:val="000000"/>
          <w:sz w:val="22"/>
        </w:rPr>
        <w:t>If a program makes changes as part of a plan to improve the program’s NCLEX</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passing percentage, pursuant to rule 655—2.17(152), such changes must also be separately submitted to the board for approval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3497C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5286C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152.5</w:t>
        </w:r>
      </w:hyperlink>
      <w:r>
        <w:rPr>
          <w:rFonts w:ascii="Times New Roman" w:hAnsi="Times New Roman"/>
          <w:b w:val="false"/>
          <w:i w:val="false"/>
          <w:color w:val="000000"/>
          <w:sz w:val="22"/>
        </w:rPr>
        <w:t xml:space="preserve"> and chapter </w:t>
      </w:r>
      <w:hyperlink r:id="rId2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 amended 8/11/70]</w:t>
      </w:r>
    </w:p>
    <w:p>
      <w:pPr>
        <w:spacing w:before="0" w:after="0"/>
        <w:ind w:left="120"/>
        <w:jc w:val="center"/>
      </w:pPr>
      <w:r>
        <w:rPr>
          <w:rFonts w:ascii="Times New Roman" w:hAnsi="Times New Roman"/>
          <w:b w:val="false"/>
          <w:i w:val="false"/>
          <w:color w:val="000000"/>
          <w:sz w:val="21"/>
        </w:rPr>
        <w:t>[Filed 5/3/76, Notices 1/12/76, 3/22/76—published 5/17/76, effective 6/21/76]</w:t>
      </w:r>
    </w:p>
    <w:p>
      <w:pPr>
        <w:spacing w:before="0" w:after="0"/>
        <w:ind w:left="120"/>
        <w:jc w:val="center"/>
      </w:pPr>
      <w:r>
        <w:rPr>
          <w:rFonts w:ascii="Times New Roman" w:hAnsi="Times New Roman"/>
          <w:b w:val="false"/>
          <w:i w:val="false"/>
          <w:color w:val="000000"/>
          <w:sz w:val="21"/>
        </w:rPr>
        <w:t>[Filed 10/3/77, Notice 8/24/77—published 10/19/77, effective 11/23/77]</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2/17/87, Notice 8/13/86—published 3/11/87, effective 4/15/87</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4/15/87—published 5/6/87, effective 4/15/87]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12/3/87, Notice 8/26/87—published 12/30/87, effective 2/3/88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4/15/88, Notice 2/24/88—published 5/4/88, effective 6/8/88]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emergency 9/24/90 after Notice 8/8/90—published 10/17/90, effective 9/24/90]</w:t>
      </w:r>
    </w:p>
    <w:p>
      <w:pPr>
        <w:spacing w:before="0" w:after="0"/>
        <w:ind w:left="120"/>
        <w:jc w:val="center"/>
      </w:pPr>
      <w:r>
        <w:rPr>
          <w:rFonts w:ascii="Times New Roman" w:hAnsi="Times New Roman"/>
          <w:b w:val="false"/>
          <w:i w:val="false"/>
          <w:color w:val="000000"/>
          <w:sz w:val="21"/>
        </w:rPr>
        <w:t>[Filed 5/7/92, Notice 4/1/92—published 5/27/92, effective 7/1/92]</w:t>
      </w:r>
    </w:p>
    <w:p>
      <w:pPr>
        <w:spacing w:before="0" w:after="0"/>
        <w:ind w:left="120"/>
        <w:jc w:val="center"/>
      </w:pPr>
      <w:r>
        <w:rPr>
          <w:rFonts w:ascii="Times New Roman" w:hAnsi="Times New Roman"/>
          <w:b w:val="false"/>
          <w:i w:val="false"/>
          <w:color w:val="000000"/>
          <w:sz w:val="21"/>
        </w:rPr>
        <w:t>[Filed 6/15/95, Notice 4/12/95—published 7/5/95, effective 8/9/95]</w:t>
      </w:r>
    </w:p>
    <w:p>
      <w:pPr>
        <w:spacing w:before="0" w:after="0"/>
        <w:ind w:left="120"/>
        <w:jc w:val="center"/>
      </w:pPr>
      <w:r>
        <w:rPr>
          <w:rFonts w:ascii="Times New Roman" w:hAnsi="Times New Roman"/>
          <w:b w:val="false"/>
          <w:i w:val="false"/>
          <w:color w:val="000000"/>
          <w:sz w:val="21"/>
        </w:rPr>
        <w:t>[Filed 9/26/97, Notice 7/2/97—published 10/22/97, effective 11/26/97]</w:t>
      </w:r>
    </w:p>
    <w:p>
      <w:pPr>
        <w:spacing w:before="0" w:after="0"/>
        <w:ind w:left="120"/>
        <w:jc w:val="center"/>
      </w:pPr>
      <w:r>
        <w:rPr>
          <w:rFonts w:ascii="Times New Roman" w:hAnsi="Times New Roman"/>
          <w:b w:val="false"/>
          <w:i w:val="false"/>
          <w:color w:val="000000"/>
          <w:sz w:val="21"/>
        </w:rPr>
        <w:t>[Filed 6/24/98, Notice 4/8/98—published 7/15/98, effective 8/19/98]</w:t>
      </w:r>
    </w:p>
    <w:p>
      <w:pPr>
        <w:spacing w:before="0" w:after="0"/>
        <w:ind w:left="120"/>
        <w:jc w:val="center"/>
      </w:pPr>
      <w:r>
        <w:rPr>
          <w:rFonts w:ascii="Times New Roman" w:hAnsi="Times New Roman"/>
          <w:b w:val="false"/>
          <w:i w:val="false"/>
          <w:color w:val="000000"/>
          <w:sz w:val="21"/>
        </w:rPr>
        <w:t>[Filed 3/16/00, Notice 1/12/00—published 4/5/00, effective 5/10/00]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9/12/02, Notice 6/26/02—published 10/2/02, effective 11/6/02]</w:t>
      </w:r>
    </w:p>
    <w:p>
      <w:pPr>
        <w:spacing w:before="0" w:after="0"/>
        <w:ind w:left="120"/>
        <w:jc w:val="center"/>
      </w:pPr>
      <w:r>
        <w:rPr>
          <w:rFonts w:ascii="Times New Roman" w:hAnsi="Times New Roman"/>
          <w:b w:val="false"/>
          <w:i w:val="false"/>
          <w:color w:val="000000"/>
          <w:sz w:val="21"/>
        </w:rPr>
        <w:t>[Filed 12/5/03, Notice 10/1/03—published 12/24/03, effective 1/28/04]</w:t>
      </w:r>
    </w:p>
    <w:p>
      <w:pPr>
        <w:spacing w:before="0" w:after="0"/>
        <w:ind w:left="120"/>
        <w:jc w:val="center"/>
      </w:pPr>
      <w:r>
        <w:rPr>
          <w:rFonts w:ascii="Times New Roman" w:hAnsi="Times New Roman"/>
          <w:b w:val="false"/>
          <w:i w:val="false"/>
          <w:color w:val="000000"/>
          <w:sz w:val="21"/>
        </w:rPr>
        <w:t>[Filed 9/20/07, Notice 7/18/07—published 10/10/07, effective 11/14/07]</w:t>
      </w:r>
    </w:p>
    <w:p>
      <w:pPr>
        <w:spacing w:before="0" w:after="0"/>
        <w:ind w:left="120"/>
        <w:jc w:val="center"/>
      </w:pPr>
      <w:r>
        <w:rPr>
          <w:rFonts w:ascii="Times New Roman" w:hAnsi="Times New Roman"/>
          <w:b w:val="false"/>
          <w:i w:val="false"/>
          <w:color w:val="000000"/>
          <w:sz w:val="21"/>
        </w:rPr>
        <w:t>[Filed ARC 3497C</w:t>
      </w:r>
      <w:r>
        <w:rPr>
          <w:rFonts w:ascii="Times New Roman" w:hAnsi="Times New Roman"/>
          <w:b w:val="false"/>
          <w:i w:val="false"/>
          <w:color w:val="000000"/>
          <w:sz w:val="21"/>
        </w:rPr>
        <w:t xml:space="preserve"> (Notice ARC 3127C, IAB 6/21/17)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5286C</w:t>
      </w:r>
      <w:r>
        <w:rPr>
          <w:rFonts w:ascii="Times New Roman" w:hAnsi="Times New Roman"/>
          <w:b w:val="false"/>
          <w:i w:val="false"/>
          <w:color w:val="000000"/>
          <w:sz w:val="21"/>
        </w:rPr>
        <w:t xml:space="preserve"> (Notice ARC 5117C, IAB 7/29/20)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ARC 5825C</w:t>
      </w:r>
      <w:r>
        <w:rPr>
          <w:rFonts w:ascii="Times New Roman" w:hAnsi="Times New Roman"/>
          <w:b w:val="false"/>
          <w:i w:val="false"/>
          <w:color w:val="000000"/>
          <w:sz w:val="21"/>
        </w:rPr>
        <w:t xml:space="preserve"> (Notice ARC 5615C, IAB 5/5/21)</w:t>
      </w:r>
      <w:r>
        <w:rPr>
          <w:rFonts w:ascii="Times New Roman" w:hAnsi="Times New Roman"/>
          <w:b w:val="false"/>
          <w:i w:val="false"/>
          <w:color w:val="000000"/>
          <w:sz w:val="21"/>
        </w:rPr>
        <w:t>, IAB 8/11/21, effective 9/15/21]</w:t>
      </w:r>
    </w:p>
    <w:p>
      <w:pPr>
        <w:pBdr>
          <w:bottom w:space="2"/>
        </w:pBdr>
        <w:spacing w:before="0" w:after="0"/>
        <w:ind w:left="120"/>
        <w:jc w:val="both"/>
      </w:pPr>
      <w:r>
        <w:rPr>
          <w:rFonts w:ascii="Times New Roman" w:hAnsi="Times New Roman"/>
          <w:b w:val="false"/>
          <w:i w:val="false"/>
          <w:color w:val="000000"/>
          <w:sz w:val="22"/>
        </w:rPr>
        <w:t xml:space="preserve">Effective date of Ch 2 delayed 70 days by the Administrative Rules Review Committee at its 4/14/87 meeting. Effective date delayed until the adjournment of the 1988 Session of the General Assembly pursuant to Iowa Code section </w:t>
      </w:r>
      <w:hyperlink r:id="rId3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5/20/87 and 1/6/88 meetings.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2.8.pdf" Type="http://schemas.openxmlformats.org/officeDocument/2006/relationships/hyperlink" Id="rId5"/>
    <Relationship TargetMode="External" Target="https://www.legis.iowa.gov/docs/iac/rule/655.2.9.pdf" Type="http://schemas.openxmlformats.org/officeDocument/2006/relationships/hyperlink" Id="rId6"/>
    <Relationship TargetMode="External" Target="https://www.legis.iowa.gov/docs/iac/rule/655.2.3.pdf" Type="http://schemas.openxmlformats.org/officeDocument/2006/relationships/hyperlink" Id="rId7"/>
    <Relationship TargetMode="External" Target="https://www.legis.iowa.gov/docs/iac/rule/655.2.15.pdf" Type="http://schemas.openxmlformats.org/officeDocument/2006/relationships/hyperlink" Id="rId8"/>
    <Relationship TargetMode="External" Target="https://www.legis.iowa.gov/docs/iac/rule/655.2.6.pdf" Type="http://schemas.openxmlformats.org/officeDocument/2006/relationships/hyperlink" Id="rId9"/>
    <Relationship TargetMode="External" Target="https://www.legis.iowa.gov/docs/ico/chapter/261B.pdf" Type="http://schemas.openxmlformats.org/officeDocument/2006/relationships/hyperlink" Id="rId10"/>
    <Relationship TargetMode="External" Target="https://www.legis.iowa.gov/docs/ico/chapter/152E.pdf" Type="http://schemas.openxmlformats.org/officeDocument/2006/relationships/hyperlink" Id="rId11"/>
    <Relationship TargetMode="External" Target="https://www.legis.iowa.gov/docs/ico/chapter/152.1.pdf" Type="http://schemas.openxmlformats.org/officeDocument/2006/relationships/hyperlink" Id="rId12"/>
    <Relationship TargetMode="External" Target="https://www.legis.iowa.gov/docs/iac/rule/655.6.3.pdf" Type="http://schemas.openxmlformats.org/officeDocument/2006/relationships/hyperlink" Id="rId13"/>
    <Relationship TargetMode="External" Target="https://www.legis.iowa.gov/docs/iac/rule/655.6.6.pdf" Type="http://schemas.openxmlformats.org/officeDocument/2006/relationships/hyperlink" Id="rId14"/>
    <Relationship TargetMode="External" Target="https://www.legis.iowa.gov/docs/ico/chapter/152.1.pdf" Type="http://schemas.openxmlformats.org/officeDocument/2006/relationships/hyperlink" Id="rId15"/>
    <Relationship TargetMode="External" Target="https://www.legis.iowa.gov/docs/iac/rule/655.6.2.pdf" Type="http://schemas.openxmlformats.org/officeDocument/2006/relationships/hyperlink" Id="rId16"/>
    <Relationship TargetMode="External" Target="https://www.legis.iowa.gov/docs/iac/rule/655.6.7.pdf" Type="http://schemas.openxmlformats.org/officeDocument/2006/relationships/hyperlink" Id="rId17"/>
    <Relationship TargetMode="External" Target="https://www.legis.iowa.gov/docs/iac/chapter/655.7.pdf" Type="http://schemas.openxmlformats.org/officeDocument/2006/relationships/hyperlink" Id="rId18"/>
    <Relationship TargetMode="External" Target="https://www.legis.iowa.gov/docs/iac/rule/655.2.9.pdf" Type="http://schemas.openxmlformats.org/officeDocument/2006/relationships/hyperlink" Id="rId19"/>
    <Relationship TargetMode="External" Target="https://www.legis.iowa.gov/docs/ico/chapter/152E.pdf" Type="http://schemas.openxmlformats.org/officeDocument/2006/relationships/hyperlink" Id="rId20"/>
    <Relationship TargetMode="External" Target="https://www.legis.iowa.gov/docs/iac/rule/655.2.10.pdf" Type="http://schemas.openxmlformats.org/officeDocument/2006/relationships/hyperlink" Id="rId21"/>
    <Relationship TargetMode="External" Target="https://www.legis.iowa.gov/docs/iac/rule/655.3.2.pdf" Type="http://schemas.openxmlformats.org/officeDocument/2006/relationships/hyperlink" Id="rId22"/>
    <Relationship TargetMode="External" Target="https://www.legis.iowa.gov/docs/ico/chapter/152.5A.pdf" Type="http://schemas.openxmlformats.org/officeDocument/2006/relationships/hyperlink" Id="rId23"/>
    <Relationship TargetMode="External" Target="https://www.legis.iowa.gov/docs/ico/chapter/135C.33.pdf" Type="http://schemas.openxmlformats.org/officeDocument/2006/relationships/hyperlink" Id="rId24"/>
    <Relationship TargetMode="External" Target="https://www.legis.iowa.gov/docs/ico/chapter/152.5A.pdf" Type="http://schemas.openxmlformats.org/officeDocument/2006/relationships/hyperlink" Id="rId25"/>
    <Relationship TargetMode="External" Target="https://www.legis.iowa.gov/docs/ico/chapter/135C.33.pdf" Type="http://schemas.openxmlformats.org/officeDocument/2006/relationships/hyperlink" Id="rId26"/>
    <Relationship TargetMode="External" Target="https://www.legis.iowa.gov/docs/iac/rule/655.2.7.pdf" Type="http://schemas.openxmlformats.org/officeDocument/2006/relationships/hyperlink" Id="rId27"/>
    <Relationship TargetMode="External" Target="https://www.legis.iowa.gov/docs/ico/chapter/152.5.pdf" Type="http://schemas.openxmlformats.org/officeDocument/2006/relationships/hyperlink" Id="rId28"/>
    <Relationship TargetMode="External" Target="https://www.legis.iowa.gov/docs/ico/chapter/152E.pdf" Type="http://schemas.openxmlformats.org/officeDocument/2006/relationships/hyperlink" Id="rId29"/>
    <Relationship TargetMode="External" Target="https://www.legis.iowa.gov/docs/ico/chapter/17A.8.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