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IOWA NURSE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655—19.1</w:t>
      </w:r>
      <w:r>
        <w:rPr>
          <w:rFonts w:ascii="Times New Roman" w:hAnsi="Times New Roman"/>
          <w:b/>
          <w:i w:val="false"/>
          <w:color w:val="000000"/>
          <w:sz w:val="22"/>
        </w:rPr>
        <w:t xml:space="preserve">(272C) </w:t>
      </w:r>
      <w:r>
        <w:rPr>
          <w:rFonts w:ascii="Times New Roman" w:hAnsi="Times New Roman"/>
          <w:b/>
          <w:i w:val="false"/>
          <w:color w:val="000000"/>
          <w:sz w:val="22"/>
        </w:rPr>
        <w:t xml:space="preserve">Iowa nurse assistance program committee. </w:t>
      </w:r>
      <w:r>
        <w:rPr>
          <w:rFonts w:ascii="Times New Roman" w:hAnsi="Times New Roman"/>
          <w:b w:val="false"/>
          <w:i w:val="false"/>
          <w:color w:val="000000"/>
          <w:sz w:val="22"/>
        </w:rPr>
        <w:t xml:space="preserve">Pursuant to the authority of Iowa Code section </w:t>
      </w:r>
      <w:hyperlink r:id="rId5">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the board establishes the Iowa nurse assistance program committee (INAPC), formerly known as the licensee review committee, to implement the Iowa nurse assistance program (INAP). The purpose of the INAPC is to provide a program to support the evaluation and monitoring of licensees who are impaired as a result of any substance use disorder or any mental or physical health condition, while protecting the health, safety and welfare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2204C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5188C</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655—19.2</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executed by an applicant or licensee and the INAPC after the INAPC receives a report from an approved treatment provider, which establishes the terms for participation in the INAP.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means an inability, or significant potential for inability, to practice with reasonable safety and skill as a result of a diagnosed substance use disorder or any diagnosed mental or physical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Iowa nurse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“INAPC”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Iowa nurse assistance program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agreement” </w:t>
      </w:r>
      <w:r>
        <w:rPr>
          <w:rFonts w:ascii="Times New Roman" w:hAnsi="Times New Roman"/>
          <w:b w:val="false"/>
          <w:i w:val="false"/>
          <w:color w:val="000000"/>
          <w:sz w:val="22"/>
        </w:rPr>
        <w:t>means the written document establishing the initial terms for participation in the INAP.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 applicant or licensee who does any of the following: self-reports an impairment to the program, is referred to the program by the board, signs an initial agreement with the committee, or signs a contract with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treatment provider” </w:t>
      </w:r>
      <w:r>
        <w:rPr>
          <w:rFonts w:ascii="Times New Roman" w:hAnsi="Times New Roman"/>
          <w:b w:val="false"/>
          <w:i w:val="false"/>
          <w:color w:val="000000"/>
          <w:sz w:val="22"/>
        </w:rPr>
        <w:t>means a licensed health care provider with board-approved expertise in substance use disorders or mental or physical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“Referral by the board” </w:t>
      </w:r>
      <w:r>
        <w:rPr>
          <w:rFonts w:ascii="Times New Roman" w:hAnsi="Times New Roman"/>
          <w:b w:val="false"/>
          <w:i w:val="false"/>
          <w:color w:val="000000"/>
          <w:sz w:val="22"/>
        </w:rPr>
        <w:t>means the board has determined, with or without having taken disciplinary action, that the applicant or licensee is an appropriate candidate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means an applicant or licensee provides written notification to the committee that the applicant or licensee has been, is, or may be impaired. Information related to impairment or a potential impairment which is provided on a license application or renewal form may be considered a self-report.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2204C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5188C</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655—19.3</w:t>
      </w:r>
      <w:r>
        <w:rPr>
          <w:rFonts w:ascii="Times New Roman" w:hAnsi="Times New Roman"/>
          <w:b/>
          <w:i w:val="false"/>
          <w:color w:val="000000"/>
          <w:sz w:val="22"/>
        </w:rPr>
        <w:t xml:space="preserve">(272C) </w:t>
      </w:r>
      <w:r>
        <w:rPr>
          <w:rFonts w:ascii="Times New Roman" w:hAnsi="Times New Roman"/>
          <w:b/>
          <w:i w:val="false"/>
          <w:color w:val="000000"/>
          <w:sz w:val="22"/>
        </w:rPr>
        <w:t xml:space="preserve">Organization of the committee. </w:t>
      </w:r>
      <w:r>
        <w:rPr>
          <w:rFonts w:ascii="Times New Roman" w:hAnsi="Times New Roman"/>
          <w:b w:val="false"/>
          <w:i w:val="false"/>
          <w:color w:val="000000"/>
          <w:sz w:val="22"/>
        </w:rPr>
        <w:t>The board shall appoint the members of the INAPC.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membership of the INAPC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of the board or the director’s designee from the board’s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board of nursing licensee who has maintained sobriety for a period of no less than two years following successful completion of a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One licensed health care provider with expertise in substance use disorders;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licensed provider with expertise in mental health;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At the last meeting of each calendar year, the INAPC shall elect a chairperson and a vice chairperson, each of whom will begin serving a one-year term 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is responsible for offering guidance and direction to staff between regularly scheduled committee meetings, including guidance and direction concerning negotiation and execution of initial agreements, contracts, and program descriptions and interim restrictions on practice, on behalf of the committee. The INAPC retains authority to review all interim decisions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is responsible for providing guidance and direction to staff between regularly scheduled committee meetings if the chairperson is unavailable or unable to assist in a particular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except the executive director or designee, shall be appointed for three-year terms and shall serve for a maximum of three terms. Each term shall expire on December 31 of the third year of the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2204C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655—19.4</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 xml:space="preserve">An applicant or a licensee shall provide a written self-report of an impairment or potential impairment directly to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Board referral. </w:t>
      </w:r>
      <w:r>
        <w:rPr>
          <w:rFonts w:ascii="Times New Roman" w:hAnsi="Times New Roman"/>
          <w:b w:val="false"/>
          <w:i w:val="false"/>
          <w:color w:val="000000"/>
          <w:sz w:val="22"/>
        </w:rPr>
        <w:t xml:space="preserve">The board may refer an applicant or licensee to the program if a complaint or investigation reveals an impairment or potential impairment and the board determines that the individual is an appropriate candidate for review by the INAPC. The board may refer a licensee to the program in a public disciplinary order or other public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Review by the INAPC. </w:t>
      </w:r>
      <w:r>
        <w:rPr>
          <w:rFonts w:ascii="Times New Roman" w:hAnsi="Times New Roman"/>
          <w:b w:val="false"/>
          <w:i w:val="false"/>
          <w:color w:val="000000"/>
          <w:sz w:val="22"/>
        </w:rPr>
        <w:t>The INAPC will determine on a case-by-case basis whether an applicant or licensee who self-reports or is referred by the board is an appropriate candidate for participation in the program. Several factors may lead to the INAPC’s determination that an applicant or licensee is ineligible to participate in the program, including but not limited to if the committee finds sufficient evidence that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Diverted drugs for distribution to third parties or for personal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Adulterated, misbranded, or otherwise tampered with drugs intended for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inaccurate, misleading, or fraudulent information or failed to fully cooperate with the INAPC;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Participated in the program, or similar programs offered by other states, without success;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Fails to sign a contract when recommended by the INAPC.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Eligibility to participate in the program is at the sole discretion of the INAPC. No person is entitled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19.4(5)</w:t>
      </w:r>
      <w:r>
        <w:rPr>
          <w:rFonts w:ascii="Times New Roman" w:hAnsi="Times New Roman"/>
          <w:b w:val="false"/>
          <w:i w:val="false"/>
          <w:color w:val="000000"/>
          <w:sz w:val="22"/>
        </w:rPr>
        <w:t> </w:t>
      </w:r>
      <w:r>
        <w:rPr>
          <w:rFonts w:ascii="Times New Roman" w:hAnsi="Times New Roman"/>
          <w:b w:val="false"/>
          <w:i/>
          <w:color w:val="000000"/>
          <w:sz w:val="22"/>
        </w:rPr>
        <w:t xml:space="preserve">Authority and jurisdiction of the board over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participant’s entrance into an initial agreement or contract with the INAPC does not divest the board of its authority or jurisdiction over the participant.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participant’s entrance into an initial agreement or contract with the INAPC specifically does not divest the board of its authority or jurisdiction to impose discipline against a participant who receives a criminal conviction or discipline from another state’s licensing agency, regardless of whether the conduct resulting in the conviction or out-of-state discipline is related to the participant’s impairment, and regardless of whether the conviction or out-of-state discipline occurred prior to or after the participant entered into the initial agreement or contract with the INAPC.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Participants may be eligible to continue participating in the program, subject to the INAPC’s discretion, while being subject to investigation or discipline by the board for conduct unrelated to the participant’s impairment.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2204C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5188C</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655—19.5</w:t>
      </w:r>
      <w:r>
        <w:rPr>
          <w:rFonts w:ascii="Times New Roman" w:hAnsi="Times New Roman"/>
          <w:b/>
          <w:i w:val="false"/>
          <w:color w:val="000000"/>
          <w:sz w:val="22"/>
        </w:rPr>
        <w:t xml:space="preserve">(272C) </w:t>
      </w:r>
      <w:r>
        <w:rPr>
          <w:rFonts w:ascii="Times New Roman" w:hAnsi="Times New Roman"/>
          <w:b/>
          <w:i w:val="false"/>
          <w:color w:val="000000"/>
          <w:sz w:val="22"/>
        </w:rPr>
        <w:t xml:space="preserve">Terms of participation. </w:t>
      </w:r>
      <w:r>
        <w:rPr>
          <w:rFonts w:ascii="Times New Roman" w:hAnsi="Times New Roman"/>
          <w:b w:val="false"/>
          <w:i w:val="false"/>
          <w:color w:val="000000"/>
          <w:sz w:val="22"/>
        </w:rPr>
        <w:t>A participant shall agree to comply with the INAP terms of participation established in the initial agreement and contract. Participants will be responsible for all expenses incurred to comply with the terms imposed by the program. Terms of participation specified in the contract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length of time a participant may participate in the program shall be determined by the INAPC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Participation in the program for participants impaired as a result of a substance use disorder is set at a minimum of three years. The INAPC may offer a contract with a shorter duration to a participant who can demonstrate successful participation in another state’s nurse assistance program, who can document similar experience, or who, as a board referral, has successfully completed a portion of the monitoring period established in the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Length of participation in the program for participants with impairments resulting from mental or physical conditions will vary depending upon the recommendations provided by an approved licensed health care professional and the determination of the INAPC following review of all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INAPC shall establish terms designed to meet the specific needs of the participant. The committee shall determine the type of recovery, rehabilitation, or maintenance program required to treat the participant’s impairment. The contract shall provide a detailed description of the goals of the program, the requirements for successful participation, and the participant’s obligations therein. The committee may establish terms specific to a participant’s impairment including, but not limited to: treatment, aftercare, worksite monitoring, chemical screening, further evaluations, structured recovery meetings, therapy,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Practice restrictions. </w:t>
      </w:r>
      <w:r>
        <w:rPr>
          <w:rFonts w:ascii="Times New Roman" w:hAnsi="Times New Roman"/>
          <w:b w:val="false"/>
          <w:i w:val="false"/>
          <w:color w:val="000000"/>
          <w:sz w:val="22"/>
        </w:rPr>
        <w:t xml:space="preserve">The INAPC may impose restrictions on the license to practice as a term of the initial agreement or contract until such time as the INAPC receives a report from an approved evaluator and the INAPC determines, based on all relevant information, that the participant is capable of practicing with reasonable skill and safety. As a condition of participation in the program, a licensee is required to agree to restricted practice in accordance with the terms specified in the initial agreement or contract. In the event the licensee refuses to agree to or comply with the practice restrictions, the committee shall refer the licensee to the board for appropriate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Noncompliance is the failure to adhere to the terms of the initial agreement or contract. Participants shall promptly notify the INAPC of any instances of noncompliance, including relapse. Instances of noncompliance shall initially be reviewed by the INAP program coordinator. The INAP program coordinator may refer instances of noncompliance to the INAPC for further review of continued participation in the program. The INAPC may refer instances of noncompliance to the board for possible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2204C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655—19.6</w:t>
      </w:r>
      <w:r>
        <w:rPr>
          <w:rFonts w:ascii="Times New Roman" w:hAnsi="Times New Roman"/>
          <w:b/>
          <w:i w:val="false"/>
          <w:color w:val="000000"/>
          <w:sz w:val="22"/>
        </w:rPr>
        <w:t xml:space="preserve">(272C) </w:t>
      </w:r>
      <w:r>
        <w:rPr>
          <w:rFonts w:ascii="Times New Roman" w:hAnsi="Times New Roman"/>
          <w:b/>
          <w:i w:val="false"/>
          <w:color w:val="000000"/>
          <w:sz w:val="22"/>
        </w:rPr>
        <w:t xml:space="preserve">Referral to the board. </w:t>
      </w:r>
      <w:r>
        <w:rPr>
          <w:rFonts w:ascii="Times New Roman" w:hAnsi="Times New Roman"/>
          <w:b w:val="false"/>
          <w:i w:val="false"/>
          <w:color w:val="000000"/>
          <w:sz w:val="22"/>
        </w:rPr>
        <w:t>If a participant is alleged to have violated a statute or board administrative rule, based on conduct that is unrelated to the participant’s impairment, the INAPC shall refer the participant to the board for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2204C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5188C</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655—19.7</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Information in the possession of the board or the committee shall be subject to the confidentiality requirements of Iowa Code section </w:t>
      </w:r>
      <w:hyperlink r:id="rId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Information about participants in the program shall not be disclosed except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INAPC is authorized, pursuant to Iowa Code section </w:t>
      </w:r>
      <w:hyperlink r:id="rId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to communicate information about a current or former INAP participant to the applicable regulatory authorities or impaired licensee programs in the state of Iowa and in any jurisdiction of the United States or foreign nations in which the participant is currently licensed or in which the participant seeks licensure. INAP participants must report their participation to the applicable nurse assistance program or licensing authority in any state in which the participant is currently licensed or in which the participant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19.7(2)</w:t>
      </w:r>
      <w:r>
        <w:rPr>
          <w:rFonts w:ascii="Times New Roman" w:hAnsi="Times New Roman"/>
          <w:b w:val="false"/>
          <w:i w:val="false"/>
          <w:color w:val="000000"/>
          <w:sz w:val="22"/>
        </w:rPr>
        <w:t> </w:t>
      </w:r>
      <w:r>
        <w:rPr>
          <w:rFonts w:ascii="Times New Roman" w:hAnsi="Times New Roman"/>
          <w:b w:val="false"/>
          <w:i w:val="false"/>
          <w:color w:val="000000"/>
          <w:sz w:val="22"/>
        </w:rPr>
        <w:t>The INAPC is authorized to communicate information about an INAP participant to any person assisting in the participant’s treatment, recovery, rehabilitation, monitoring, or maintenance for the duration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INAPC is authorized to communicate information about an INAP participant to the board in the event a participant does not comply with the terms of the contract as set forth in rule </w:t>
      </w:r>
      <w:hyperlink r:id="rId8">
        <w:r>
          <w:rPr>
            <w:rStyle w:val="Hyperlink"/>
            <w:rFonts w:ascii="Times New Roman" w:hAnsi="Times New Roman"/>
            <w:b w:val="false"/>
            <w:i w:val="false"/>
            <w:color w:val="000000"/>
            <w:sz w:val="22"/>
          </w:rPr>
          <w:t>655—19.5</w:t>
        </w:r>
      </w:hyperlink>
      <w:r>
        <w:rPr>
          <w:rFonts w:ascii="Times New Roman" w:hAnsi="Times New Roman"/>
          <w:b w:val="false"/>
          <w:i w:val="false"/>
          <w:color w:val="000000"/>
          <w:sz w:val="22"/>
        </w:rPr>
        <w:t>(272C). The INAPC may provide the board with a participant’s INAP file in the event the participant does not comply with the terms of the contract and the INAPC refers the case to the board for the filing of formal disciplinary charges or other appropriate action. If the board initiates disciplinary action against a licensee for noncompliance with the terms of the contract, the board may include information about a licensee’s participation in the INAP in the public disciplinary documents. The INAPC is also authorized to communicate information about a participant to the board in the event the participant is under investigation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19.7(4)</w:t>
      </w:r>
      <w:r>
        <w:rPr>
          <w:rFonts w:ascii="Times New Roman" w:hAnsi="Times New Roman"/>
          <w:b w:val="false"/>
          <w:i w:val="false"/>
          <w:color w:val="000000"/>
          <w:sz w:val="22"/>
        </w:rPr>
        <w:t> </w:t>
      </w:r>
      <w:r>
        <w:rPr>
          <w:rFonts w:ascii="Times New Roman" w:hAnsi="Times New Roman"/>
          <w:b w:val="false"/>
          <w:i w:val="false"/>
          <w:color w:val="000000"/>
          <w:sz w:val="22"/>
        </w:rPr>
        <w:t>The INAPC is authorized to communicate information about a current or former INAP participant to the board if reliable information held by the INAPC reasonably indicates a significant risk to the public exists. If the board initiates disciplinary action based upon this information, the board may include in the public disciplinary documents information about a licensee’s participation if necessary to address impairment issues related to the violations which are the subject of the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2204C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655—19.8</w:t>
      </w:r>
      <w:r>
        <w:rPr>
          <w:rFonts w:ascii="Times New Roman" w:hAnsi="Times New Roman"/>
          <w:b/>
          <w:i w:val="false"/>
          <w:color w:val="000000"/>
          <w:sz w:val="22"/>
        </w:rPr>
        <w:t xml:space="preserve">(28E) </w:t>
      </w:r>
      <w:r>
        <w:rPr>
          <w:rFonts w:ascii="Times New Roman" w:hAnsi="Times New Roman"/>
          <w:b/>
          <w:i w:val="false"/>
          <w:color w:val="000000"/>
          <w:sz w:val="22"/>
        </w:rPr>
        <w:t xml:space="preserve">Authority for 28E agreements. </w:t>
      </w:r>
      <w:r>
        <w:rPr>
          <w:rFonts w:ascii="Times New Roman" w:hAnsi="Times New Roman"/>
          <w:b w:val="false"/>
          <w:i w:val="false"/>
          <w:color w:val="000000"/>
          <w:sz w:val="22"/>
        </w:rPr>
        <w:t>The INAPC may enter into 28E agreements with other health professional licensing boards to evaluate, assist, and monitor impaired licensees from other health professions who self-report and to report to those professional licensing boards regarding the compliance of individual licensees. In the event of noncompliance, the licensee may be referred to the appropriate licensing board for appropriate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2204C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272C.3(1)</w:t>
        </w:r>
        <w:r>
          <w:rPr>
            <w:rFonts w:ascii="Times New Roman" w:hAnsi="Times New Roman"/>
            <w:b w:val="false"/>
            <w:i/>
            <w:color w:val="000000"/>
            <w:sz w:val="22"/>
          </w:rPr>
          <w:t>“k,”</w:t>
        </w:r>
      </w:hyperlink>
      <w:hyperlink r:id="rId1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28E.4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2204C</w:t>
      </w:r>
      <w:r>
        <w:rPr>
          <w:rFonts w:ascii="Times New Roman" w:hAnsi="Times New Roman"/>
          <w:b w:val="false"/>
          <w:i w:val="false"/>
          <w:color w:val="000000"/>
          <w:sz w:val="21"/>
        </w:rPr>
        <w:t xml:space="preserve"> (Notice ARC 2085C, IAB 8/5/15)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5188C</w:t>
      </w:r>
      <w:r>
        <w:rPr>
          <w:rFonts w:ascii="Times New Roman" w:hAnsi="Times New Roman"/>
          <w:b w:val="false"/>
          <w:i w:val="false"/>
          <w:color w:val="000000"/>
          <w:sz w:val="21"/>
        </w:rPr>
        <w:t xml:space="preserve"> (Notice ARC 4945C, IAB 2/26/20)</w:t>
      </w:r>
      <w:r>
        <w:rPr>
          <w:rFonts w:ascii="Times New Roman" w:hAnsi="Times New Roman"/>
          <w:b w:val="false"/>
          <w:i w:val="false"/>
          <w:color w:val="000000"/>
          <w:sz w:val="21"/>
        </w:rPr>
        <w:t>, IAB 9/23/20, effective 10/28/20]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272C.6.pdf" Type="http://schemas.openxmlformats.org/officeDocument/2006/relationships/hyperlink" Id="rId7"/>
    <Relationship TargetMode="External" Target="https://www.legis.iowa.gov/docs/iac/rule/655.19.5.pdf" Type="http://schemas.openxmlformats.org/officeDocument/2006/relationships/hyperlink" Id="rId8"/>
    <Relationship TargetMode="External" Target="https://www.legis.iowa.gov/docs/ico/chapter/272C.3.pdf" Type="http://schemas.openxmlformats.org/officeDocument/2006/relationships/hyperlink" Id="rId9"/>
    <Relationship TargetMode="External" Target="https://www.legis.iowa.gov/docs/ico/chapter/272C.6.pdf" Type="http://schemas.openxmlformats.org/officeDocument/2006/relationships/hyperlink" Id="rId10"/>
    <Relationship TargetMode="External" Target="https://www.legis.iowa.gov/docs/ico/chapter/28E.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