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CERTIFIED PROFESSIONAL MIDWIVES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655—16.1</w:t>
      </w:r>
      <w:r>
        <w:rPr>
          <w:rFonts w:ascii="Times New Roman" w:hAnsi="Times New Roman"/>
          <w:b/>
          <w:i w:val="false"/>
          <w:color w:val="000000"/>
          <w:sz w:val="22"/>
        </w:rPr>
        <w:t xml:space="preserve">(148I)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this chapter, in addition to those listed below, definitions as stated in Iowa Code section </w:t>
      </w:r>
      <w:hyperlink r:id="rId5">
        <w:r>
          <w:rPr>
            <w:rStyle w:val="Hyperlink"/>
            <w:rFonts w:ascii="Times New Roman" w:hAnsi="Times New Roman"/>
            <w:b w:val="false"/>
            <w:i w:val="false"/>
            <w:color w:val="000000"/>
            <w:sz w:val="22"/>
          </w:rPr>
          <w:t>148I.1</w:t>
        </w:r>
      </w:hyperlink>
      <w:r>
        <w:rPr>
          <w:rFonts w:ascii="Times New Roman" w:hAnsi="Times New Roman"/>
          <w:b w:val="false"/>
          <w:i w:val="false"/>
          <w:color w:val="000000"/>
          <w:sz w:val="22"/>
        </w:rPr>
        <w:t xml:space="preserve">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means discussing the aspects of an individual client’s circumstance with other professionals to ensure comprehensive and quality care for the client, consistent with the objectives in the client’s treatment plan or for purposes of making adjustments to the client’s treatment plan. Consultation may include history-taking; examination of the client; rendering an opinion concerning diagnosis or treatment; or offering service, assistance or advice.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r>
        <w:rPr>
          <w:rFonts w:ascii="Times New Roman" w:hAnsi="Times New Roman"/>
          <w:b w:val="false"/>
          <w:i w:val="false"/>
          <w:color w:val="000000"/>
          <w:sz w:val="22"/>
        </w:rPr>
        <w:t xml:space="preserve">means behavior that adheres to the practice standards set out in rule </w:t>
      </w:r>
      <w:hyperlink r:id="rId7">
        <w:r>
          <w:rPr>
            <w:rStyle w:val="Hyperlink"/>
            <w:rFonts w:ascii="Times New Roman" w:hAnsi="Times New Roman"/>
            <w:b w:val="false"/>
            <w:i w:val="false"/>
            <w:color w:val="000000"/>
            <w:sz w:val="22"/>
          </w:rPr>
          <w:t>655—16.3</w:t>
        </w:r>
      </w:hyperlink>
      <w:r>
        <w:rPr>
          <w:rFonts w:ascii="Times New Roman" w:hAnsi="Times New Roman"/>
          <w:b w:val="false"/>
          <w:i w:val="false"/>
          <w:color w:val="000000"/>
          <w:sz w:val="22"/>
        </w:rPr>
        <w:t>(148I).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“Unprofessional conduct” </w:t>
      </w:r>
      <w:r>
        <w:rPr>
          <w:rFonts w:ascii="Times New Roman" w:hAnsi="Times New Roman"/>
          <w:b w:val="false"/>
          <w:i w:val="false"/>
          <w:color w:val="000000"/>
          <w:sz w:val="22"/>
        </w:rPr>
        <w:t xml:space="preserve">means unethical conduct, including but not limited to acts or behavior that is inconsistent with Iowa Code chapter </w:t>
      </w:r>
      <w:hyperlink r:id="rId8">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any violations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655—16.2</w:t>
      </w:r>
      <w:r>
        <w:rPr>
          <w:rFonts w:ascii="Times New Roman" w:hAnsi="Times New Roman"/>
          <w:b/>
          <w:i w:val="false"/>
          <w:color w:val="000000"/>
          <w:sz w:val="22"/>
        </w:rPr>
        <w:t xml:space="preserve">(148I) </w:t>
      </w:r>
      <w:r>
        <w:rPr>
          <w:rFonts w:ascii="Times New Roman" w:hAnsi="Times New Roman"/>
          <w:b/>
          <w:i w:val="false"/>
          <w:color w:val="000000"/>
          <w:sz w:val="22"/>
        </w:rPr>
        <w:t xml:space="preserve">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An individual seeking initial licensure as a certified professional midwife (CPM)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dated copy of the applicant’s current certification issued by the North American Registry of Midwives or its successor organization, including the applicant’s education or midwifery bridge certificate in accordance with Iowa Code section </w:t>
      </w:r>
      <w:hyperlink r:id="rId9">
        <w:r>
          <w:rPr>
            <w:rStyle w:val="Hyperlink"/>
            <w:rFonts w:ascii="Times New Roman" w:hAnsi="Times New Roman"/>
            <w:b w:val="false"/>
            <w:i w:val="false"/>
            <w:color w:val="000000"/>
            <w:sz w:val="22"/>
          </w:rPr>
          <w:t>148I.2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official transcript or certificate denoting the date of high school graduation and diploma or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dated certificate of completion of mandatory reporter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plan in accordance with Iowa Code section </w:t>
      </w:r>
      <w:hyperlink r:id="rId10">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Two completed fingerprint cards and a signed waiver form to facilitate a national criminal history background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a copy of all documents required by rule </w:t>
      </w:r>
      <w:hyperlink r:id="rId11">
        <w:r>
          <w:rPr>
            <w:rStyle w:val="Hyperlink"/>
            <w:rFonts w:ascii="Times New Roman" w:hAnsi="Times New Roman"/>
            <w:b w:val="false"/>
            <w:i w:val="false"/>
            <w:color w:val="000000"/>
            <w:sz w:val="22"/>
          </w:rPr>
          <w:t>655—3.11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w:t>
      </w:r>
      <w:r>
        <w:rPr>
          <w:rFonts w:ascii="Times New Roman" w:hAnsi="Times New Roman"/>
          <w:b w:val="false"/>
          <w:i w:val="false"/>
          <w:color w:val="000000"/>
          <w:sz w:val="22"/>
        </w:rPr>
        <w:t>A CPM license may be renewed beginning 60 days prior to the license expiration date and ending 30 days after the license expiration date. To renew, a licensee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dated copy of the applicant’s current certification issued by the North American Registry of Midwives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Attestation of fulfillment of the continuing education and peer review requirements established by the North American Registry of Midwives or its successor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Attestation of reporting client data to the department of health and human services by way of filing the paperwork required to obtain a birth certificate in accordance with Iowa Code section </w:t>
      </w:r>
      <w:hyperlink r:id="rId12">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Failure to renew a CPM license within 30 days after its expiration will result in an inactive CPM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work as a CPM with an inactive CPM license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license, the licensee must complete the license renewal process established in subrule </w:t>
      </w:r>
      <w:hyperlink r:id="rId13">
        <w:r>
          <w:rPr>
            <w:rStyle w:val="Hyperlink"/>
            <w:rFonts w:ascii="Times New Roman" w:hAnsi="Times New Roman"/>
            <w:b w:val="false"/>
            <w:i w:val="false"/>
            <w:color w:val="000000"/>
            <w:sz w:val="22"/>
          </w:rPr>
          <w:t>16.2(2)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following fees apply to licensure for CPMs.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fee for an initial license is $81 for a period of licensure up to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Evaluation fee of the fingerprint cards and the criminal history background check by the Federal Bureau of Investigation (FBI) and the state division of criminal investigation (DCI)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 for renewal of license to practice as a CPM is $81.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 for late renewal of a license to practice as a CPM is $50, plus the renewal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reactivation of a license to practice as a CPM is $81 for any period of licensure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fees are the same as defined in rule </w:t>
      </w:r>
      <w:hyperlink r:id="rId14">
        <w:r>
          <w:rPr>
            <w:rStyle w:val="Hyperlink"/>
            <w:rFonts w:ascii="Times New Roman" w:hAnsi="Times New Roman"/>
            <w:b w:val="false"/>
            <w:i w:val="false"/>
            <w:color w:val="000000"/>
            <w:sz w:val="22"/>
          </w:rPr>
          <w:t>655—3.1</w:t>
        </w:r>
      </w:hyperlink>
      <w:r>
        <w:rPr>
          <w:rFonts w:ascii="Times New Roman" w:hAnsi="Times New Roman"/>
          <w:b w:val="false"/>
          <w:i w:val="false"/>
          <w:color w:val="000000"/>
          <w:sz w:val="22"/>
        </w:rPr>
        <w:t>(148I).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color w:val="000000"/>
          <w:sz w:val="22"/>
        </w:rPr>
        <w:t xml:space="preserve">Exceptions to licensure. </w:t>
      </w:r>
      <w:r>
        <w:rPr>
          <w:rFonts w:ascii="Times New Roman" w:hAnsi="Times New Roman"/>
          <w:b w:val="false"/>
          <w:i w:val="false"/>
          <w:color w:val="000000"/>
          <w:sz w:val="22"/>
        </w:rPr>
        <w:t xml:space="preserve">Exceptions to licensure are established in Iowa Code section </w:t>
      </w:r>
      <w:hyperlink r:id="rId15">
        <w:r>
          <w:rPr>
            <w:rStyle w:val="Hyperlink"/>
            <w:rFonts w:ascii="Times New Roman" w:hAnsi="Times New Roman"/>
            <w:b w:val="false"/>
            <w:i w:val="false"/>
            <w:color w:val="000000"/>
            <w:sz w:val="22"/>
          </w:rPr>
          <w:t>148I.3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655—16.3</w:t>
      </w:r>
      <w:r>
        <w:rPr>
          <w:rFonts w:ascii="Times New Roman" w:hAnsi="Times New Roman"/>
          <w:b/>
          <w:i w:val="false"/>
          <w:color w:val="000000"/>
          <w:sz w:val="22"/>
        </w:rPr>
        <w:t xml:space="preserve">(148I) </w:t>
      </w:r>
      <w:r>
        <w:rPr>
          <w:rFonts w:ascii="Times New Roman" w:hAnsi="Times New Roman"/>
          <w:b/>
          <w:i w:val="false"/>
          <w:color w:val="000000"/>
          <w:sz w:val="22"/>
        </w:rPr>
        <w:t xml:space="preserve">Practice standards. </w:t>
      </w:r>
      <w:r>
        <w:rPr>
          <w:rFonts w:ascii="Times New Roman" w:hAnsi="Times New Roman"/>
          <w:b w:val="false"/>
          <w:i w:val="false"/>
          <w:color w:val="000000"/>
          <w:sz w:val="22"/>
        </w:rPr>
        <w:t xml:space="preserve">A CPM shall practice within the legal boundaries for certified professional midwifery as set forth in Iowa Code chapter </w:t>
      </w:r>
      <w:hyperlink r:id="rId16">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this chapter, and any other pertinent law or regulation. A licensed CPM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practice standards accepted by the North American Registry of Midwives as defined by the National Association of Certified Professional Midwives (NACPM) or its successor organization, as of February 1, 2024, found at </w:t>
      </w:r>
      <w:hyperlink r:id="rId17">
        <w:r>
          <w:rPr>
            <w:rStyle w:val="Hyperlink"/>
            <w:rFonts w:ascii="Times New Roman" w:hAnsi="Times New Roman"/>
            <w:b w:val="false"/>
            <w:i w:val="false"/>
            <w:color w:val="000000"/>
            <w:sz w:val="22"/>
            <w:u w:val="single"/>
          </w:rPr>
          <w:t>nacpm.org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Demonstrate professionalism and accountability in the practice of certified professional midwifery,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Basing decisions in practice on knowledge, judgment, skills, and the needs of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competence through completion of the continuing education requirements in subrule </w:t>
      </w:r>
      <w:hyperlink r:id="rId18">
        <w:r>
          <w:rPr>
            <w:rStyle w:val="Hyperlink"/>
            <w:rFonts w:ascii="Times New Roman" w:hAnsi="Times New Roman"/>
            <w:b w:val="false"/>
            <w:i w:val="false"/>
            <w:color w:val="000000"/>
            <w:sz w:val="22"/>
          </w:rPr>
          <w:t>16.2(2)</w:t>
        </w:r>
      </w:hyperlink>
      <w:r>
        <w:rPr>
          <w:rFonts w:ascii="Times New Roman" w:hAnsi="Times New Roman"/>
          <w:b w:val="false"/>
          <w:i w:val="false"/>
          <w:color w:val="000000"/>
          <w:sz w:val="22"/>
        </w:rPr>
        <w:t xml:space="preserve"> and application of such education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to appropriate authorities instances of unsafe practice by a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accountable for judgments and individual actions as a CPM and competence, decisions, and behaviors in the practice of certified professional midwifery.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record of, and provide to each client orally and by written consent form, all information and consents in accordance with Iowa Code section </w:t>
      </w:r>
      <w:hyperlink r:id="rId19">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Iowa Code sections </w:t>
      </w:r>
      <w:hyperlink r:id="rId20">
        <w:r>
          <w:rPr>
            <w:rStyle w:val="Hyperlink"/>
            <w:rFonts w:ascii="Times New Roman" w:hAnsi="Times New Roman"/>
            <w:b w:val="false"/>
            <w:i w:val="false"/>
            <w:color w:val="000000"/>
            <w:sz w:val="22"/>
          </w:rPr>
          <w:t>136A.6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136A.5A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birth certificate for each birth in accordance with Iowa Code section </w:t>
      </w:r>
      <w:hyperlink r:id="rId22">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val="false"/>
          <w:color w:val="000000"/>
          <w:sz w:val="22"/>
        </w:rPr>
        <w:t>Consult with a licensed physician or certified nurse midwife for high-risk pregnancies and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CPM shall consult with a licensed physician or a certified nurse midwife providing obstetrical care whenever there are significant deviations, including but not limited to abnormal laboratory results, relative to a client’s pregnancy or to a neonate. If a referral to a physician is needed, the CPM shall refer the client to a physician and, if possible, remain in consultation with the physician until resolution of the concern.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CPM shall consult with a licensed physician or certified nurse midwife with regard to any mother who presents with or develops the following risk factors or presents with or develops other risk factors that in the judgment of the CPM warrant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Antepartum.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Pregnancy-induced hypertension, as evidenced by a blood pressure of at least 140/90 on two occasions greater than six hours apart.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severe headaches; epigastric pain; or visual disturbances.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Persistent symptoms of urinary tract 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 vaginal bleeding before the onset of labor not associated with uncomplicated spontaneous abortion.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Rupture of membranes prior to the thirty-seventh week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Noted abnormal decrease in or cessation of fetal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Anemia resistant to supplemental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Fever of 102°F or 39°C or greater for more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Nonvertex presentation after 38 weeks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Hyperemesis or significant dehydration.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Isoimmunization, Rh-negative sensitized, positive titers, or any other positive antibody titer that may have a detrimental effect on mother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Elevated blood glucose level unresponsive to dietary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Positive HIV antibody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Primary genital herpes infection in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Symptoms of malnutrition, anorexia, protracted weight loss or failure to gain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Suspected deep vein thrombosis.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Documented placental anomaly or previa.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Documented low-lying placenta in a woman with a history of previous cesarean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Labor prior to the thirty-seventh week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History of prior uterine incision.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Lie other than vertex at term.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Known fetal anomalies that may be affected by the site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Marked abnormal fetal heart 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Abnormal nonstress test or abnormal biophysical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Marked or severe polyhydramnios or oligohydramnios.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Evidence of intrauterine growth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Significant abnormal ultrasound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 xml:space="preserve">Gestation beyond 42 weeks by reliable confirmed 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Rise in blood pressure above baseline, more than 30/15 points or greater than 140/90.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severe headaches; epigastric pain; or visual disturbances.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Significant proteinuria or ketonuria.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Fever over 100.6°F or 38°C in absence of environmental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Ruptured membranes without onset of established labor after 18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Significant bleeding prior to delivery or any abnormal bleeding, with or without abdominal pain; or evidence of placental abruption.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Lie not compatible with spontaneous vaginal delivery or unstable fetal lie.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Failure to progress after five hours of active labor or following two hours of active second-stage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Signs and symptoms of maternal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Active genital herpes at onset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Fetal heart tones with nonreassuring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Signs or symptoms of fetal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Thick meconium or frank bleeding with birth not imminent.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Client or CPM desires physician consultation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void within six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or symptoms of maternal shock.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Febrile: 102°F or 39°C and unresponsive to therapy for 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Abnormal lochia or signs or symptoms of uterine sepsis.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Suspected deep vein thrombosis.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Signs of clinically significant depression.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CPM shall consult with a licensed physician or certified nurse midwife with regard to any neonate who is born with or develops the following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Apgar score of six or less at five minutes without significant improvement by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grunting respirations or retractions.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Persistent cardiac irregularities.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Persistent central cyanosis or pallor.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Persistent lethargy or poor muscle tone.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Abnormal cry.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Birth weight less than 2,300 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Jitteriness or seizures.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Jaundice occurring before 24 hours or outside of normal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Failure to urinate within 24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Failure to pass meconium within 48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Edema.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Prolonged temperature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Significant signs or symptoms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Significant clinical evidence of glycemic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Abnormal, bulging, or depressed fontanel.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Significant clinical evidence of prematurity.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Medically significant congenital anomalies.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Significant or suspected birth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Persistent inability to suck.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Diminished consciousness.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Clinically significant abnormalities in vital signs, muscle tone or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Clinically significant color abnormality, cyanotic, or pale or abnormal perfusion.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Abdominal distension or projectile vomiting.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 xml:space="preserve">Signs of clinically significant dehydration or failure to thrive.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w:t>
      </w:r>
      <w:r>
        <w:rPr>
          <w:rFonts w:ascii="Times New Roman" w:hAnsi="Times New Roman"/>
          <w:b w:val="false"/>
          <w:i w:val="false"/>
          <w:color w:val="000000"/>
          <w:sz w:val="22"/>
        </w:rPr>
        <w:t> </w:t>
      </w:r>
      <w:r>
        <w:rPr>
          <w:rFonts w:ascii="Times New Roman" w:hAnsi="Times New Roman"/>
          <w:b w:val="false"/>
          <w:i w:val="false"/>
          <w:color w:val="000000"/>
          <w:sz w:val="22"/>
        </w:rPr>
        <w:t xml:space="preserve">Not use forceps or a vacuum extractor in accordance with Iowa Code section </w:t>
      </w:r>
      <w:hyperlink r:id="rId23">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655—16.4</w:t>
      </w:r>
      <w:r>
        <w:rPr>
          <w:rFonts w:ascii="Times New Roman" w:hAnsi="Times New Roman"/>
          <w:b/>
          <w:i w:val="false"/>
          <w:color w:val="000000"/>
          <w:sz w:val="22"/>
        </w:rPr>
        <w:t xml:space="preserve">(148I) </w:t>
      </w:r>
      <w:r>
        <w:rPr>
          <w:rFonts w:ascii="Times New Roman" w:hAnsi="Times New Roman"/>
          <w:b/>
          <w:i w:val="false"/>
          <w:color w:val="000000"/>
          <w:sz w:val="22"/>
        </w:rPr>
        <w:t xml:space="preserve">Delegation to another CPM. </w:t>
      </w:r>
      <w:r>
        <w:rPr>
          <w:rFonts w:ascii="Times New Roman" w:hAnsi="Times New Roman"/>
          <w:b w:val="false"/>
          <w:i w:val="false"/>
          <w:color w:val="000000"/>
          <w:sz w:val="22"/>
        </w:rPr>
        <w:t>The CPM shall apply the delegation process when delegating to another CPM by: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Delegating only those midwifery tasks that fall within the delegate’s scope of practice, education,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Matching the client’s needs and circumstances with the delegate’s qualifications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understanding of the communication from the delegate.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val="false"/>
          <w:color w:val="000000"/>
          <w:sz w:val="22"/>
        </w:rPr>
        <w:t>Monitoring performance, progress and outcomes and ensuring appropriate documentation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val="false"/>
          <w:color w:val="000000"/>
          <w:sz w:val="22"/>
        </w:rPr>
        <w:t>Evaluating client outcomes as a result of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and revising plan of care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16.4(8)</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unsafe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Correcting problems or referring problems to a physician as described in Iowa Code section </w:t>
      </w:r>
      <w:hyperlink r:id="rId24">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or advanced registered nurse practitioner as defined in Iowa Code section </w:t>
      </w:r>
      <w:hyperlink r:id="rId25">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655—16.5</w:t>
      </w:r>
      <w:r>
        <w:rPr>
          <w:rFonts w:ascii="Times New Roman" w:hAnsi="Times New Roman"/>
          <w:b/>
          <w:i w:val="false"/>
          <w:color w:val="000000"/>
          <w:sz w:val="22"/>
        </w:rPr>
        <w:t xml:space="preserve">(148I) </w:t>
      </w:r>
      <w:r>
        <w:rPr>
          <w:rFonts w:ascii="Times New Roman" w:hAnsi="Times New Roman"/>
          <w:b/>
          <w:i w:val="false"/>
          <w:color w:val="000000"/>
          <w:sz w:val="22"/>
        </w:rPr>
        <w:t xml:space="preserve">Testing and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A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and administer drugs in accordance with Iowa Code section </w:t>
      </w:r>
      <w:hyperlink r:id="rId26">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and administer the following drugs approved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Pyridoxine (vitamin B6) IM or IV for treatment of hyperemesis;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Terbutaline for cord prolapse;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Nifedipine for eclampsia.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board approval to obtain and administer other drugs, not otherwise stated in Iowa Code section </w:t>
      </w:r>
      <w:hyperlink r:id="rId27">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“d,”</w:t>
      </w:r>
      <w:r>
        <w:rPr>
          <w:rFonts w:ascii="Times New Roman" w:hAnsi="Times New Roman"/>
          <w:b w:val="false"/>
          <w:i w:val="false"/>
          <w:color w:val="000000"/>
          <w:sz w:val="22"/>
        </w:rPr>
        <w:t xml:space="preserve"> consistent with the practice of certified professional midwifery.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appropriate screening and testing for clients in accordance with Iowa Code section </w:t>
      </w:r>
      <w:hyperlink r:id="rId28">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prescription drugs prescribed by a licensed health care provider to a client in accordance with Iowa Code section </w:t>
      </w:r>
      <w:hyperlink r:id="rId29">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dispenses or administers controlled substances must adhere to </w:t>
      </w:r>
      <w:hyperlink r:id="rId30">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following the standards of practice for treating a client described in rule </w:t>
      </w:r>
      <w:hyperlink r:id="rId31">
        <w:r>
          <w:rPr>
            <w:rStyle w:val="Hyperlink"/>
            <w:rFonts w:ascii="Times New Roman" w:hAnsi="Times New Roman"/>
            <w:b w:val="false"/>
            <w:i w:val="false"/>
            <w:color w:val="000000"/>
            <w:sz w:val="22"/>
          </w:rPr>
          <w:t>655—16.3</w:t>
        </w:r>
      </w:hyperlink>
      <w:r>
        <w:rPr>
          <w:rFonts w:ascii="Times New Roman" w:hAnsi="Times New Roman"/>
          <w:b w:val="false"/>
          <w:i w:val="false"/>
          <w:color w:val="000000"/>
          <w:sz w:val="22"/>
        </w:rPr>
        <w:t>(148I), a licensee who administers a controlled substance shall practice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client’s health history will include a personal and family substance abuse risk assessment performed by a licensed prescribing health care provider or the documented rationale for not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client’s health record must include documentation of the presence of one or more recognized indications for the use of a controlled substance.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administers any controlled substance will maintain an active Drug Enforcement Administration (DEA) registration and active controlled substances Act (CSA) registration when required by the DEA and the board of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655—16.6</w:t>
      </w:r>
      <w:r>
        <w:rPr>
          <w:rFonts w:ascii="Times New Roman" w:hAnsi="Times New Roman"/>
          <w:b/>
          <w:i w:val="false"/>
          <w:color w:val="000000"/>
          <w:sz w:val="22"/>
        </w:rPr>
        <w:t xml:space="preserve">(148I) </w:t>
      </w:r>
      <w:r>
        <w:rPr>
          <w:rFonts w:ascii="Times New Roman" w:hAnsi="Times New Roman"/>
          <w:b/>
          <w:i w:val="false"/>
          <w:color w:val="000000"/>
          <w:sz w:val="22"/>
        </w:rPr>
        <w:t xml:space="preserve">Discipline. </w:t>
      </w:r>
      <w:r>
        <w:rPr>
          <w:rFonts w:ascii="Times New Roman" w:hAnsi="Times New Roman"/>
          <w:b w:val="false"/>
          <w:i w:val="false"/>
          <w:color w:val="000000"/>
          <w:sz w:val="22"/>
        </w:rPr>
        <w:t xml:space="preserve">A licensee may be disciplined for failure to comply with Iowa Code chapter </w:t>
      </w:r>
      <w:hyperlink r:id="rId32">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this chapter or for any wrongful act or omission related to the licensee’s practice, licensure, or professional conduct,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3">
        <w:r>
          <w:rPr>
            <w:rStyle w:val="Hyperlink"/>
            <w:rFonts w:ascii="Times New Roman" w:hAnsi="Times New Roman"/>
            <w:b w:val="false"/>
            <w:i w:val="false"/>
            <w:color w:val="000000"/>
            <w:sz w:val="22"/>
          </w:rPr>
          <w:t>147.55(1)</w:t>
        </w:r>
      </w:hyperlink>
      <w:r>
        <w:rPr>
          <w:rFonts w:ascii="Times New Roman" w:hAnsi="Times New Roman"/>
          <w:b w:val="false"/>
          <w:i w:val="false"/>
          <w:color w:val="000000"/>
          <w:sz w:val="22"/>
        </w:rPr>
        <w:t>, behavior that constitutes fraud in procuring a license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Falsification of the application, certification, or records submitted to the board for licensure or license renewal as a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 misrepresentation, or deceit in taking the licensing examination or in obtaining a license as a CPM.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4">
        <w:r>
          <w:rPr>
            <w:rStyle w:val="Hyperlink"/>
            <w:rFonts w:ascii="Times New Roman" w:hAnsi="Times New Roman"/>
            <w:b w:val="false"/>
            <w:i w:val="false"/>
            <w:color w:val="000000"/>
            <w:sz w:val="22"/>
          </w:rPr>
          <w:t>147.55(2)</w:t>
        </w:r>
      </w:hyperlink>
      <w:r>
        <w:rPr>
          <w:rFonts w:ascii="Times New Roman" w:hAnsi="Times New Roman"/>
          <w:b w:val="false"/>
          <w:i w:val="false"/>
          <w:color w:val="000000"/>
          <w:sz w:val="22"/>
        </w:rPr>
        <w:t>, professional incompetency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Lack of knowledge, skill, or ability to discharge professional obligations within the scope of the practice of midwifery.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Deviation by the licensee from the standards of learning, education, or skill ordinarily possessed and applied by other CPMs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departure from or failure to form to the minimum standards of acceptable and prevailing practice of midwifery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5">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that constitutes unethical conduct or practice harmful or detrimental to the public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practice contradictory to NACPM standards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Performing services beyond the authorized scope of practice for which the individual is licensed or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Allowing another person to use one’s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rule promulgated by the board related to minimum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 delegation of services, functions or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Committing an act or omission that may adversely affect the physical or psychosocial welfare of the client.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Committing an act that causes physical, emotional, or financial injury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the confidentiality or privacy rights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client because of age, sex, race, ethnicity, national origin, creed, illness, disability,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assess, accurately document, evaluate, or report the status of a client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Misappropriating or attempting to misappropriate medications, property, supplies, or equipment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Fraudulently or inappropriately using or permitting the use of prescriptions, obtaining or attempting to obtain prescription medications under false pretenses, or assisting others to obtain or attempt to obtain prescription medication under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Practicing midwifery while under the influence of alcohol, marijuana, or illicit drugs or while impaired by the use of pharmacological agents or medications, even if legitimately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manufacture or distribution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possession or use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contradictory to professional decorum.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suspected wrongful acts or omissions committed by the licensee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Administering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unsafe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Without accurately documenting the drug or without assessing, evaluating, or instructing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individuals who are not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Failing to properly safeguard or secure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properly document or perform medication wastage.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xml:space="preserve">, behavior (i.e., acts, knowledge, and practices) that constitutes unethical conduct or practice harmful or detrimental to the public that may include but need not be limited to the professional boundaries violations in paragraphs </w:t>
      </w:r>
      <w:hyperlink r:id="rId37">
        <w:r>
          <w:rPr>
            <w:rStyle w:val="Hyperlink"/>
            <w:rFonts w:ascii="Times New Roman" w:hAnsi="Times New Roman"/>
            <w:b w:val="false"/>
            <w:i w:val="false"/>
            <w:color w:val="000000"/>
            <w:sz w:val="22"/>
          </w:rPr>
          <w:t>16.6(4)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For purposes of this subrule, “client” includes the client and the client’s family that are present with the client while the client is under the care of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Sexual contact with a client, regardless of the client’s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Making lewd, suggestive, demeaning, or otherwise sexual comments, regardless of client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initiating, or attempting to initiate a sexual or emotional relationship with a client, regardless of client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Soliciting, borrowing, or misappropriating money or property from a client, regardless of client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 sexual, emotional, social or business relationship with a former client when there is a risk of exploitation or harm to the client, regardless of client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8">
        <w:r>
          <w:rPr>
            <w:rStyle w:val="Hyperlink"/>
            <w:rFonts w:ascii="Times New Roman" w:hAnsi="Times New Roman"/>
            <w:b w:val="false"/>
            <w:i w:val="false"/>
            <w:color w:val="000000"/>
            <w:sz w:val="22"/>
          </w:rPr>
          <w:t>147.55(4)</w:t>
        </w:r>
      </w:hyperlink>
      <w:r>
        <w:rPr>
          <w:rFonts w:ascii="Times New Roman" w:hAnsi="Times New Roman"/>
          <w:b w:val="false"/>
          <w:i w:val="false"/>
          <w:color w:val="000000"/>
          <w:sz w:val="22"/>
        </w:rPr>
        <w:t>, habitual intoxication or addiction to the use of drugs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Excessive use of alcohol that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Excessive use of drugs that may impair a licensee’s ability to practice the profession with reasonable skill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16.6(6)</w:t>
      </w:r>
      <w:r>
        <w:rPr>
          <w:rFonts w:ascii="Times New Roman" w:hAnsi="Times New Roman"/>
          <w:b w:val="false"/>
          <w:i w:val="false"/>
          <w:color w:val="000000"/>
          <w:sz w:val="22"/>
        </w:rPr>
        <w:t> </w:t>
      </w:r>
      <w:r>
        <w:rPr>
          <w:rFonts w:ascii="Times New Roman" w:hAnsi="Times New Roman"/>
          <w:b w:val="false"/>
          <w:i w:val="false"/>
          <w:color w:val="000000"/>
          <w:sz w:val="22"/>
        </w:rPr>
        <w:t xml:space="preserve">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An offense directly relates to the duties and responsibilities of the profession if the actions taken in furtherance of the offense are actions customarily performed within the scope of practice of the profession or if the circumstances under which the offense was committed are circumstances customary to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16.6(7)</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9">
        <w:r>
          <w:rPr>
            <w:rStyle w:val="Hyperlink"/>
            <w:rFonts w:ascii="Times New Roman" w:hAnsi="Times New Roman"/>
            <w:b w:val="false"/>
            <w:i w:val="false"/>
            <w:color w:val="000000"/>
            <w:sz w:val="22"/>
          </w:rPr>
          <w:t>147.55(5)</w:t>
        </w:r>
      </w:hyperlink>
      <w:r>
        <w:rPr>
          <w:rFonts w:ascii="Times New Roman" w:hAnsi="Times New Roman"/>
          <w:b w:val="false"/>
          <w:i w:val="false"/>
          <w:color w:val="000000"/>
          <w:sz w:val="22"/>
        </w:rPr>
        <w:t>, fraud in representation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16.6(8)</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0">
        <w:r>
          <w:rPr>
            <w:rStyle w:val="Hyperlink"/>
            <w:rFonts w:ascii="Times New Roman" w:hAnsi="Times New Roman"/>
            <w:b w:val="false"/>
            <w:i w:val="false"/>
            <w:color w:val="000000"/>
            <w:sz w:val="22"/>
          </w:rPr>
          <w:t>147.55(6)</w:t>
        </w:r>
      </w:hyperlink>
      <w:r>
        <w:rPr>
          <w:rFonts w:ascii="Times New Roman" w:hAnsi="Times New Roman"/>
          <w:b w:val="false"/>
          <w:i w:val="false"/>
          <w:color w:val="000000"/>
          <w:sz w:val="22"/>
        </w:rPr>
        <w:t>, 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16.6(9)</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1">
        <w:r>
          <w:rPr>
            <w:rStyle w:val="Hyperlink"/>
            <w:rFonts w:ascii="Times New Roman" w:hAnsi="Times New Roman"/>
            <w:b w:val="false"/>
            <w:i w:val="false"/>
            <w:color w:val="000000"/>
            <w:sz w:val="22"/>
          </w:rPr>
          <w:t>147.55(7)</w:t>
        </w:r>
      </w:hyperlink>
      <w:r>
        <w:rPr>
          <w:rFonts w:ascii="Times New Roman" w:hAnsi="Times New Roman"/>
          <w:b w:val="false"/>
          <w:i w:val="false"/>
          <w:color w:val="000000"/>
          <w:sz w:val="22"/>
        </w:rPr>
        <w:t xml:space="preserve">, willful or repeated violations of provisions of Iowa Code chapter </w:t>
      </w:r>
      <w:hyperlink r:id="rId4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16.6(10)</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5">
        <w:r>
          <w:rPr>
            <w:rStyle w:val="Hyperlink"/>
            <w:rFonts w:ascii="Times New Roman" w:hAnsi="Times New Roman"/>
            <w:b w:val="false"/>
            <w:i w:val="false"/>
            <w:color w:val="000000"/>
            <w:sz w:val="22"/>
          </w:rPr>
          <w:t>147.55(10)</w:t>
        </w:r>
      </w:hyperlink>
      <w:r>
        <w:rPr>
          <w:rFonts w:ascii="Times New Roman" w:hAnsi="Times New Roman"/>
          <w:b w:val="false"/>
          <w:i w:val="false"/>
          <w:color w:val="000000"/>
          <w:sz w:val="22"/>
        </w:rPr>
        <w:t>, other acts or offenses as specified by board rules,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written notification of a change of address to the board within 30 days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within 30 days from the date of the final decision in a disciplinary action taken by the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of a criminal conviction within 30 days of the action, regardless of whether the judgment of conviction or sentence was deferred, and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submit an additional completed fingerprint packet as required and the applicable fee, when a previous fingerprint submission has been determined to be unacceptable,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continuing education requirements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training in child or dependent adult abuse identification and reporting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respond to or comply with a board investigation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threatening or harassing to the board, board staff, or agents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6">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midwifery in Iowa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midwifery in Iowa on an inactive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655—16.7</w:t>
      </w:r>
      <w:r>
        <w:rPr>
          <w:rFonts w:ascii="Times New Roman" w:hAnsi="Times New Roman"/>
          <w:b/>
          <w:i w:val="false"/>
          <w:color w:val="000000"/>
          <w:sz w:val="22"/>
        </w:rPr>
        <w:t xml:space="preserve">(148I) </w:t>
      </w:r>
      <w:r>
        <w:rPr>
          <w:rFonts w:ascii="Times New Roman" w:hAnsi="Times New Roman"/>
          <w:b/>
          <w:i w:val="false"/>
          <w:color w:val="000000"/>
          <w:sz w:val="22"/>
        </w:rPr>
        <w:t xml:space="preserve">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CPM may, in accordance with all applicable laws and rules, provide services to a client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CPM who provides services through telehealth to a client physically located in Iowa must be licensed by the board. A CPM who provides services through telehealth to a client physically located in another state shall be subject to the laws and jurisdiction of the state where the client is physically located.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CPM who provides services through telehealth shall be held to the same standard of care as is applicable to in-person settings. A CPM shall not perform any service via telehealth unless the same standard of care can be achieved as if the service were performed in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initiating contact with a client for the purpose of providing services to the client using telehealth, a CPM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client’s history and all relevant medical records;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as to each unique client encounter whether the CPM will be able to provide the same standard of care using telehealth as would be provided if the services were provided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CPM who provides services through telehealth must ensure the services provided are consistent with the CPM’s scope of practice, education, training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16.7(5)</w:t>
      </w:r>
      <w:r>
        <w:rPr>
          <w:rFonts w:ascii="Times New Roman" w:hAnsi="Times New Roman"/>
          <w:b w:val="false"/>
          <w:i w:val="false"/>
          <w:color w:val="000000"/>
          <w:sz w:val="22"/>
        </w:rPr>
        <w:t> </w:t>
      </w:r>
      <w:r>
        <w:rPr>
          <w:rFonts w:ascii="Times New Roman" w:hAnsi="Times New Roman"/>
          <w:b w:val="false"/>
          <w:i/>
          <w:color w:val="000000"/>
          <w:sz w:val="22"/>
        </w:rPr>
        <w:t xml:space="preserve">CPM-client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providing services through telehealth, the CPM shall first establish a CPM-client relationship. A CPM-client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seeks assistance from the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CPM agrees to provide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agrees to be treated, or the client’s legal guardian or legal representative agrees to the client being treated, by the CPM regardless of whether there has been a previous in-person encounter between the CPM and the client.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CPM-client relationship can be established through an in-person encounter, consultation with another CPM or health care provider, or telehealth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hyperlink r:id="rId48">
        <w:r>
          <w:rPr>
            <w:rStyle w:val="Hyperlink"/>
            <w:rFonts w:ascii="Times New Roman" w:hAnsi="Times New Roman"/>
            <w:b w:val="false"/>
            <w:i w:val="false"/>
            <w:color w:val="000000"/>
            <w:sz w:val="22"/>
          </w:rPr>
          <w:t>16.7(5)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services may be provided through telehealth without first establishing a CPM-client relationship in the following settings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an emergency or disaster;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 informal consultations with another health care provider performed by a CPM outside of the context of a contractual relationship, or on an irregular or infrequent basis, without the expectation or exchange of direct or indirect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substitute CPM acting on behalf and at the designation of an absent CPM in the same specialty on an on-call or cross-coverage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16.7(6)</w:t>
      </w:r>
      <w:r>
        <w:rPr>
          <w:rFonts w:ascii="Times New Roman" w:hAnsi="Times New Roman"/>
          <w:b w:val="false"/>
          <w:i w:val="false"/>
          <w:color w:val="000000"/>
          <w:sz w:val="22"/>
        </w:rPr>
        <w:t> </w:t>
      </w:r>
      <w:r>
        <w:rPr>
          <w:rFonts w:ascii="Times New Roman" w:hAnsi="Times New Roman"/>
          <w:b w:val="false"/>
          <w:i/>
          <w:color w:val="000000"/>
          <w:sz w:val="22"/>
        </w:rPr>
        <w:t xml:space="preserve">Consent to telehealth. </w:t>
      </w:r>
      <w:r>
        <w:rPr>
          <w:rFonts w:ascii="Times New Roman" w:hAnsi="Times New Roman"/>
          <w:b w:val="false"/>
          <w:i w:val="false"/>
          <w:color w:val="000000"/>
          <w:sz w:val="22"/>
        </w:rPr>
        <w:t>Prior to providing services via telehealth, the CPM shall obtain consent from the client, or the client’s legal guardian or legal representative, to receive services via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16.7(7)</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A CPM providing services through telehealth shall utilize technology that is secure and compliant with the Health Insurance Portability and Accountability Act (HIPAA), as effective June 19, 2024. The technology must be of sufficient quality, size, resolution, and clarity such that the CPM can safely and effectively provide the telehealth services and abide by the applicable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CPM who provides services through telehealth shall maintain a record of the care provided to the client. Such records shall comply with all applicable laws, rules, and standards of care for recordkeeping, confidentiality, and disclosure of a client’s medical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16.7(9)</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 xml:space="preserve">A CPM who provides services through telehealth shall refer a client for follow-up care when required by the standard of care.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9">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8114C</w:t>
      </w:r>
      <w:r>
        <w:rPr>
          <w:rFonts w:ascii="Times New Roman" w:hAnsi="Times New Roman"/>
          <w:b w:val="false"/>
          <w:i w:val="false"/>
          <w:color w:val="000000"/>
          <w:sz w:val="21"/>
        </w:rPr>
        <w:t xml:space="preserve"> (Notice ARC 7935C, IAB 5/15/24)</w:t>
      </w:r>
      <w:r>
        <w:rPr>
          <w:rFonts w:ascii="Times New Roman" w:hAnsi="Times New Roman"/>
          <w:b w:val="false"/>
          <w:i w:val="false"/>
          <w:color w:val="000000"/>
          <w:sz w:val="21"/>
        </w:rPr>
        <w:t>, IAB 7/10/24,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I.1.pdf" Type="http://schemas.openxmlformats.org/officeDocument/2006/relationships/hyperlink" Id="rId5"/>
    <Relationship TargetMode="External" Target="https://www.legis.iowa.gov/docs/ico/chapter/155A.3.pdf" Type="http://schemas.openxmlformats.org/officeDocument/2006/relationships/hyperlink" Id="rId6"/>
    <Relationship TargetMode="External" Target="https://www.legis.iowa.gov/docs/iac/rule/655.16.3.pdf" Type="http://schemas.openxmlformats.org/officeDocument/2006/relationships/hyperlink" Id="rId7"/>
    <Relationship TargetMode="External" Target="https://www.legis.iowa.gov/docs/ico/chapter/148I.pdf" Type="http://schemas.openxmlformats.org/officeDocument/2006/relationships/hyperlink" Id="rId8"/>
    <Relationship TargetMode="External" Target="https://www.legis.iowa.gov/docs/ico/chapter/148I.2.pdf" Type="http://schemas.openxmlformats.org/officeDocument/2006/relationships/hyperlink" Id="rId9"/>
    <Relationship TargetMode="External" Target="https://www.legis.iowa.gov/docs/ico/chapter/148I.4.pdf" Type="http://schemas.openxmlformats.org/officeDocument/2006/relationships/hyperlink" Id="rId10"/>
    <Relationship TargetMode="External" Target="https://www.legis.iowa.gov/docs/iac/rule/655.3.11.pdf" Type="http://schemas.openxmlformats.org/officeDocument/2006/relationships/hyperlink" Id="rId11"/>
    <Relationship TargetMode="External" Target="https://www.legis.iowa.gov/docs/ico/chapter/148I.4.pdf" Type="http://schemas.openxmlformats.org/officeDocument/2006/relationships/hyperlink" Id="rId12"/>
    <Relationship TargetMode="External" Target="https://www.legis.iowa.gov/docs/iac/rule/655.16.2.pdf" Type="http://schemas.openxmlformats.org/officeDocument/2006/relationships/hyperlink" Id="rId13"/>
    <Relationship TargetMode="External" Target="https://www.legis.iowa.gov/docs/iac/rule/655.3.1.pdf" Type="http://schemas.openxmlformats.org/officeDocument/2006/relationships/hyperlink" Id="rId14"/>
    <Relationship TargetMode="External" Target="https://www.legis.iowa.gov/docs/ico/chapter/148I.3.pdf" Type="http://schemas.openxmlformats.org/officeDocument/2006/relationships/hyperlink" Id="rId15"/>
    <Relationship TargetMode="External" Target="https://www.legis.iowa.gov/docs/ico/chapter/148I.pdf" Type="http://schemas.openxmlformats.org/officeDocument/2006/relationships/hyperlink" Id="rId16"/>
    <Relationship TargetMode="External" Target="http://nacpm.org" Type="http://schemas.openxmlformats.org/officeDocument/2006/relationships/hyperlink" Id="rId17"/>
    <Relationship TargetMode="External" Target="https://www.legis.iowa.gov/docs/iac/rule/655.16.2.pdf" Type="http://schemas.openxmlformats.org/officeDocument/2006/relationships/hyperlink" Id="rId18"/>
    <Relationship TargetMode="External" Target="https://www.legis.iowa.gov/docs/ico/chapter/148I.4.pdf" Type="http://schemas.openxmlformats.org/officeDocument/2006/relationships/hyperlink" Id="rId19"/>
    <Relationship TargetMode="External" Target="https://www.legis.iowa.gov/docs/ico/chapter/136A.6.pdf" Type="http://schemas.openxmlformats.org/officeDocument/2006/relationships/hyperlink" Id="rId20"/>
    <Relationship TargetMode="External" Target="https://www.legis.iowa.gov/docs/ico/chapter/136A.5A.pdf" Type="http://schemas.openxmlformats.org/officeDocument/2006/relationships/hyperlink" Id="rId21"/>
    <Relationship TargetMode="External" Target="https://www.legis.iowa.gov/docs/ico/chapter/148I.4.pdf" Type="http://schemas.openxmlformats.org/officeDocument/2006/relationships/hyperlink" Id="rId22"/>
    <Relationship TargetMode="External" Target="https://www.legis.iowa.gov/docs/ico/chapter/148I.4.pdf" Type="http://schemas.openxmlformats.org/officeDocument/2006/relationships/hyperlink" Id="rId23"/>
    <Relationship TargetMode="External" Target="https://www.legis.iowa.gov/docs/ico/chapter/148.1.pdf" Type="http://schemas.openxmlformats.org/officeDocument/2006/relationships/hyperlink" Id="rId24"/>
    <Relationship TargetMode="External" Target="https://www.legis.iowa.gov/docs/ico/chapter/152.1.pdf" Type="http://schemas.openxmlformats.org/officeDocument/2006/relationships/hyperlink" Id="rId25"/>
    <Relationship TargetMode="External" Target="https://www.legis.iowa.gov/docs/ico/chapter/148I.4.pdf" Type="http://schemas.openxmlformats.org/officeDocument/2006/relationships/hyperlink" Id="rId26"/>
    <Relationship TargetMode="External" Target="https://www.legis.iowa.gov/docs/ico/chapter/148I.4.pdf" Type="http://schemas.openxmlformats.org/officeDocument/2006/relationships/hyperlink" Id="rId27"/>
    <Relationship TargetMode="External" Target="https://www.legis.iowa.gov/docs/ico/chapter/148I.4.pdf" Type="http://schemas.openxmlformats.org/officeDocument/2006/relationships/hyperlink" Id="rId28"/>
    <Relationship TargetMode="External" Target="https://www.legis.iowa.gov/docs/ico/chapter/148I.4.pdf" Type="http://schemas.openxmlformats.org/officeDocument/2006/relationships/hyperlink" Id="rId29"/>
    <Relationship TargetMode="External" Target="https://www.legis.iowa.gov/docs/iac/chapter/657.10.pdf" Type="http://schemas.openxmlformats.org/officeDocument/2006/relationships/hyperlink" Id="rId30"/>
    <Relationship TargetMode="External" Target="https://www.legis.iowa.gov/docs/iac/rule/655.16.3.pdf" Type="http://schemas.openxmlformats.org/officeDocument/2006/relationships/hyperlink" Id="rId31"/>
    <Relationship TargetMode="External" Target="https://www.legis.iowa.gov/docs/ico/chapter/148I.pdf" Type="http://schemas.openxmlformats.org/officeDocument/2006/relationships/hyperlink" Id="rId32"/>
    <Relationship TargetMode="External" Target="https://www.legis.iowa.gov/docs/ico/chapter/147.55.pdf" Type="http://schemas.openxmlformats.org/officeDocument/2006/relationships/hyperlink" Id="rId33"/>
    <Relationship TargetMode="External" Target="https://www.legis.iowa.gov/docs/ico/chapter/147.55.pdf" Type="http://schemas.openxmlformats.org/officeDocument/2006/relationships/hyperlink" Id="rId34"/>
    <Relationship TargetMode="External" Target="https://www.legis.iowa.gov/docs/ico/chapter/147.55.pdf" Type="http://schemas.openxmlformats.org/officeDocument/2006/relationships/hyperlink" Id="rId35"/>
    <Relationship TargetMode="External" Target="https://www.legis.iowa.gov/docs/ico/chapter/147.55.pdf" Type="http://schemas.openxmlformats.org/officeDocument/2006/relationships/hyperlink" Id="rId36"/>
    <Relationship TargetMode="External" Target="https://www.legis.iowa.gov/docs/iac/rule/655.16.6.pdf" Type="http://schemas.openxmlformats.org/officeDocument/2006/relationships/hyperlink" Id="rId37"/>
    <Relationship TargetMode="External" Target="https://www.legis.iowa.gov/docs/ico/chapter/147.55.pdf" Type="http://schemas.openxmlformats.org/officeDocument/2006/relationships/hyperlink" Id="rId38"/>
    <Relationship TargetMode="External" Target="https://www.legis.iowa.gov/docs/ico/chapter/147.55.pdf" Type="http://schemas.openxmlformats.org/officeDocument/2006/relationships/hyperlink" Id="rId39"/>
    <Relationship TargetMode="External" Target="https://www.legis.iowa.gov/docs/ico/chapter/147.55.pdf" Type="http://schemas.openxmlformats.org/officeDocument/2006/relationships/hyperlink" Id="rId40"/>
    <Relationship TargetMode="External" Target="https://www.legis.iowa.gov/docs/ico/chapter/147.55.pdf" Type="http://schemas.openxmlformats.org/officeDocument/2006/relationships/hyperlink" Id="rId41"/>
    <Relationship TargetMode="External" Target="https://www.legis.iowa.gov/docs/ico/chapter/147.pdf" Type="http://schemas.openxmlformats.org/officeDocument/2006/relationships/hyperlink" Id="rId42"/>
    <Relationship TargetMode="External" Target="https://www.legis.iowa.gov/docs/ico/chapter/148I.pdf" Type="http://schemas.openxmlformats.org/officeDocument/2006/relationships/hyperlink" Id="rId43"/>
    <Relationship TargetMode="External" Target="https://www.legis.iowa.gov/docs/ico/chapter/272C.pdf" Type="http://schemas.openxmlformats.org/officeDocument/2006/relationships/hyperlink" Id="rId44"/>
    <Relationship TargetMode="External" Target="https://www.legis.iowa.gov/docs/ico/chapter/147.55.pdf" Type="http://schemas.openxmlformats.org/officeDocument/2006/relationships/hyperlink" Id="rId45"/>
    <Relationship TargetMode="External" Target="https://www.legis.iowa.gov/docs/ico/chapter/147.2.pdf" Type="http://schemas.openxmlformats.org/officeDocument/2006/relationships/hyperlink" Id="rId46"/>
    <Relationship TargetMode="External" Target="https://www.legis.iowa.gov/docs/ico/chapter/147.10.pdf" Type="http://schemas.openxmlformats.org/officeDocument/2006/relationships/hyperlink" Id="rId47"/>
    <Relationship TargetMode="External" Target="https://www.legis.iowa.gov/docs/iac/rule/655.16.7.pdf" Type="http://schemas.openxmlformats.org/officeDocument/2006/relationships/hyperlink" Id="rId48"/>
    <Relationship TargetMode="External" Target="https://www.legis.iowa.gov/docs/ico/chapter/148I.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