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ADMINISTRATIVE AND REGULATORY AUTHORITY</w:t>
      </w:r>
    </w:p>
    <w:p>
      <w:pPr>
        <w:spacing w:before="0" w:after="0"/>
        <w:ind w:left="120"/>
        <w:jc w:val="center"/>
      </w:pPr>
      <w:r>
        <w:rPr>
          <w:rFonts w:ascii="Times New Roman" w:hAnsi="Times New Roman"/>
          <w:b w:val="false"/>
          <w:i w:val="false"/>
          <w:color w:val="000000"/>
          <w:sz w:val="14"/>
        </w:rPr>
        <w:t>[Prior to 8/26/87, Nursing Board[590]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655—1.1</w:t>
      </w:r>
      <w:r>
        <w:rPr>
          <w:rFonts w:ascii="Times New Roman" w:hAnsi="Times New Roman"/>
          <w:b/>
          <w:i w:val="false"/>
          <w:color w:val="000000"/>
          <w:sz w:val="22"/>
        </w:rPr>
        <w:t xml:space="preserve">(17A) </w:t>
      </w:r>
      <w:r>
        <w:rPr>
          <w:rFonts w:ascii="Times New Roman" w:hAnsi="Times New Roman"/>
          <w:b/>
          <w:i w:val="false"/>
          <w:color w:val="000000"/>
          <w:sz w:val="22"/>
        </w:rPr>
        <w:t xml:space="preserve">Board mission. </w:t>
      </w:r>
      <w:r>
        <w:rPr>
          <w:rFonts w:ascii="Times New Roman" w:hAnsi="Times New Roman"/>
          <w:b w:val="false"/>
          <w:i w:val="false"/>
          <w:color w:val="000000"/>
          <w:sz w:val="22"/>
        </w:rPr>
        <w:t>The board of nursing protects the public health, safety, and welfare by regulating the licensure of nurses, the practice of nursing, nursing education, and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6196C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655—1.2</w:t>
      </w:r>
      <w:r>
        <w:rPr>
          <w:rFonts w:ascii="Times New Roman" w:hAnsi="Times New Roman"/>
          <w:b/>
          <w:i w:val="false"/>
          <w:color w:val="000000"/>
          <w:sz w:val="22"/>
        </w:rPr>
        <w:t xml:space="preserve">(17A,147,152,152E,272C) </w:t>
      </w:r>
      <w:r>
        <w:rPr>
          <w:rFonts w:ascii="Times New Roman" w:hAnsi="Times New Roman"/>
          <w:b/>
          <w:i w:val="false"/>
          <w:color w:val="000000"/>
          <w:sz w:val="22"/>
        </w:rPr>
        <w:t xml:space="preserve">Description and organization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Board composition. </w:t>
      </w:r>
      <w:r>
        <w:rPr>
          <w:rFonts w:ascii="Times New Roman" w:hAnsi="Times New Roman"/>
          <w:b w:val="false"/>
          <w:i w:val="false"/>
          <w:color w:val="000000"/>
          <w:sz w:val="22"/>
        </w:rPr>
        <w:t>The board is composed of four registered nurses, two of whom are engaged in active practice and two of whom are nurse educators from nursing education programs; one licensed practical nurse actively engaged in practice; and two members who represent the general public and are not registered nurses or licensed practical nurses. Of those board members who are nurse educators, one should be involved in higher education, and the other should be involved in area community college and vocational-technical nurse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Board leadership and committees. </w:t>
      </w:r>
      <w:r>
        <w:rPr>
          <w:rFonts w:ascii="Times New Roman" w:hAnsi="Times New Roman"/>
          <w:b w:val="false"/>
          <w:i w:val="false"/>
          <w:color w:val="000000"/>
          <w:sz w:val="22"/>
        </w:rPr>
        <w:t>The board shall annually select a chairperson and a vice chairperson from its own membership. The election of chairperson and vice chairperson, as well as standing committee assignments, shall be done during the first regularly scheduled meeting after May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 xml:space="preserve">The board shall retain a full-time executive director who is responsible for the administration of policies and programs of the board and for the operation of the board office. Pursuant to Iowa Code section </w:t>
      </w:r>
      <w:hyperlink r:id="rId5">
        <w:r>
          <w:rPr>
            <w:rStyle w:val="Hyperlink"/>
            <w:rFonts w:ascii="Times New Roman" w:hAnsi="Times New Roman"/>
            <w:b w:val="false"/>
            <w:i w:val="false"/>
            <w:color w:val="000000"/>
            <w:sz w:val="22"/>
          </w:rPr>
          <w:t>135.11B</w:t>
        </w:r>
      </w:hyperlink>
      <w:r>
        <w:rPr>
          <w:rFonts w:ascii="Times New Roman" w:hAnsi="Times New Roman"/>
          <w:b w:val="false"/>
          <w:i w:val="false"/>
          <w:color w:val="000000"/>
          <w:sz w:val="22"/>
        </w:rPr>
        <w:t>, the board shall advise the director of the department of public health in evaluating potential candidates for the position of executive director, consult with the director in the hiring of the executive director, and review and advise the director on the performance of the executive director in the discharge of the executive director’s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Board authority. </w:t>
      </w:r>
      <w:r>
        <w:rPr>
          <w:rFonts w:ascii="Times New Roman" w:hAnsi="Times New Roman"/>
          <w:b w:val="false"/>
          <w:i w:val="false"/>
          <w:color w:val="000000"/>
          <w:sz w:val="22"/>
        </w:rPr>
        <w:t xml:space="preserve">The board’s authority for regulating nursing education, nursing practice, and continuing education for nurses in the state of Iowa is found in Iowa Code chapters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6196C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655—1.3</w:t>
      </w:r>
      <w:r>
        <w:rPr>
          <w:rFonts w:ascii="Times New Roman" w:hAnsi="Times New Roman"/>
          <w:b/>
          <w:i w:val="false"/>
          <w:color w:val="000000"/>
          <w:sz w:val="22"/>
        </w:rPr>
        <w:t xml:space="preserve">(17A,152,152E,272C) </w:t>
      </w:r>
      <w:r>
        <w:rPr>
          <w:rFonts w:ascii="Times New Roman" w:hAnsi="Times New Roman"/>
          <w:b/>
          <w:i w:val="false"/>
          <w:color w:val="000000"/>
          <w:sz w:val="22"/>
        </w:rPr>
        <w:t xml:space="preserve">Responsibilities. </w:t>
      </w:r>
      <w:r>
        <w:rPr>
          <w:rFonts w:ascii="Times New Roman" w:hAnsi="Times New Roman"/>
          <w:b w:val="false"/>
          <w:i w:val="false"/>
          <w:color w:val="000000"/>
          <w:sz w:val="22"/>
        </w:rPr>
        <w:t>The responsibilities of the board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Licensing qualified applicants for the practice of nursing by examination, endorsement, renewal, and compact privilege pursuant to Iowa Code chapters </w:t>
      </w:r>
      <w:hyperlink r:id="rId11">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Conducting investigations and imposing discipline for violations of statutes or rules related to the practice of nursing pursuant to Iowa Code chapters </w:t>
      </w:r>
      <w:hyperlink r:id="rId1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Approving nursing education programs pursuant to Iowa Code section </w:t>
      </w:r>
      <w:hyperlink r:id="rId18">
        <w:r>
          <w:rPr>
            <w:rStyle w:val="Hyperlink"/>
            <w:rFonts w:ascii="Times New Roman" w:hAnsi="Times New Roman"/>
            <w:b w:val="false"/>
            <w:i w:val="false"/>
            <w:color w:val="000000"/>
            <w:sz w:val="22"/>
          </w:rPr>
          <w:t>152.5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Collecting, analyzing, and disseminating nursing workforce data pursuant to Iowa Code section </w:t>
      </w:r>
      <w:hyperlink r:id="rId19">
        <w:r>
          <w:rPr>
            <w:rStyle w:val="Hyperlink"/>
            <w:rFonts w:ascii="Times New Roman" w:hAnsi="Times New Roman"/>
            <w:b w:val="false"/>
            <w:i w:val="false"/>
            <w:color w:val="000000"/>
            <w:sz w:val="22"/>
          </w:rPr>
          <w:t>152.4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Approving continuing education providers to ensure continued competency of individuals licensed by the board to practice nursing pursuant to Iowa Code chapter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Administering the Iowa nurse assistance program to support the evaluation and monitoring of licensees who are impaired as a result of any substance use or mental or physical condition pursuant to Iowa Code section </w:t>
      </w:r>
      <w:hyperlink r:id="rId21">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Overseeing the nursing profession through policymaking, rule making, and advocating for and against legislation pursuant to Iowa Code section </w:t>
      </w:r>
      <w:hyperlink r:id="rId22">
        <w:r>
          <w:rPr>
            <w:rStyle w:val="Hyperlink"/>
            <w:rFonts w:ascii="Times New Roman" w:hAnsi="Times New Roman"/>
            <w:b w:val="false"/>
            <w:i w:val="false"/>
            <w:color w:val="000000"/>
            <w:sz w:val="22"/>
          </w:rPr>
          <w:t>135.11B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6196C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655—1.4</w:t>
      </w:r>
      <w:r>
        <w:rPr>
          <w:rFonts w:ascii="Times New Roman" w:hAnsi="Times New Roman"/>
          <w:b/>
          <w:i w:val="false"/>
          <w:color w:val="000000"/>
          <w:sz w:val="22"/>
        </w:rPr>
        <w:t xml:space="preserve">(17A,272) </w:t>
      </w:r>
      <w:r>
        <w:rPr>
          <w:rFonts w:ascii="Times New Roman" w:hAnsi="Times New Roman"/>
          <w:b/>
          <w:i w:val="false"/>
          <w:color w:val="000000"/>
          <w:sz w:val="22"/>
        </w:rPr>
        <w:t xml:space="preserve">Submission of requests, obtaining information, and board office. </w:t>
      </w:r>
      <w:r>
        <w:rPr>
          <w:rFonts w:ascii="Times New Roman" w:hAnsi="Times New Roman"/>
          <w:b w:val="false"/>
          <w:i w:val="false"/>
          <w:color w:val="000000"/>
          <w:sz w:val="22"/>
        </w:rPr>
        <w:t>Members of the general public may obtain information or submit requests or complaints relative to the licensure of nursing, practice of nursing, nursing education, continuing education, or any other matters relating to the function and authority of this board. Correspondence should be submitted to the executive director at the board office. The board office is located at: RiverPoint Business Park, 400 S.W. Eighth Street, Suite B, Des Moines, Iowa 50309-4685.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6196C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655—1.5</w:t>
      </w:r>
      <w:r>
        <w:rPr>
          <w:rFonts w:ascii="Times New Roman" w:hAnsi="Times New Roman"/>
          <w:b/>
          <w:i w:val="false"/>
          <w:color w:val="000000"/>
          <w:sz w:val="22"/>
        </w:rPr>
        <w:t xml:space="preserve">(17A,21)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A majority of the members of the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Meeting schedule and public notice. </w:t>
      </w:r>
      <w:r>
        <w:rPr>
          <w:rFonts w:ascii="Times New Roman" w:hAnsi="Times New Roman"/>
          <w:b w:val="false"/>
          <w:i w:val="false"/>
          <w:color w:val="000000"/>
          <w:sz w:val="22"/>
        </w:rPr>
        <w:t>The board shall schedule and hold regular meetings. The date, time, and location of each meeting of the board shall be made available to the public on the board’s website and upon request by contacting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Special meetings. </w:t>
      </w:r>
      <w:r>
        <w:rPr>
          <w:rFonts w:ascii="Times New Roman" w:hAnsi="Times New Roman"/>
          <w:b w:val="false"/>
          <w:i w:val="false"/>
          <w:color w:val="000000"/>
          <w:sz w:val="22"/>
        </w:rPr>
        <w:t>Special meetings of the board may be called by the chairperson or upon request of four board members to the chairperson or the executive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Meeting materials. </w:t>
      </w:r>
      <w:r>
        <w:rPr>
          <w:rFonts w:ascii="Times New Roman" w:hAnsi="Times New Roman"/>
          <w:b w:val="false"/>
          <w:i w:val="false"/>
          <w:color w:val="000000"/>
          <w:sz w:val="22"/>
        </w:rPr>
        <w:t>Materials received at the board office at least three weeks prior to a scheduled board meeting shall be placed on the agenda. Materials from emergency or unusual circumstances may be added to the agenda with the chairperson or executive director’s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Public observation and comment. </w:t>
      </w:r>
      <w:r>
        <w:rPr>
          <w:rFonts w:ascii="Times New Roman" w:hAnsi="Times New Roman"/>
          <w:b w:val="false"/>
          <w:i w:val="false"/>
          <w:color w:val="000000"/>
          <w:sz w:val="22"/>
        </w:rPr>
        <w:t>The board shall provide a means for members of the public to observe and, when appropriate, offer public comment during board meetings unless the board votes to hold a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Anyone who has submitted materials for the agenda or whose presence has been requested by the board shall be given the opportunity to address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time on the agenda for public comment, anyone may speak for up to two minutes per person. Requests to speak at a later time for two minutes per person when a particular topic comes before the board should be made at the time for public comment and will be granted at the discretion of the chairperson. No more than ten minutes will be allotted to public comment at any one time unless the chairperson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who has not asked to address the board during the time for public comment may be recognized by the chairperson upon request. Acknowledgment and an opportunity to speak will be at the discretion of the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6196C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655—1.6</w:t>
      </w:r>
      <w:r>
        <w:rPr>
          <w:rFonts w:ascii="Times New Roman" w:hAnsi="Times New Roman"/>
          <w:b/>
          <w:i w:val="false"/>
          <w:color w:val="000000"/>
          <w:sz w:val="22"/>
        </w:rPr>
        <w:t xml:space="preserve">(147,152,272C)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The board may issue or disseminate communications as a means to provide information to licensees and the general public related to the mission and responsibilities of the board. Board communications may include, but are not limited to, publishing updates on its website, issuing a newsletter, and other written, audio, or video methods of communication.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6196C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w:t>
      </w:r>
    </w:p>
    <w:p>
      <w:pPr>
        <w:spacing w:before="0" w:after="0"/>
        <w:ind w:left="120"/>
        <w:jc w:val="center"/>
      </w:pPr>
      <w:r>
        <w:rPr>
          <w:rFonts w:ascii="Times New Roman" w:hAnsi="Times New Roman"/>
          <w:b w:val="false"/>
          <w:i w:val="false"/>
          <w:color w:val="000000"/>
          <w:sz w:val="21"/>
        </w:rPr>
        <w:t>[Filed 5/3/76, Notices 1/12/76, 3/22/76—published 5/17/76, effective 6/21/76]</w:t>
      </w:r>
    </w:p>
    <w:p>
      <w:pPr>
        <w:spacing w:before="0" w:after="0"/>
        <w:ind w:left="120"/>
        <w:jc w:val="center"/>
      </w:pPr>
      <w:r>
        <w:rPr>
          <w:rFonts w:ascii="Times New Roman" w:hAnsi="Times New Roman"/>
          <w:b w:val="false"/>
          <w:i w:val="false"/>
          <w:color w:val="000000"/>
          <w:sz w:val="21"/>
        </w:rPr>
        <w:t>[Filed 5/24/76, Notice 4/29/76—published 6/14/76, effective 7/19/76</w:t>
      </w:r>
    </w:p>
    <w:p>
      <w:pPr>
        <w:spacing w:before="0" w:after="0"/>
        <w:ind w:left="120"/>
        <w:jc w:val="center"/>
      </w:pPr>
      <w:r>
        <w:rPr>
          <w:rFonts w:ascii="Times New Roman" w:hAnsi="Times New Roman"/>
          <w:b w:val="false"/>
          <w:i w:val="false"/>
          <w:color w:val="000000"/>
          <w:sz w:val="21"/>
        </w:rPr>
        <w:t>(1.1(5) delayed 70 days)]</w:t>
      </w:r>
    </w:p>
    <w:p>
      <w:pPr>
        <w:spacing w:before="0" w:after="0"/>
        <w:ind w:left="120"/>
        <w:jc w:val="center"/>
      </w:pPr>
      <w:r>
        <w:rPr>
          <w:rFonts w:ascii="Times New Roman" w:hAnsi="Times New Roman"/>
          <w:b w:val="false"/>
          <w:i w:val="false"/>
          <w:color w:val="000000"/>
          <w:sz w:val="21"/>
        </w:rPr>
        <w:t>[Filed 7/21/76, Notice 6/14/76—published 8/9/76, effective 9/13/76]</w:t>
      </w:r>
    </w:p>
    <w:p>
      <w:pPr>
        <w:spacing w:before="0" w:after="0"/>
        <w:ind w:left="120"/>
        <w:jc w:val="center"/>
      </w:pPr>
      <w:r>
        <w:rPr>
          <w:rFonts w:ascii="Times New Roman" w:hAnsi="Times New Roman"/>
          <w:b w:val="false"/>
          <w:i w:val="false"/>
          <w:color w:val="000000"/>
          <w:sz w:val="21"/>
        </w:rPr>
        <w:t>[Filed 8/30/76, Notice 7/26/76—published 9/22/76, effective 10/27/76]</w:t>
      </w:r>
    </w:p>
    <w:p>
      <w:pPr>
        <w:spacing w:before="0" w:after="0"/>
        <w:ind w:left="120"/>
        <w:jc w:val="center"/>
      </w:pPr>
      <w:r>
        <w:rPr>
          <w:rFonts w:ascii="Times New Roman" w:hAnsi="Times New Roman"/>
          <w:b w:val="false"/>
          <w:i w:val="false"/>
          <w:color w:val="000000"/>
          <w:sz w:val="21"/>
        </w:rPr>
        <w:t>[Filed emergency 9/17/76—published 10/6/76, effective 9/22/76]</w:t>
      </w:r>
    </w:p>
    <w:p>
      <w:pPr>
        <w:spacing w:before="0" w:after="0"/>
        <w:ind w:left="120"/>
        <w:jc w:val="center"/>
      </w:pPr>
      <w:r>
        <w:rPr>
          <w:rFonts w:ascii="Times New Roman" w:hAnsi="Times New Roman"/>
          <w:b w:val="false"/>
          <w:i w:val="false"/>
          <w:color w:val="000000"/>
          <w:sz w:val="21"/>
        </w:rPr>
        <w:t>[Filed 10/3/77, Notice 7/13/77—published 10/19/77, effective 11/23/77]</w:t>
      </w:r>
    </w:p>
    <w:p>
      <w:pPr>
        <w:spacing w:before="0" w:after="0"/>
        <w:ind w:left="120"/>
        <w:jc w:val="center"/>
      </w:pPr>
      <w:r>
        <w:rPr>
          <w:rFonts w:ascii="Times New Roman" w:hAnsi="Times New Roman"/>
          <w:b w:val="false"/>
          <w:i w:val="false"/>
          <w:color w:val="000000"/>
          <w:sz w:val="21"/>
        </w:rPr>
        <w:t>[Filed 7/31/78, Notice 4/19/78—published 8/23/78, effective 9/27/78]</w:t>
      </w:r>
    </w:p>
    <w:p>
      <w:pPr>
        <w:spacing w:before="0" w:after="0"/>
        <w:ind w:left="120"/>
        <w:jc w:val="center"/>
      </w:pPr>
      <w:r>
        <w:rPr>
          <w:rFonts w:ascii="Times New Roman" w:hAnsi="Times New Roman"/>
          <w:b w:val="false"/>
          <w:i w:val="false"/>
          <w:color w:val="000000"/>
          <w:sz w:val="21"/>
        </w:rPr>
        <w:t>[Filed 2/3/84, Notice 11/9/83—published 2/29/84, effective 4/4/84]</w:t>
      </w:r>
    </w:p>
    <w:p>
      <w:pPr>
        <w:spacing w:before="0" w:after="0"/>
        <w:ind w:left="120"/>
        <w:jc w:val="center"/>
      </w:pPr>
      <w:r>
        <w:rPr>
          <w:rFonts w:ascii="Times New Roman" w:hAnsi="Times New Roman"/>
          <w:b w:val="false"/>
          <w:i w:val="false"/>
          <w:color w:val="000000"/>
          <w:sz w:val="21"/>
        </w:rPr>
        <w:t>[Filed 4/30/87, Notice 2/25/87—published 5/20/87, effective 6/24/87]</w:t>
      </w:r>
    </w:p>
    <w:p>
      <w:pPr>
        <w:spacing w:before="0" w:after="0"/>
        <w:ind w:left="120"/>
        <w:jc w:val="center"/>
      </w:pPr>
      <w:r>
        <w:rPr>
          <w:rFonts w:ascii="Times New Roman" w:hAnsi="Times New Roman"/>
          <w:b w:val="false"/>
          <w:i w:val="false"/>
          <w:color w:val="000000"/>
          <w:sz w:val="21"/>
        </w:rPr>
        <w:t>[Filed emergency 6/17/87—published 7/1/87, effective 6/17/87]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2/17/88, Notice 8/26/87—published 3/9/88, effective 4/13/88]</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3/15/01, Notice 1/10/01—published 4/4/01, effective 5/9/01]</w:t>
      </w:r>
    </w:p>
    <w:p>
      <w:pPr>
        <w:spacing w:before="0" w:after="0"/>
        <w:ind w:left="120"/>
        <w:jc w:val="center"/>
      </w:pPr>
      <w:r>
        <w:rPr>
          <w:rFonts w:ascii="Times New Roman" w:hAnsi="Times New Roman"/>
          <w:b w:val="false"/>
          <w:i w:val="false"/>
          <w:color w:val="000000"/>
          <w:sz w:val="21"/>
        </w:rPr>
        <w:t>[Filed 9/12/03, Notice 6/25/03—published 10/1/03, effective 11/5/03]</w:t>
      </w:r>
    </w:p>
    <w:p>
      <w:pPr>
        <w:spacing w:before="0" w:after="0"/>
        <w:ind w:left="120"/>
        <w:jc w:val="center"/>
      </w:pPr>
      <w:r>
        <w:rPr>
          <w:rFonts w:ascii="Times New Roman" w:hAnsi="Times New Roman"/>
          <w:b w:val="false"/>
          <w:i w:val="false"/>
          <w:color w:val="000000"/>
          <w:sz w:val="21"/>
        </w:rPr>
        <w:t>[Filed ARC 0085C</w:t>
      </w:r>
      <w:r>
        <w:rPr>
          <w:rFonts w:ascii="Times New Roman" w:hAnsi="Times New Roman"/>
          <w:b w:val="false"/>
          <w:i w:val="false"/>
          <w:color w:val="000000"/>
          <w:sz w:val="21"/>
        </w:rPr>
        <w:t xml:space="preserve"> (Notice ARC 9866B, IAB 11/30/11)</w:t>
      </w:r>
      <w:r>
        <w:rPr>
          <w:rFonts w:ascii="Times New Roman" w:hAnsi="Times New Roman"/>
          <w:b w:val="false"/>
          <w:i w:val="false"/>
          <w:color w:val="000000"/>
          <w:sz w:val="21"/>
        </w:rPr>
        <w:t>, IAB 4/18/12, effective 5/23/12]</w:t>
      </w:r>
    </w:p>
    <w:p>
      <w:pPr>
        <w:spacing w:before="0" w:after="0"/>
        <w:ind w:left="120"/>
        <w:jc w:val="center"/>
      </w:pPr>
      <w:r>
        <w:rPr>
          <w:rFonts w:ascii="Times New Roman" w:hAnsi="Times New Roman"/>
          <w:b w:val="false"/>
          <w:i w:val="false"/>
          <w:color w:val="000000"/>
          <w:sz w:val="21"/>
        </w:rPr>
        <w:t>[Filed ARC 1541C</w:t>
      </w:r>
      <w:r>
        <w:rPr>
          <w:rFonts w:ascii="Times New Roman" w:hAnsi="Times New Roman"/>
          <w:b w:val="false"/>
          <w:i w:val="false"/>
          <w:color w:val="000000"/>
          <w:sz w:val="21"/>
        </w:rPr>
        <w:t xml:space="preserve"> (Notice ARC 1312C, IAB 2/5/14)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5285C</w:t>
      </w:r>
      <w:r>
        <w:rPr>
          <w:rFonts w:ascii="Times New Roman" w:hAnsi="Times New Roman"/>
          <w:b w:val="false"/>
          <w:i w:val="false"/>
          <w:color w:val="000000"/>
          <w:sz w:val="21"/>
        </w:rPr>
        <w:t xml:space="preserve"> (Notice ARC 5164C, IAB 9/9/20)</w:t>
      </w:r>
      <w:r>
        <w:rPr>
          <w:rFonts w:ascii="Times New Roman" w:hAnsi="Times New Roman"/>
          <w:b w:val="false"/>
          <w:i w:val="false"/>
          <w:color w:val="000000"/>
          <w:sz w:val="21"/>
        </w:rPr>
        <w:t>, IAB 11/18/20, effective 12/23/20]</w:t>
      </w:r>
    </w:p>
    <w:p>
      <w:pPr>
        <w:spacing w:before="0" w:after="0"/>
        <w:ind w:left="120"/>
        <w:jc w:val="center"/>
      </w:pPr>
      <w:r>
        <w:rPr>
          <w:rFonts w:ascii="Times New Roman" w:hAnsi="Times New Roman"/>
          <w:b w:val="false"/>
          <w:i w:val="false"/>
          <w:color w:val="000000"/>
          <w:sz w:val="21"/>
        </w:rPr>
        <w:t>[Filed ARC 6196C</w:t>
      </w:r>
      <w:r>
        <w:rPr>
          <w:rFonts w:ascii="Times New Roman" w:hAnsi="Times New Roman"/>
          <w:b w:val="false"/>
          <w:i w:val="false"/>
          <w:color w:val="000000"/>
          <w:sz w:val="21"/>
        </w:rPr>
        <w:t xml:space="preserve"> (Notice ARC 6034C, IAB 11/17/21)</w:t>
      </w:r>
      <w:r>
        <w:rPr>
          <w:rFonts w:ascii="Times New Roman" w:hAnsi="Times New Roman"/>
          <w:b w:val="false"/>
          <w:i w:val="false"/>
          <w:color w:val="000000"/>
          <w:sz w:val="21"/>
        </w:rPr>
        <w:t>, IAB 2/23/22, effective 3/30/22]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1B.pdf" Type="http://schemas.openxmlformats.org/officeDocument/2006/relationships/hyperlink" Id="rId5"/>
    <Relationship TargetMode="External" Target="https://www.legis.iowa.gov/docs/ico/chapter/147.pdf" Type="http://schemas.openxmlformats.org/officeDocument/2006/relationships/hyperlink" Id="rId6"/>
    <Relationship TargetMode="External" Target="https://www.legis.iowa.gov/docs/ico/chapter/147A.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52E.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co/chapter/147.pdf" Type="http://schemas.openxmlformats.org/officeDocument/2006/relationships/hyperlink" Id="rId11"/>
    <Relationship TargetMode="External" Target="https://www.legis.iowa.gov/docs/ico/chapter/152.pdf" Type="http://schemas.openxmlformats.org/officeDocument/2006/relationships/hyperlink" Id="rId12"/>
    <Relationship TargetMode="External" Target="https://www.legis.iowa.gov/docs/ico/chapter/152E.pdf" Type="http://schemas.openxmlformats.org/officeDocument/2006/relationships/hyperlink" Id="rId13"/>
    <Relationship TargetMode="External" Target="https://www.legis.iowa.gov/docs/ico/chapter/272C.pdf" Type="http://schemas.openxmlformats.org/officeDocument/2006/relationships/hyperlink" Id="rId14"/>
    <Relationship TargetMode="External" Target="https://www.legis.iowa.gov/docs/ico/chapter/147.pdf" Type="http://schemas.openxmlformats.org/officeDocument/2006/relationships/hyperlink" Id="rId15"/>
    <Relationship TargetMode="External" Target="https://www.legis.iowa.gov/docs/ico/chapter/152.pdf" Type="http://schemas.openxmlformats.org/officeDocument/2006/relationships/hyperlink" Id="rId16"/>
    <Relationship TargetMode="External" Target="https://www.legis.iowa.gov/docs/ico/chapter/272C.pdf" Type="http://schemas.openxmlformats.org/officeDocument/2006/relationships/hyperlink" Id="rId17"/>
    <Relationship TargetMode="External" Target="https://www.legis.iowa.gov/docs/ico/chapter/152.5.pdf" Type="http://schemas.openxmlformats.org/officeDocument/2006/relationships/hyperlink" Id="rId18"/>
    <Relationship TargetMode="External" Target="https://www.legis.iowa.gov/docs/ico/chapter/152.4.pdf" Type="http://schemas.openxmlformats.org/officeDocument/2006/relationships/hyperlink" Id="rId19"/>
    <Relationship TargetMode="External" Target="https://www.legis.iowa.gov/docs/ico/chapter/272C.pdf" Type="http://schemas.openxmlformats.org/officeDocument/2006/relationships/hyperlink" Id="rId20"/>
    <Relationship TargetMode="External" Target="https://www.legis.iowa.gov/docs/ico/chapter/272C.3.pdf" Type="http://schemas.openxmlformats.org/officeDocument/2006/relationships/hyperlink" Id="rId21"/>
    <Relationship TargetMode="External" Target="https://www.legis.iowa.gov/docs/ico/chapter/135.11B.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147.pdf" Type="http://schemas.openxmlformats.org/officeDocument/2006/relationships/hyperlink" Id="rId24"/>
    <Relationship TargetMode="External" Target="https://www.legis.iowa.gov/docs/ico/chapter/152.pdf" Type="http://schemas.openxmlformats.org/officeDocument/2006/relationships/hyperlink" Id="rId25"/>
    <Relationship TargetMode="External" Target="https://www.legis.iowa.gov/docs/ico/chapter/152E.pdf" Type="http://schemas.openxmlformats.org/officeDocument/2006/relationships/hyperlink" Id="rId26"/>
    <Relationship TargetMode="External" Target="https://www.legis.iowa.gov/docs/ico/chapter/272C.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