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PERMANENT AND ADMINISTRATIVE MEDICINE PHYSICIAN LICENSURE</w:t>
      </w:r>
    </w:p>
    <w:p>
      <w:pPr>
        <w:spacing w:before="0" w:after="0"/>
        <w:ind w:left="120"/>
        <w:jc w:val="center"/>
      </w:pPr>
      <w:r>
        <w:rPr>
          <w:rFonts w:ascii="Times New Roman" w:hAnsi="Times New Roman"/>
          <w:b w:val="false"/>
          <w:i w:val="false"/>
          <w:color w:val="000000"/>
          <w:sz w:val="14"/>
        </w:rPr>
        <w:t>[Prior to 5/30/01, see 653—Chapter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653—9.1</w:t>
      </w:r>
      <w:r>
        <w:rPr>
          <w:rFonts w:ascii="Times New Roman" w:hAnsi="Times New Roman"/>
          <w:b/>
          <w:i w:val="false"/>
          <w:color w:val="000000"/>
          <w:sz w:val="22"/>
        </w:rPr>
        <w:t xml:space="preserve">(147,148)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“ABMS” </w:t>
      </w:r>
      <w:r>
        <w:rPr>
          <w:rFonts w:ascii="Times New Roman" w:hAnsi="Times New Roman"/>
          <w:b w:val="false"/>
          <w:i w:val="false"/>
          <w:color w:val="000000"/>
          <w:sz w:val="22"/>
        </w:rPr>
        <w:t>means the American Board of Medical Specialties, which is an umbrella organization for at least 24 medical specialty boards in the United States that assists the specialty boards in developing and implementing educational and professional standards to evaluate and certify physician specialists in the United States. The board recognizes specialty board certification by ABMS.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“ACGME” </w:t>
      </w:r>
      <w:r>
        <w:rPr>
          <w:rFonts w:ascii="Times New Roman" w:hAnsi="Times New Roman"/>
          <w:b w:val="false"/>
          <w:i w:val="false"/>
          <w:color w:val="000000"/>
          <w:sz w:val="22"/>
        </w:rPr>
        <w:t>means the Accreditation Council for Graduate Medical Education, an accreditation body that is responsible for accreditation of post-medical school training programs in medicine and surgery in the United States of America. The board approves resident training programs accredited by ACGME.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medicine” </w:t>
      </w:r>
      <w:r>
        <w:rPr>
          <w:rFonts w:ascii="Times New Roman" w:hAnsi="Times New Roman"/>
          <w:b w:val="false"/>
          <w:i w:val="false"/>
          <w:color w:val="000000"/>
          <w:sz w:val="22"/>
        </w:rPr>
        <w:t>means administration or management utilizing the medical and clinical knowledge, skill, and judgment of a licensed physician and capable of affecting the health and safety of the public or any person. A physician with an administrative medicine license may advise organizations, both public and private, on health care matters; authorize and deny financial payments for care; organize and direct research programs; review care provided for quality; and perform other similar duties that do not require direct patient care. “Administrative medicine” does not include the authority to practice clinical medicine; examine, care for or treat patients; prescribe medications, including controlled substances; or delegate medical acts or prescriptive authority to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medicine license” </w:t>
      </w:r>
      <w:r>
        <w:rPr>
          <w:rFonts w:ascii="Times New Roman" w:hAnsi="Times New Roman"/>
          <w:b w:val="false"/>
          <w:i w:val="false"/>
          <w:color w:val="000000"/>
          <w:sz w:val="22"/>
        </w:rPr>
        <w:t>means a license issued by the board pursuant to 653—9.20(147,148).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“AMA” </w:t>
      </w:r>
      <w:r>
        <w:rPr>
          <w:rFonts w:ascii="Times New Roman" w:hAnsi="Times New Roman"/>
          <w:b w:val="false"/>
          <w:i w:val="false"/>
          <w:color w:val="000000"/>
          <w:sz w:val="22"/>
        </w:rPr>
        <w:t>means the American Medical Association, a professional organization of physicians and surgeons.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jurisdiction” </w:t>
      </w:r>
      <w:r>
        <w:rPr>
          <w:rFonts w:ascii="Times New Roman" w:hAnsi="Times New Roman"/>
          <w:b w:val="false"/>
          <w:i w:val="false"/>
          <w:color w:val="000000"/>
          <w:sz w:val="22"/>
        </w:rPr>
        <w:t>means any state, the District of Columbia or territory of the United States of America or any other 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United States jurisdiction” </w:t>
      </w:r>
      <w:r>
        <w:rPr>
          <w:rFonts w:ascii="Times New Roman" w:hAnsi="Times New Roman"/>
          <w:b w:val="false"/>
          <w:i w:val="false"/>
          <w:color w:val="000000"/>
          <w:sz w:val="22"/>
        </w:rPr>
        <w:t>means any state, the District of Columbia or territory of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“AOA” </w:t>
      </w:r>
      <w:r>
        <w:rPr>
          <w:rFonts w:ascii="Times New Roman" w:hAnsi="Times New Roman"/>
          <w:b w:val="false"/>
          <w:i w:val="false"/>
          <w:color w:val="000000"/>
          <w:sz w:val="22"/>
        </w:rPr>
        <w:t>means the American Osteopathic Association, which is the representative organization for osteopathic physicians (D.O.s) in the United States. The board approves osteopathic medical education programs with AOA accreditation; the board approves AOA-accredited resident training programs in osteopathic medicine and surgery at hospitals for graduates of accredited osteopathic medical schools. The board recognizes specialty board certification by AOA. The board recognizes continuing medical education accredited by the Council on Continuing Medical Education of AOA.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seeks authorization to practice medicine and surgery, osteopathic medicine and surgery, or administrative medicine in this state by making application to the board, or a physician who seeks licensure through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abuse education training program” </w:t>
      </w:r>
      <w:r>
        <w:rPr>
          <w:rFonts w:ascii="Times New Roman" w:hAnsi="Times New Roman"/>
          <w:b w:val="false"/>
          <w:i w:val="false"/>
          <w:color w:val="000000"/>
          <w:sz w:val="22"/>
        </w:rPr>
        <w:t>means a training program using a curriculum approved by the abuse education review panel of the department of public health or a training program offered by a hospital, a professional organization for physicians, or the department of human services, the department of education, an area education agency, a school district, the Iowa law enforcement academy, an Iowa college or university, or a similar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“Board-approved resident training program” </w:t>
      </w:r>
      <w:r>
        <w:rPr>
          <w:rFonts w:ascii="Times New Roman" w:hAnsi="Times New Roman"/>
          <w:b w:val="false"/>
          <w:i w:val="false"/>
          <w:color w:val="000000"/>
          <w:sz w:val="22"/>
        </w:rPr>
        <w:t>means a hospital-affiliated graduate medical education program accredited by ACGME, AOA, RCPSC, or CFPC at the time the applicant is enrolled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“Candidate” </w:t>
      </w:r>
      <w:r>
        <w:rPr>
          <w:rFonts w:ascii="Times New Roman" w:hAnsi="Times New Roman"/>
          <w:b w:val="false"/>
          <w:i w:val="false"/>
          <w:color w:val="000000"/>
          <w:sz w:val="22"/>
        </w:rPr>
        <w:t>means a person who applies to sit for an examination administered by the board or its designated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1 credit” </w:t>
      </w:r>
      <w:r>
        <w:rPr>
          <w:rFonts w:ascii="Times New Roman" w:hAnsi="Times New Roman"/>
          <w:b w:val="false"/>
          <w:i w:val="false"/>
          <w:color w:val="000000"/>
          <w:sz w:val="22"/>
        </w:rPr>
        <w:t>means any formal education program which is sponsored or jointly sponsored by an organization accredited for continuing medical education by the Accreditation Council for Continuing Medical Education, the Iowa Medical Society, or the Council on Continuing Medical Education of AOA that is of sufficient scope and depth of coverage of a subject area or theme to form an educational unit and is planned, administered and evaluated in terms of educational objectives that define a level of knowledge or a specific performance skill to be attained by the physician completing the program. Credits designated as formal cognates by the American College of Obstetricians and Gynecologists or as prescribed credits by the American Academy of Family Physicians are accepted as equivalent to category 1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“CFPC” </w:t>
      </w:r>
      <w:r>
        <w:rPr>
          <w:rFonts w:ascii="Times New Roman" w:hAnsi="Times New Roman"/>
          <w:b w:val="false"/>
          <w:i w:val="false"/>
          <w:color w:val="000000"/>
          <w:sz w:val="22"/>
        </w:rPr>
        <w:t>means the College of Family Physicians of Canada, an organization that accredits graduate medical education in family practice in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“COCA” </w:t>
      </w:r>
      <w:r>
        <w:rPr>
          <w:rFonts w:ascii="Times New Roman" w:hAnsi="Times New Roman"/>
          <w:b w:val="false"/>
          <w:i w:val="false"/>
          <w:color w:val="000000"/>
          <w:sz w:val="22"/>
        </w:rPr>
        <w:t>means the Commission on Osteopathic College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“COMLEX” </w:t>
      </w:r>
      <w:r>
        <w:rPr>
          <w:rFonts w:ascii="Times New Roman" w:hAnsi="Times New Roman"/>
          <w:b w:val="false"/>
          <w:i w:val="false"/>
          <w:color w:val="000000"/>
          <w:sz w:val="22"/>
        </w:rPr>
        <w:t>means the Comprehensive Osteopathic Medical Licensing Examination that is recognized by the board as the licensure examination that replaced the NBOME examination for graduates of osteopathic medical schools or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licensure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“COMVEX-USA” </w:t>
      </w:r>
      <w:r>
        <w:rPr>
          <w:rFonts w:ascii="Times New Roman" w:hAnsi="Times New Roman"/>
          <w:b w:val="false"/>
          <w:i w:val="false"/>
          <w:color w:val="000000"/>
          <w:sz w:val="22"/>
        </w:rPr>
        <w:t>means the Comprehensive Osteopathic Medical Variable-Purpose Examination for the United States of America. The National Board of Osteopathic Medical Examiners prepares the examination and determines its passing score. A licensing authority in any jurisdiction administers the examination. COMVEX-USA is the current evaluative instrument offered to osteopathic physicians who need to demonstrate current osteopathic medical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for the purposes of licensure through the IMLC means a finding by a court that an individual is guilty of a criminal offense through adjudication, or entry of a plea of guilt or no contest to the charge by the offender. Evidence of an entry of conviction of a criminal offense by the court shall be considered final for the purposes of disciplinary action by a member board of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credentials” </w:t>
      </w:r>
      <w:r>
        <w:rPr>
          <w:rFonts w:ascii="Times New Roman" w:hAnsi="Times New Roman"/>
          <w:b w:val="false"/>
          <w:i w:val="false"/>
          <w:color w:val="000000"/>
          <w:sz w:val="22"/>
        </w:rPr>
        <w:t>means those documents that demonstrate the applicant’s identity, medical training and practice history. “Core credentials” includes but is not limited to: medical school verification, medical school diploma, examination history, current ECFMG status report, fifth pathway certificate, and postgraduate training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“Criminal offense” </w:t>
      </w:r>
      <w:r>
        <w:rPr>
          <w:rFonts w:ascii="Times New Roman" w:hAnsi="Times New Roman"/>
          <w:b w:val="false"/>
          <w:i w:val="false"/>
          <w:color w:val="000000"/>
          <w:sz w:val="22"/>
        </w:rPr>
        <w:t xml:space="preserve">for the purposes of licensure through the IMLC means a felony, gross misdemeanor, or crime of moral turpitude.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active status” </w:t>
      </w:r>
      <w:r>
        <w:rPr>
          <w:rFonts w:ascii="Times New Roman" w:hAnsi="Times New Roman"/>
          <w:b w:val="false"/>
          <w:i w:val="false"/>
          <w:color w:val="000000"/>
          <w:sz w:val="22"/>
        </w:rPr>
        <w:t>means a license that is in effect and grants the privilege of practicing administrative medicine, medicine and surgery or osteopathic medicine and surgery,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“ECFMG” </w:t>
      </w:r>
      <w:r>
        <w:rPr>
          <w:rFonts w:ascii="Times New Roman" w:hAnsi="Times New Roman"/>
          <w:b w:val="false"/>
          <w:i w:val="false"/>
          <w:color w:val="000000"/>
          <w:sz w:val="22"/>
        </w:rPr>
        <w:t>means the Educational Commission for Foreign Medical Graduates, an organization that assesses the readiness of foreign medical school graduates to enter ACGME-approved graduate medical education programs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“Expedited license” </w:t>
      </w:r>
      <w:r>
        <w:rPr>
          <w:rFonts w:ascii="Times New Roman" w:hAnsi="Times New Roman"/>
          <w:b w:val="false"/>
          <w:i w:val="false"/>
          <w:color w:val="000000"/>
          <w:sz w:val="22"/>
        </w:rPr>
        <w:t>means a full and unrestricted medical license granted by a member state to an eligible physician through the process set forth in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“FCVS” </w:t>
      </w:r>
      <w:r>
        <w:rPr>
          <w:rFonts w:ascii="Times New Roman" w:hAnsi="Times New Roman"/>
          <w:b w:val="false"/>
          <w:i w:val="false"/>
          <w:color w:val="000000"/>
          <w:sz w:val="22"/>
        </w:rPr>
        <w:t>means the Federation Credentials Verification Service, a service under the Federation of State Medical Boards that verifies and stores core credentials for retrieval whenever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“FLEX” </w:t>
      </w:r>
      <w:r>
        <w:rPr>
          <w:rFonts w:ascii="Times New Roman" w:hAnsi="Times New Roman"/>
          <w:b w:val="false"/>
          <w:i w:val="false"/>
          <w:color w:val="000000"/>
          <w:sz w:val="22"/>
        </w:rPr>
        <w:t>means the Federation Licensing Examination, a licensure examination used in the past that was approved by the board for graduates with a medical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medical school,” </w:t>
      </w:r>
      <w:r>
        <w:rPr>
          <w:rFonts w:ascii="Times New Roman" w:hAnsi="Times New Roman"/>
          <w:b w:val="false"/>
          <w:i w:val="false"/>
          <w:color w:val="000000"/>
          <w:sz w:val="22"/>
        </w:rPr>
        <w:t>also known as an “international medical school,” means a medical school that is located outside of any United States jurisdiction or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“FSMB” </w:t>
      </w:r>
      <w:r>
        <w:rPr>
          <w:rFonts w:ascii="Times New Roman" w:hAnsi="Times New Roman"/>
          <w:b w:val="false"/>
          <w:i w:val="false"/>
          <w:color w:val="000000"/>
          <w:sz w:val="22"/>
        </w:rPr>
        <w:t>means the Federation of State Medical Boards, the organization of medical boards of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“IMLC” </w:t>
      </w:r>
      <w:r>
        <w:rPr>
          <w:rFonts w:ascii="Times New Roman" w:hAnsi="Times New Roman"/>
          <w:b w:val="false"/>
          <w:i w:val="false"/>
          <w:color w:val="000000"/>
          <w:sz w:val="22"/>
        </w:rPr>
        <w:t xml:space="preserve">means the Interstate Medical Licensure Compact enacted in Iowa Code chapter </w:t>
      </w:r>
      <w:hyperlink r:id="rId5">
        <w:r>
          <w:rPr>
            <w:rStyle w:val="Hyperlink"/>
            <w:rFonts w:ascii="Times New Roman" w:hAnsi="Times New Roman"/>
            <w:b w:val="false"/>
            <w:i w:val="false"/>
            <w:color w:val="000000"/>
            <w:sz w:val="22"/>
          </w:rPr>
          <w:t>147B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any license that is not in current, active status. A physician whose license is inactive continues to hold the privilege of licensure in Iowa but may not practice under an inactive Iowa license until the inactive license is reinstated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“Incidentally called into this state in consultation with a physician and surgeon licensed in this state” </w:t>
      </w:r>
      <w:r>
        <w:rPr>
          <w:rFonts w:ascii="Times New Roman" w:hAnsi="Times New Roman"/>
          <w:b w:val="false"/>
          <w:i w:val="false"/>
          <w:color w:val="000000"/>
          <w:sz w:val="22"/>
        </w:rPr>
        <w:t xml:space="preserve">as set forth in Iowa Code section </w:t>
      </w:r>
      <w:hyperlink r:id="rId6">
        <w:r>
          <w:rPr>
            <w:rStyle w:val="Hyperlink"/>
            <w:rFonts w:ascii="Times New Roman" w:hAnsi="Times New Roman"/>
            <w:b w:val="false"/>
            <w:i w:val="false"/>
            <w:color w:val="000000"/>
            <w:sz w:val="22"/>
          </w:rPr>
          <w:t>148.2(5)</w:t>
        </w:r>
      </w:hyperlink>
      <w:r>
        <w:rPr>
          <w:rFonts w:ascii="Times New Roman" w:hAnsi="Times New Roman"/>
          <w:b w:val="false"/>
          <w:i w:val="false"/>
          <w:color w:val="000000"/>
          <w:sz w:val="22"/>
        </w:rPr>
        <w:t xml:space="preserve"> means all of the following shall be true: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consulting physician shall be involved in the care of patients in Iowa only at the request of an Iowa-licensed physician.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consulting physician has a license in good standing in another United States jurisdiction.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consulting physician provides expertise and acts in an advisory capacity to an Iowa-licensed physician. The consulting physician may examine the patient and advise an Iowa-licensed physician as to the care that should be provided, but the consulting physician may not personally perform procedures, write orders, or prescribe for the patient.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consulting physician practices in Iowa for a period not greater than 10 consecutive days and not more than 20 total days in any calendar year. Any portion of a day counts as one day.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Iowa-licensed physician requesting the consultation retains the primary responsibility for the management of the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license” </w:t>
      </w:r>
      <w:r>
        <w:rPr>
          <w:rFonts w:ascii="Times New Roman" w:hAnsi="Times New Roman"/>
          <w:b w:val="false"/>
          <w:i w:val="false"/>
          <w:color w:val="000000"/>
          <w:sz w:val="22"/>
        </w:rPr>
        <w:t>means the first permanent or administrative medicine license granted to a qualified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“International medical school,” </w:t>
      </w:r>
      <w:r>
        <w:rPr>
          <w:rFonts w:ascii="Times New Roman" w:hAnsi="Times New Roman"/>
          <w:b w:val="false"/>
          <w:i w:val="false"/>
          <w:color w:val="000000"/>
          <w:sz w:val="22"/>
        </w:rPr>
        <w:t>also known as a “foreign medical school,” means a medical school that is located outside of any United States jurisdiction or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“Interstate commission” </w:t>
      </w:r>
      <w:r>
        <w:rPr>
          <w:rFonts w:ascii="Times New Roman" w:hAnsi="Times New Roman"/>
          <w:b w:val="false"/>
          <w:i w:val="false"/>
          <w:color w:val="000000"/>
          <w:sz w:val="22"/>
        </w:rPr>
        <w:t xml:space="preserve">means the interstate commission created pursuant to Iowa Code chapter </w:t>
      </w:r>
      <w:hyperlink r:id="rId7">
        <w:r>
          <w:rPr>
            <w:rStyle w:val="Hyperlink"/>
            <w:rFonts w:ascii="Times New Roman" w:hAnsi="Times New Roman"/>
            <w:b w:val="false"/>
            <w:i w:val="false"/>
            <w:color w:val="000000"/>
            <w:sz w:val="22"/>
          </w:rPr>
          <w:t>147B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“LCME” </w:t>
      </w:r>
      <w:r>
        <w:rPr>
          <w:rFonts w:ascii="Times New Roman" w:hAnsi="Times New Roman"/>
          <w:b w:val="false"/>
          <w:i w:val="false"/>
          <w:color w:val="000000"/>
          <w:sz w:val="22"/>
        </w:rPr>
        <w:t>means Liaison Committee on Medical Education, an organization that accredits educational institutions granting degrees in medicine and surgery. The board approves programs that are accredited by LCME.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“LMCC” </w:t>
      </w:r>
      <w:r>
        <w:rPr>
          <w:rFonts w:ascii="Times New Roman" w:hAnsi="Times New Roman"/>
          <w:b w:val="false"/>
          <w:i w:val="false"/>
          <w:color w:val="000000"/>
          <w:sz w:val="22"/>
        </w:rPr>
        <w:t>means enrollment in the Canadian Medical Register as Licentiate of Medical Council of Canada with a certificate of registration as proof. LMCC requires passing both parts of the Medical Council of Canada Qualifying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“MCCEE” </w:t>
      </w:r>
      <w:r>
        <w:rPr>
          <w:rFonts w:ascii="Times New Roman" w:hAnsi="Times New Roman"/>
          <w:b w:val="false"/>
          <w:i w:val="false"/>
          <w:color w:val="000000"/>
          <w:sz w:val="22"/>
        </w:rPr>
        <w:t>means the Medical Council of Canada Evaluating Examination, an examination administered in Canada to physicians who graduated from a medical school outside of the United States or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degree” </w:t>
      </w:r>
      <w:r>
        <w:rPr>
          <w:rFonts w:ascii="Times New Roman" w:hAnsi="Times New Roman"/>
          <w:b w:val="false"/>
          <w:i w:val="false"/>
          <w:color w:val="000000"/>
          <w:sz w:val="22"/>
        </w:rPr>
        <w:t>means a degree of doctor of medicine and surgery or osteopathic medicine and surgery or comparable education from a foreign medical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Practitioner Data Bank” </w:t>
      </w:r>
      <w:r>
        <w:rPr>
          <w:rFonts w:ascii="Times New Roman" w:hAnsi="Times New Roman"/>
          <w:b w:val="false"/>
          <w:i w:val="false"/>
          <w:color w:val="000000"/>
          <w:sz w:val="22"/>
        </w:rPr>
        <w:t>is a national data bank of disciplinary actions taken against health professionals, including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“NBME” </w:t>
      </w:r>
      <w:r>
        <w:rPr>
          <w:rFonts w:ascii="Times New Roman" w:hAnsi="Times New Roman"/>
          <w:b w:val="false"/>
          <w:i w:val="false"/>
          <w:color w:val="000000"/>
          <w:sz w:val="22"/>
        </w:rPr>
        <w:t>means the National Board of Medical Examiners, an organization that prepares and administers qualifying examinations, either independently or jointly with other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“NBOME” </w:t>
      </w:r>
      <w:r>
        <w:rPr>
          <w:rFonts w:ascii="Times New Roman" w:hAnsi="Times New Roman"/>
          <w:b w:val="false"/>
          <w:i w:val="false"/>
          <w:color w:val="000000"/>
          <w:sz w:val="22"/>
        </w:rPr>
        <w:t>means the National Board of Osteopathic Medical Examiners, an organization that prepares and administers qualifying examinations for osteopathic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“Observer” </w:t>
      </w:r>
      <w:r>
        <w:rPr>
          <w:rFonts w:ascii="Times New Roman" w:hAnsi="Times New Roman"/>
          <w:b w:val="false"/>
          <w:i w:val="false"/>
          <w:color w:val="000000"/>
          <w:sz w:val="22"/>
        </w:rPr>
        <w:t xml:space="preserve">means a person who is not enrolled in an LCME- or COCA-accredited medical school or osteopathic medical school, who observes care to patients in Iowa for a defined period of time and for a noncredit experience, and who is supervised and accompanied by an Iowa-licensed physician as defined in </w:t>
      </w:r>
      <w:hyperlink r:id="rId8">
        <w:r>
          <w:rPr>
            <w:rStyle w:val="Hyperlink"/>
            <w:rFonts w:ascii="Times New Roman" w:hAnsi="Times New Roman"/>
            <w:b w:val="false"/>
            <w:i w:val="false"/>
            <w:color w:val="000000"/>
            <w:sz w:val="22"/>
          </w:rPr>
          <w:t>9.2(3)</w:t>
        </w:r>
      </w:hyperlink>
      <w:r>
        <w:rPr>
          <w:rFonts w:ascii="Times New Roman" w:hAnsi="Times New Roman"/>
          <w:b w:val="false"/>
          <w:i w:val="false"/>
          <w:color w:val="000000"/>
          <w:sz w:val="22"/>
        </w:rPr>
        <w:t>. An observer shall not provide or direct hands-on patient care, regardless of the observer’s level of training or supervision. The supervising physician may authorize an observer to read a chart, observe a patient interview or examination, or witness procedures, including surgery. An observer shall not chart; touch a patient as part of an examination; conduct an interview; order, prescribe or administer medications; make decisions that affect patient care; direct others in providing patient care; or conduct procedures, including surgery. Any of these activities requires licensure to practice in Iowa. An unlicensed physician observer or a medical student observer who is not enrolled in an LCME- or COCA-accredited medical school may touch a patient to verify a physical finding in the immediate presence of a physician but shall not conduct a more inclusive physical examination.</w:t>
      </w:r>
    </w:p>
    <w:p>
      <w:pPr>
        <w:spacing w:before="0" w:after="0"/>
        <w:ind w:left="120"/>
        <w:jc w:val="both"/>
      </w:pPr>
      <w:r>
        <w:rPr>
          <w:rFonts w:ascii="Times New Roman" w:hAnsi="Times New Roman"/>
          <w:b w:val="false"/>
          <w:i w:val="false"/>
          <w:color w:val="000000"/>
          <w:sz w:val="22"/>
        </w:rPr>
        <w:t>An unlicensed physician observer may: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Participate in discussions regarding the care of individual patients, including offering suggestions about diagnosis or treatment, provided the unlicensed physician observer does not direct the care;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Elicit information from a patient provided the unlicensed physician observer does not actually perform a physical examination or otherwise touch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licensure” </w:t>
      </w:r>
      <w:r>
        <w:rPr>
          <w:rFonts w:ascii="Times New Roman" w:hAnsi="Times New Roman"/>
          <w:b w:val="false"/>
          <w:i w:val="false"/>
          <w:color w:val="000000"/>
          <w:sz w:val="22"/>
        </w:rPr>
        <w:t>means licensure granted after review of the application and core credentials to determine that the individual is qualified to enter into clinical practice. The individual may only practice when the license is in current,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w:t>
      </w:r>
      <w:r>
        <w:rPr>
          <w:rFonts w:ascii="Times New Roman" w:hAnsi="Times New Roman"/>
          <w:b w:val="false"/>
          <w:i w:val="false"/>
          <w:color w:val="000000"/>
          <w:sz w:val="22"/>
        </w:rPr>
        <w:t>means the practice of medicine and surgery or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source verification”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Verification of the authenticity of documents with the original source that issued the document.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Original source verification by another jurisdiction’s physician licensing organization.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Original source verification by the FSMB’s Federation Credentials Verification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“RCPSC” </w:t>
      </w:r>
      <w:r>
        <w:rPr>
          <w:rFonts w:ascii="Times New Roman" w:hAnsi="Times New Roman"/>
          <w:b w:val="false"/>
          <w:i w:val="false"/>
          <w:color w:val="000000"/>
          <w:sz w:val="22"/>
        </w:rPr>
        <w:t>means the Royal College of Physicians and Surgeons of Canada, an organization that accredits graduate medical education in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means the process for returning an inactive license to current,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“Relinquishment” </w:t>
      </w:r>
      <w:r>
        <w:rPr>
          <w:rFonts w:ascii="Times New Roman" w:hAnsi="Times New Roman"/>
          <w:b w:val="false"/>
          <w:i w:val="false"/>
          <w:color w:val="000000"/>
          <w:sz w:val="22"/>
        </w:rPr>
        <w:t>means that a person’s permanent license to practice medicine and surgery, osteopathic medicine and surgery, or administrative medicine is deemed abandoned if the person fails to renew or reinstate the license within five years after its expiration. A license that has been relinquished is no longer valid or renewable. Relinquishment is not disciplinary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physician” </w:t>
      </w:r>
      <w:r>
        <w:rPr>
          <w:rFonts w:ascii="Times New Roman" w:hAnsi="Times New Roman"/>
          <w:b w:val="false"/>
          <w:i w:val="false"/>
          <w:color w:val="000000"/>
          <w:sz w:val="22"/>
        </w:rPr>
        <w:t>means a physician enrolled in an internship, residency or fellowship.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training program” </w:t>
      </w:r>
      <w:r>
        <w:rPr>
          <w:rFonts w:ascii="Times New Roman" w:hAnsi="Times New Roman"/>
          <w:b w:val="false"/>
          <w:i w:val="false"/>
          <w:color w:val="000000"/>
          <w:sz w:val="22"/>
        </w:rPr>
        <w:t>means a hospital-affiliated graduate medical education program that enrolls interns, residents or fellows and may be referred to as a postgraduate training program for purposes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charge” </w:t>
      </w:r>
      <w:r>
        <w:rPr>
          <w:rFonts w:ascii="Times New Roman" w:hAnsi="Times New Roman"/>
          <w:b w:val="false"/>
          <w:i w:val="false"/>
          <w:color w:val="000000"/>
          <w:sz w:val="22"/>
        </w:rPr>
        <w:t>means the amount charged for making a service available on line and is in addition to the actual fee for a service itself. For example, one who renews a license on line will pay the license renewal fee and a service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“SPEX” </w:t>
      </w:r>
      <w:r>
        <w:rPr>
          <w:rFonts w:ascii="Times New Roman" w:hAnsi="Times New Roman"/>
          <w:b w:val="false"/>
          <w:i w:val="false"/>
          <w:color w:val="000000"/>
          <w:sz w:val="22"/>
        </w:rPr>
        <w:t>means Special Licensure Examination prepared by the Federation of State Medical Boards and administered by a licensing authority in any jurisdiction. The passing score on SPEX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“Terminated license” </w:t>
      </w:r>
      <w:r>
        <w:rPr>
          <w:rFonts w:ascii="Times New Roman" w:hAnsi="Times New Roman"/>
          <w:b w:val="false"/>
          <w:i w:val="false"/>
          <w:color w:val="000000"/>
          <w:sz w:val="22"/>
        </w:rPr>
        <w:t>means a a nondisciplinary process by which an Iowa license issued through the Interstate Medical Licensure Compact is no longer eligible for renewal. A compact license is terminated when a licensee no longer meets the IMLC qualifications. A terminated IMLC license may not be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chronic pain management” </w:t>
      </w:r>
      <w:r>
        <w:rPr>
          <w:rFonts w:ascii="Times New Roman" w:hAnsi="Times New Roman"/>
          <w:b w:val="false"/>
          <w:i w:val="false"/>
          <w:color w:val="000000"/>
          <w:sz w:val="22"/>
        </w:rPr>
        <w:t xml:space="preserve">means required training on chronic pain management identified in </w:t>
      </w:r>
      <w:hyperlink r:id="rId9">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end-of-life care” </w:t>
      </w:r>
      <w:r>
        <w:rPr>
          <w:rFonts w:ascii="Times New Roman" w:hAnsi="Times New Roman"/>
          <w:b w:val="false"/>
          <w:i w:val="false"/>
          <w:color w:val="000000"/>
          <w:sz w:val="22"/>
        </w:rPr>
        <w:t xml:space="preserve">means required training on end-of-life care identified in </w:t>
      </w:r>
      <w:hyperlink r:id="rId10">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identifying and reporting abuse” </w:t>
      </w:r>
      <w:r>
        <w:rPr>
          <w:rFonts w:ascii="Times New Roman" w:hAnsi="Times New Roman"/>
          <w:b w:val="false"/>
          <w:i w:val="false"/>
          <w:color w:val="000000"/>
          <w:sz w:val="22"/>
        </w:rPr>
        <w:t xml:space="preserve">means training on identifying and reporting child abuse or dependent adult abuse required of physicians who regularly provide primary health care to children or adults, respectively, as specified in </w:t>
      </w:r>
      <w:hyperlink r:id="rId11">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 xml:space="preserve">. The full requirements on mandatory reporting of child abuse and the training requirements are found in Iowa Code section </w:t>
      </w:r>
      <w:hyperlink r:id="rId1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on mandatory reporting of dependent adult abuse and the training requirements are found in Iowa Code section </w:t>
      </w:r>
      <w:hyperlink r:id="rId13">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“Uniform application for physician state licensure” </w:t>
      </w:r>
      <w:r>
        <w:rPr>
          <w:rFonts w:ascii="Times New Roman" w:hAnsi="Times New Roman"/>
          <w:b w:val="false"/>
          <w:i w:val="false"/>
          <w:color w:val="000000"/>
          <w:sz w:val="22"/>
        </w:rPr>
        <w:t>means a web-based application that is intended to standardize and simplify the licensure application process for state medical licensure. The Federation of State Medical Boards created and maintains the application. This application is used for all license types issued by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“USMLE” </w:t>
      </w:r>
      <w:r>
        <w:rPr>
          <w:rFonts w:ascii="Times New Roman" w:hAnsi="Times New Roman"/>
          <w:b w:val="false"/>
          <w:i w:val="false"/>
          <w:color w:val="000000"/>
          <w:sz w:val="22"/>
        </w:rPr>
        <w:t>means the United States Medical Licensing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0215C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2346C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2524C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3587C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653—9.2</w:t>
      </w:r>
      <w:r>
        <w:rPr>
          <w:rFonts w:ascii="Times New Roman" w:hAnsi="Times New Roman"/>
          <w:b/>
          <w:i w:val="false"/>
          <w:color w:val="000000"/>
          <w:sz w:val="22"/>
        </w:rPr>
        <w:t xml:space="preserve">(147,148) </w:t>
      </w:r>
      <w:r>
        <w:rPr>
          <w:rFonts w:ascii="Times New Roman" w:hAnsi="Times New Roman"/>
          <w:b/>
          <w:i w:val="false"/>
          <w:color w:val="000000"/>
          <w:sz w:val="22"/>
        </w:rPr>
        <w:t xml:space="preserve">General licensure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Licensure required. </w:t>
      </w:r>
      <w:r>
        <w:rPr>
          <w:rFonts w:ascii="Times New Roman" w:hAnsi="Times New Roman"/>
          <w:b w:val="false"/>
          <w:i w:val="false"/>
          <w:color w:val="000000"/>
          <w:sz w:val="22"/>
        </w:rPr>
        <w:t xml:space="preserve">Licensure is required for practice in Iowa as identified in Iowa Code section </w:t>
      </w:r>
      <w:hyperlink r:id="rId14">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 xml:space="preserve">; the exceptions are identified in subrule </w:t>
      </w:r>
      <w:hyperlink r:id="rId15">
        <w:r>
          <w:rPr>
            <w:rStyle w:val="Hyperlink"/>
            <w:rFonts w:ascii="Times New Roman" w:hAnsi="Times New Roman"/>
            <w:b w:val="false"/>
            <w:i w:val="false"/>
            <w:color w:val="000000"/>
            <w:sz w:val="22"/>
          </w:rPr>
          <w:t>9.2(2)</w:t>
        </w:r>
      </w:hyperlink>
      <w:r>
        <w:rPr>
          <w:rFonts w:ascii="Times New Roman" w:hAnsi="Times New Roman"/>
          <w:b w:val="false"/>
          <w:i w:val="false"/>
          <w:color w:val="000000"/>
          <w:sz w:val="22"/>
        </w:rPr>
        <w:t xml:space="preserve">. Provisions for permanent physician licensure, licensure through the IMLC, and administrative medicine licensure are found in this chapter; provisions for resident, special and temporary physician licensure are found in </w:t>
      </w:r>
      <w:hyperlink r:id="rId16">
        <w:r>
          <w:rPr>
            <w:rStyle w:val="Hyperlink"/>
            <w:rFonts w:ascii="Times New Roman" w:hAnsi="Times New Roman"/>
            <w:b w:val="false"/>
            <w:i w:val="false"/>
            <w:color w:val="000000"/>
            <w:sz w:val="22"/>
          </w:rPr>
          <w:t>653—Chapter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Licensure not required. </w:t>
      </w:r>
      <w:r>
        <w:rPr>
          <w:rFonts w:ascii="Times New Roman" w:hAnsi="Times New Roman"/>
          <w:b w:val="false"/>
          <w:i w:val="false"/>
          <w:color w:val="000000"/>
          <w:sz w:val="22"/>
        </w:rPr>
        <w:t>The following persons are not required to obtain a license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persons described in Iowa Code sections </w:t>
      </w:r>
      <w:hyperlink r:id="rId17">
        <w:r>
          <w:rPr>
            <w:rStyle w:val="Hyperlink"/>
            <w:rFonts w:ascii="Times New Roman" w:hAnsi="Times New Roman"/>
            <w:b w:val="false"/>
            <w:i w:val="false"/>
            <w:color w:val="000000"/>
            <w:sz w:val="22"/>
          </w:rPr>
          <w:t>148.2(1) to 148.2(5)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medical student or osteopathic medical student in an international medical school may not take on the role of a medical student in the patient care setting unless the student is enrolled in the University of Iowa’s Carver College of Medicine or in Des Moines University’s College of Osteopathic Medicine; however, an international medical student not enrolled at either of these institutions may be an observer as defined in rule </w:t>
      </w:r>
      <w:hyperlink r:id="rId18">
        <w:r>
          <w:rPr>
            <w:rStyle w:val="Hyperlink"/>
            <w:rFonts w:ascii="Times New Roman" w:hAnsi="Times New Roman"/>
            <w:b w:val="false"/>
            <w:i w:val="false"/>
            <w:color w:val="000000"/>
            <w:sz w:val="22"/>
          </w:rPr>
          <w:t>653—9.1</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graduate of an international medical school shall not practice medicine without an Iowa medical license; however, the graduate may be an observer as defined in rule </w:t>
      </w:r>
      <w:hyperlink r:id="rId19">
        <w:r>
          <w:rPr>
            <w:rStyle w:val="Hyperlink"/>
            <w:rFonts w:ascii="Times New Roman" w:hAnsi="Times New Roman"/>
            <w:b w:val="false"/>
            <w:i w:val="false"/>
            <w:color w:val="000000"/>
            <w:sz w:val="22"/>
          </w:rPr>
          <w:t>653—9.1</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persons who are incidentally called into this state in consultation with a physician or surgeon licensed in this state as described in Iowa Code section </w:t>
      </w:r>
      <w:hyperlink r:id="rId20">
        <w:r>
          <w:rPr>
            <w:rStyle w:val="Hyperlink"/>
            <w:rFonts w:ascii="Times New Roman" w:hAnsi="Times New Roman"/>
            <w:b w:val="false"/>
            <w:i w:val="false"/>
            <w:color w:val="000000"/>
            <w:sz w:val="22"/>
          </w:rPr>
          <w:t>148.2(5)</w:t>
        </w:r>
      </w:hyperlink>
      <w:r>
        <w:rPr>
          <w:rFonts w:ascii="Times New Roman" w:hAnsi="Times New Roman"/>
          <w:b w:val="false"/>
          <w:i w:val="false"/>
          <w:color w:val="000000"/>
          <w:sz w:val="22"/>
        </w:rPr>
        <w:t xml:space="preserve"> and as defined in rule </w:t>
      </w:r>
      <w:hyperlink r:id="rId21">
        <w:r>
          <w:rPr>
            <w:rStyle w:val="Hyperlink"/>
            <w:rFonts w:ascii="Times New Roman" w:hAnsi="Times New Roman"/>
            <w:b w:val="false"/>
            <w:i w:val="false"/>
            <w:color w:val="000000"/>
            <w:sz w:val="22"/>
          </w:rPr>
          <w:t>653—9.1</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Physicians and surgeons who hold a current, active license in good standing in another United States jurisdiction and who come into Iowa on a temporary basis to aid disaster victims at the time of a disaster in accordance with Iowa Code section </w:t>
      </w:r>
      <w:hyperlink r:id="rId22">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who hold a current, active license in good standing in another United States jurisdiction and who come to Iowa to participate in further medical education may participate in patient care under the request and supervision of the patient’s Iowa-licensed physician in charge of the education. The Iowa-licensed physician shall retain the primary responsibility for management of the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who hold a current, active license in good standing in another United States jurisdiction and who come into Iowa to serve as expert witnesses as long as they do not provide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from out of state who hold a current, active license in good standing in another United States jurisdiction and who accompany one or more individuals into Iowa for the purpose of providing medical care to these individuals on a short-term basis, e.g., a team physician for an out-of-state college football team that comes into Iowa for a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who come to Iowa to observe patient care and who do not provide or direct hands-on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Visiting resident physicians who come to Iowa to practice as part of their resident training program if under the supervision of an Iowa-licensed physician. An Iowa physician license is not required of a physician in training if the physician has a resident or permanent license in good standing in the home state of the resident training program. An Iowa temporary license is required of a physician in training if the physician does not hold a resident or permanent physician license in good standing in the home state of the resident training program (see rule </w:t>
      </w:r>
      <w:hyperlink r:id="rId23">
        <w:r>
          <w:rPr>
            <w:rStyle w:val="Hyperlink"/>
            <w:rFonts w:ascii="Times New Roman" w:hAnsi="Times New Roman"/>
            <w:b w:val="false"/>
            <w:i w:val="false"/>
            <w:color w:val="000000"/>
            <w:sz w:val="22"/>
          </w:rPr>
          <w:t>653—10.5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Supervision of an observer. </w:t>
      </w:r>
      <w:r>
        <w:rPr>
          <w:rFonts w:ascii="Times New Roman" w:hAnsi="Times New Roman"/>
          <w:b w:val="false"/>
          <w:i w:val="false"/>
          <w:color w:val="000000"/>
          <w:sz w:val="22"/>
        </w:rPr>
        <w:t xml:space="preserve">An Iowa-licensed physician who supervises an observer shall accompany the observer and solicit consent from each patient, where feasible, for the observation. The physician shall inform the patient of the observer’s background, e.g., high school student considering a medical career, a medical graduate who is working on licensure. The supervising physician shall ensure that the observer remains within the scope of an observer as defined in rule </w:t>
      </w:r>
      <w:hyperlink r:id="rId24">
        <w:r>
          <w:rPr>
            <w:rStyle w:val="Hyperlink"/>
            <w:rFonts w:ascii="Times New Roman" w:hAnsi="Times New Roman"/>
            <w:b w:val="false"/>
            <w:i w:val="false"/>
            <w:color w:val="000000"/>
            <w:sz w:val="22"/>
          </w:rPr>
          <w:t>653—9.1</w:t>
        </w:r>
      </w:hyperlink>
      <w:r>
        <w:rPr>
          <w:rFonts w:ascii="Times New Roman" w:hAnsi="Times New Roman"/>
          <w:b w:val="false"/>
          <w:i w:val="false"/>
          <w:color w:val="000000"/>
          <w:sz w:val="22"/>
        </w:rPr>
        <w:t>(147,148).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0215C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3587C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653—9.3</w:t>
      </w:r>
      <w:r>
        <w:rPr>
          <w:rFonts w:ascii="Times New Roman" w:hAnsi="Times New Roman"/>
          <w:b/>
          <w:i w:val="false"/>
          <w:color w:val="000000"/>
          <w:sz w:val="22"/>
        </w:rPr>
        <w:t xml:space="preserve">(147,148) </w:t>
      </w:r>
      <w:r>
        <w:rPr>
          <w:rFonts w:ascii="Times New Roman" w:hAnsi="Times New Roman"/>
          <w:b/>
          <w:i w:val="false"/>
          <w:color w:val="000000"/>
          <w:sz w:val="22"/>
        </w:rPr>
        <w:t xml:space="preserve">Eligibility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be eligible for permanent or administrative medicine licensure,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rule </w:t>
      </w:r>
      <w:hyperlink r:id="rId25">
        <w:r>
          <w:rPr>
            <w:rStyle w:val="Hyperlink"/>
            <w:rFonts w:ascii="Times New Roman" w:hAnsi="Times New Roman"/>
            <w:b w:val="false"/>
            <w:i w:val="false"/>
            <w:color w:val="000000"/>
            <w:sz w:val="22"/>
          </w:rPr>
          <w:t>653—9.4</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 medical degree from an educational institution approved by the board at the time the applicant graduated and was awarded the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institutions approved by the board shall be fully accredited by an accrediting agency recognized by the board as schools of instruction in medicine and surgery or osteopathic medicine and surgery and empowered to grant academic degrees in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accrediting bodies currently recognized by the board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LCME for the educational institutions granting degrees in medicine and surgery;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AOA for educational institutions granting degrees in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holds a medical degree from an educational institution not approved by the board at the time the applicant graduated and was awarded the degree, the applicant shall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 a valid certificate issued by ECFMG;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Pass the MCCEE;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a fifth pathway program established in accordance with AMA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successfully passed either a basic science examination administered by a United States or Canadian medical licensing authority or SPEX; and have successfully completed three years of resident training in a program approved by the board; and have submitted evidence of five years of active practice without restriction as a licensee of any United States or Canadian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successfully passed either a basic science examination administered by a United States or Canadian medical licensing authority or SPEX; and hold board certification by a specialty board approved by ABMS or AOA; and submit evidence of five years of active practice without restriction as a licensee of any United States or Canadian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one year of resident training in a hospital-affiliated program approved by the board at the time the applicant was enrolled in the program. An applicant who is a graduate of an international medical school shall have successfully completed 24 months of such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those required to have 12 months of training, the program shall have been 12 months of progressive training in not more than two specialties and in not more than two programs approved for resident training by the board. For those required to have 24 months of training, the program shall have been 24 continuous months of progressive training in not more than two specialties and in not more than two programs approved for resident training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Resident training approved by the board shall be accredited by an accrediting agency recognized by the board for the purpose of accrediting resident training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approves resident training programs accredited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ACGME;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AOA;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RCPSC;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CFPC.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accept resident training that is not accredited as specified in </w:t>
      </w:r>
      <w:hyperlink r:id="rId26">
        <w:r>
          <w:rPr>
            <w:rStyle w:val="Hyperlink"/>
            <w:rFonts w:ascii="Times New Roman" w:hAnsi="Times New Roman"/>
            <w:b w:val="false"/>
            <w:i w:val="false"/>
            <w:color w:val="000000"/>
            <w:sz w:val="22"/>
          </w:rPr>
          <w:t>subparagraph 9.3(1)</w:t>
        </w:r>
      </w:hyperlink>
      <w:r>
        <w:rPr>
          <w:rFonts w:ascii="Times New Roman" w:hAnsi="Times New Roman"/>
          <w:b w:val="false"/>
          <w:i/>
          <w:color w:val="000000"/>
          <w:sz w:val="22"/>
        </w:rPr>
        <w:t>“c”</w:t>
      </w:r>
      <w:r>
        <w:rPr>
          <w:rFonts w:ascii="Times New Roman" w:hAnsi="Times New Roman"/>
          <w:b w:val="false"/>
          <w:i w:val="false"/>
          <w:color w:val="000000"/>
          <w:sz w:val="22"/>
        </w:rPr>
        <w:t>(3) on a case-by-case basis. In making this determination, the board may consider any relevant factors,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length of time the program has been in existence;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location of the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institution or organization that administers the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reason that the program is not accredited;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Whether the program is accredited or recognized by any agency other than those listed in </w:t>
      </w:r>
      <w:hyperlink r:id="rId27">
        <w:r>
          <w:rPr>
            <w:rStyle w:val="Hyperlink"/>
            <w:rFonts w:ascii="Times New Roman" w:hAnsi="Times New Roman"/>
            <w:b w:val="false"/>
            <w:i w:val="false"/>
            <w:color w:val="000000"/>
            <w:sz w:val="22"/>
          </w:rPr>
          <w:t>subparagraph 9.3(1)</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board shall accept each 12 months of practice as a special licensee as equivalent to one year of resident training in a hospital-affiliated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accept a current, active ABMS or AOA board certification obtained through an alternate pathway as equivalent to resident training in a hospital-affiliated program approved by the board. The alternate pathway must be a minimum of 24 months completed at an institution with a program approved by the board as specified in </w:t>
      </w:r>
      <w:hyperlink r:id="rId28">
        <w:r>
          <w:rPr>
            <w:rStyle w:val="Hyperlink"/>
            <w:rFonts w:ascii="Times New Roman" w:hAnsi="Times New Roman"/>
            <w:b w:val="false"/>
            <w:i w:val="false"/>
            <w:color w:val="000000"/>
            <w:sz w:val="22"/>
          </w:rPr>
          <w:t>subparagraph 9.3(1)</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Pass one of the licensure examinations or combinations as prescribed in rule </w:t>
      </w:r>
      <w:hyperlink r:id="rId29">
        <w:r>
          <w:rPr>
            <w:rStyle w:val="Hyperlink"/>
            <w:rFonts w:ascii="Times New Roman" w:hAnsi="Times New Roman"/>
            <w:b w:val="false"/>
            <w:i w:val="false"/>
            <w:color w:val="000000"/>
            <w:sz w:val="22"/>
          </w:rPr>
          <w:t>653—9.7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Exceptions to the 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military service applicant or a veteran may apply for credit for verified military education, training, or service toward any experience or educational requirement for permanent licensure under this subrule or may be eligible for permanent licensure through reciprocity as specified in </w:t>
      </w:r>
      <w:hyperlink r:id="rId30">
        <w:r>
          <w:rPr>
            <w:rStyle w:val="Hyperlink"/>
            <w:rFonts w:ascii="Times New Roman" w:hAnsi="Times New Roman"/>
            <w:b w:val="false"/>
            <w:i w:val="false"/>
            <w:color w:val="000000"/>
            <w:sz w:val="22"/>
          </w:rPr>
          <w:t>653—Chapter 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who holds a valid Letter of Qualification asserting eligibility for licensure through the IMLC is eligible for a permanent Iowa medical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color w:val="000000"/>
          <w:sz w:val="22"/>
        </w:rPr>
        <w:t xml:space="preserve">Use of criminal convictions in eligibility determinations and initial licensing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 xml:space="preserve">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licensed profession, or (2) the circumstances under which an offense was committed are circumstances customary to a licensed profession.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 xml:space="preserve">Unless an applicant for licensure petitions the board for an eligibility determination pursuant to </w:t>
      </w:r>
      <w:hyperlink r:id="rId31">
        <w:r>
          <w:rPr>
            <w:rStyle w:val="Hyperlink"/>
            <w:rFonts w:ascii="Times New Roman" w:hAnsi="Times New Roman"/>
            <w:b w:val="false"/>
            <w:i w:val="false"/>
            <w:color w:val="000000"/>
            <w:sz w:val="22"/>
          </w:rPr>
          <w:t>paragraph 9.3(3)</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disclose all convictions on a license application. Failure to disclose all convictions is grounds for license denial or disciplinary action following license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with one or more convictions shall submit the complete criminal record for each conviction and a personal statement regarding whether each conviction directly relates to the practice of the profession in order for the license application to be considered complete.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submit as part of the license application all evidence of rehabilitation that the applicant wishes to be considered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32">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who has not yet submitted a completed license application may petition the board for a determination of whether one or more of the individual’s convictions are disqualifying offenses that would render the individual ineligible for licensure. An individual with a conviction is not required to petition the board for an eligibility determination prior to applying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petition the board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complete criminal record for each of the petitioner’s convictions;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board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petitioner deemed ineligible or an applicant denied a license because of a disqualifying offense may appeal the decision in the manner and time frame set forth in the board’s written decision. A timely appeal will initiate a nondisciplinary contested case proceeding. The board’s rules governing contested case proceedings will apply unless otherwise specified in this rule. If the petitioner fails to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will serve as the presiding officer of the nondisciplinary contested case proceeding, unless the board elects to serve as the presiding officer. When an administrative law judge serves as the presiding officer, the decision rendered shall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contested case hearing shall be closed to the public, and the board’s review of a proposed decision shall occur in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office of the attorney general shall represent the board’s initial ineligibility determination or license denial and shall have the burden of proof to establish that the petitioner or applicant’s convictions include at least one disqualifying offense. Upon satisfaction of this burden by a preponderance of the evidence by the office of the attorney general, the burden of proof shall shift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or applicant must appeal an ineligibility determination or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shall be in accordance with Iowa Code chapter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0215C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2524C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3587C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 xml:space="preserve">; </w:t>
      </w:r>
      <w:r>
        <w:rPr>
          <w:rFonts w:ascii="Times New Roman" w:hAnsi="Times New Roman"/>
          <w:b/>
          <w:i w:val="false"/>
          <w:color w:val="000000"/>
          <w:sz w:val="16"/>
        </w:rPr>
        <w:t>ARC 5749C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6682C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653—9.4</w:t>
      </w:r>
      <w:r>
        <w:rPr>
          <w:rFonts w:ascii="Times New Roman" w:hAnsi="Times New Roman"/>
          <w:b/>
          <w:i w:val="false"/>
          <w:color w:val="000000"/>
          <w:sz w:val="22"/>
        </w:rPr>
        <w:t xml:space="preserve">(147,148) </w:t>
      </w:r>
      <w:r>
        <w:rPr>
          <w:rFonts w:ascii="Times New Roman" w:hAnsi="Times New Roman"/>
          <w:b/>
          <w:i w:val="false"/>
          <w:color w:val="000000"/>
          <w:sz w:val="22"/>
        </w:rPr>
        <w:t xml:space="preserve">Licensure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licensure,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initial application fee and fee for the evaluation of the fingerprint packet and the criminal history background checks by the Iowa division of criminal investigation (DCI) and the Federal Bureau of Investigation (FBI) as specified in </w:t>
      </w:r>
      <w:hyperlink r:id="rId34">
        <w:r>
          <w:rPr>
            <w:rStyle w:val="Hyperlink"/>
            <w:rFonts w:ascii="Times New Roman" w:hAnsi="Times New Roman"/>
            <w:b w:val="false"/>
            <w:i w:val="false"/>
            <w:color w:val="000000"/>
            <w:sz w:val="22"/>
          </w:rPr>
          <w:t>653—paragraph 8.4(1)</w:t>
        </w:r>
        <w:r>
          <w:rPr>
            <w:rFonts w:ascii="Times New Roman" w:hAnsi="Times New Roman"/>
            <w:b w:val="false"/>
            <w:i/>
            <w:color w:val="000000"/>
            <w:sz w:val="22"/>
          </w:rPr>
          <w:t>“a”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core credentials, documents, a completed fingerprint packet, and a sworn statement by the applicant attesting to the truth of all information provided by the applicant, which has been signed by the applicant in the physical presence (in the same room) of a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Pass one of the examinations as prescribed in rule </w:t>
      </w:r>
      <w:hyperlink r:id="rId35">
        <w:r>
          <w:rPr>
            <w:rStyle w:val="Hyperlink"/>
            <w:rFonts w:ascii="Times New Roman" w:hAnsi="Times New Roman"/>
            <w:b w:val="false"/>
            <w:i w:val="false"/>
            <w:color w:val="000000"/>
            <w:sz w:val="22"/>
          </w:rPr>
          <w:t>653—9.7</w:t>
        </w:r>
      </w:hyperlink>
      <w:r>
        <w:rPr>
          <w:rFonts w:ascii="Times New Roman" w:hAnsi="Times New Roman"/>
          <w:b w:val="false"/>
          <w:i w:val="false"/>
          <w:color w:val="000000"/>
          <w:sz w:val="22"/>
        </w:rPr>
        <w:t>(147,148) and authorize the testing authority to verify scores.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photograph of the applicant suitable for positive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statement of scores on any licensure examination required in rule </w:t>
      </w:r>
      <w:hyperlink r:id="rId36">
        <w:r>
          <w:rPr>
            <w:rStyle w:val="Hyperlink"/>
            <w:rFonts w:ascii="Times New Roman" w:hAnsi="Times New Roman"/>
            <w:b w:val="false"/>
            <w:i w:val="false"/>
            <w:color w:val="000000"/>
            <w:sz w:val="22"/>
          </w:rPr>
          <w:t>653—9.7</w:t>
        </w:r>
      </w:hyperlink>
      <w:r>
        <w:rPr>
          <w:rFonts w:ascii="Times New Roman" w:hAnsi="Times New Roman"/>
          <w:b w:val="false"/>
          <w:i w:val="false"/>
          <w:color w:val="000000"/>
          <w:sz w:val="22"/>
        </w:rPr>
        <w:t>(147,148) that the applicant has taken in any jurisdiction.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 translation of any diploma not written in English shall be submitted. An official transcript, written in English and received directly from the school, showing graduation from medical school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copy of the medical degree cannot be provided because of extraordinary circumstances, the board may accept other reliable evidence that the applicant obtained a medical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sworn statement from an official of the educational institution certifying the date the applicant received the medical degree and acknowledging what, if any, derogatory comments exist in the institution’s record about the applicant. If a sworn statement from an official of the educational institution cannot be provided because of extraordinary circumstances, the board may accept other reliable evidence that the applicant obtained a medical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official transcript, or its equivalent, received directly from the school for every medical school attended if requested by the board. A complete translation of any transcript not written in English shall be submitted if requested by the board.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educational institution awarding the applicant the degree has not been approved by the board, the applicant shall provide a current ECFMG status report or evidence of successful completion of a fifth pathway program in accordance with criteria established by AMA.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successful completion of resident training approved by the board as specified in paragraph </w:t>
      </w:r>
      <w:hyperlink r:id="rId37">
        <w:r>
          <w:rPr>
            <w:rStyle w:val="Hyperlink"/>
            <w:rFonts w:ascii="Times New Roman" w:hAnsi="Times New Roman"/>
            <w:b w:val="false"/>
            <w:i w:val="false"/>
            <w:color w:val="000000"/>
            <w:sz w:val="22"/>
          </w:rPr>
          <w:t>9.3(1)</w:t>
        </w:r>
        <w:r>
          <w:rPr>
            <w:rFonts w:ascii="Times New Roman" w:hAnsi="Times New Roman"/>
            <w:b w:val="false"/>
            <w:i/>
            <w:color w:val="000000"/>
            <w:sz w:val="22"/>
          </w:rPr>
          <w:t>“c.”</w:t>
        </w:r>
      </w:hyperlink>
      <w:r>
        <w:rPr>
          <w:rFonts w:ascii="Times New Roman" w:hAnsi="Times New Roman"/>
          <w:b w:val="false"/>
          <w:i w:val="false"/>
          <w:color w:val="000000"/>
          <w:sz w:val="22"/>
        </w:rPr>
        <w:t xml:space="preserve">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warnings issued, investigations conducted, or disciplinary actions taken, whether by voluntary agreement or formal action, by a medical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statement of the applicant’s physical and mental health, including full disclosure and a written explanation of any dysfunction or impairment which may affect the ability of the applicant to engage in practice and provide patients with safe and healthful care. Copies of evaluations, verification of medical condition from treating physicians, or other documentation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to have the conviction or plea set aside is pending.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0215C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1187C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2524C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3587C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653—9.5</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seek licensure by verification if the person is currently licensed as a physician in at least one other jurisdiction that has a scope of practice substantially similar to that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licensing authority in the jurisdiction that issued the applicant’s license, verifying that the applicant’s license in that jurisdiction complies with the requirements of Iowa Code section </w:t>
      </w:r>
      <w:hyperlink r:id="rId38">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must be sent directly from the licensing authority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an examination as required by rule </w:t>
      </w:r>
      <w:hyperlink r:id="rId39">
        <w:r>
          <w:rPr>
            <w:rStyle w:val="Hyperlink"/>
            <w:rFonts w:ascii="Times New Roman" w:hAnsi="Times New Roman"/>
            <w:b w:val="false"/>
            <w:i w:val="false"/>
            <w:color w:val="000000"/>
            <w:sz w:val="22"/>
          </w:rPr>
          <w:t>653—9.7(147,148)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complete criminal record, if the applicant has a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the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the applicant detailing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Copies of relevant laws setting forth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license nor deny the application for licensure until the matter is resolved. A person who has had a license revoked, or who has voluntarily surrendered a license, in another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licensing complaints or investigations. </w:t>
      </w:r>
      <w:r>
        <w:rPr>
          <w:rFonts w:ascii="Times New Roman" w:hAnsi="Times New Roman"/>
          <w:b w:val="false"/>
          <w:i w:val="false"/>
          <w:color w:val="000000"/>
          <w:sz w:val="22"/>
        </w:rPr>
        <w:t>If an applicant is currently the subject of a complaint, allegation, or investigation relating to unprofessional conduct pending before any regulating entity in another jurisdiction, the board will neither issue a license nor deny the application for licensure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licenses. </w:t>
      </w:r>
      <w:r>
        <w:rPr>
          <w:rFonts w:ascii="Times New Roman" w:hAnsi="Times New Roman"/>
          <w:b w:val="false"/>
          <w:i w:val="false"/>
          <w:color w:val="000000"/>
          <w:sz w:val="22"/>
        </w:rPr>
        <w:t>Applicants who satisfy all requirements for a license under this section except for passing a required examination specific to the laws of this state may be issued a temporary license that is valid for a period of three months and may be renewed once for an additional period of three months. The applicant must submit proof of passing the required examination before the temporary license expires.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7074C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653—9.6</w:t>
      </w:r>
      <w:r>
        <w:rPr>
          <w:rFonts w:ascii="Times New Roman" w:hAnsi="Times New Roman"/>
          <w:b/>
          <w:i w:val="false"/>
          <w:color w:val="000000"/>
          <w:sz w:val="22"/>
        </w:rPr>
        <w:t xml:space="preserve">(147,148) </w:t>
      </w:r>
      <w:r>
        <w:rPr>
          <w:rFonts w:ascii="Times New Roman" w:hAnsi="Times New Roman"/>
          <w:b/>
          <w:i w:val="false"/>
          <w:color w:val="000000"/>
          <w:sz w:val="22"/>
        </w:rPr>
        <w:t xml:space="preserve">Licensure by expedited endorsement. </w:t>
      </w:r>
      <w:r>
        <w:rPr>
          <w:rFonts w:ascii="Times New Roman" w:hAnsi="Times New Roman"/>
          <w:b w:val="false"/>
          <w:i w:val="false"/>
          <w:color w:val="000000"/>
          <w:sz w:val="22"/>
        </w:rPr>
        <w:t xml:space="preserve">Rescinded </w:t>
      </w:r>
      <w:r>
        <w:rPr>
          <w:rFonts w:ascii="Times New Roman" w:hAnsi="Times New Roman"/>
          <w:b/>
          <w:i w:val="false"/>
          <w:color w:val="000000"/>
          <w:sz w:val="22"/>
        </w:rPr>
        <w:t>ARC 3587C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1/17/18</w:t>
      </w:r>
      <w:r>
        <w:rPr>
          <w:rFonts w:ascii="Times New Roman" w:hAnsi="Times New Roman"/>
          <w:b w:val="false"/>
          <w:i w:val="false"/>
          <w:color w:val="000000"/>
          <w:sz w:val="22"/>
        </w:rPr>
        <w:t xml:space="preserve">, effective 2/21/18. </w:t>
      </w:r>
    </w:p>
    <w:p>
      <w:pPr>
        <w:spacing w:before="0" w:after="0"/>
        <w:ind w:left="120"/>
        <w:jc w:val="both"/>
      </w:pPr>
      <w:r>
        <w:rPr>
          <w:rFonts w:ascii="Times New Roman" w:hAnsi="Times New Roman"/>
          <w:b/>
          <w:i w:val="false"/>
          <w:color w:val="000000"/>
          <w:sz w:val="22"/>
        </w:rPr>
        <w:t>653—9.7</w:t>
      </w:r>
      <w:r>
        <w:rPr>
          <w:rFonts w:ascii="Times New Roman" w:hAnsi="Times New Roman"/>
          <w:b/>
          <w:i w:val="false"/>
          <w:color w:val="000000"/>
          <w:sz w:val="22"/>
        </w:rPr>
        <w:t xml:space="preserve">(147,148) </w:t>
      </w:r>
      <w:r>
        <w:rPr>
          <w:rFonts w:ascii="Times New Roman" w:hAnsi="Times New Roman"/>
          <w:b/>
          <w:i w:val="false"/>
          <w:color w:val="000000"/>
          <w:sz w:val="22"/>
        </w:rPr>
        <w:t xml:space="preserve">Licensure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color w:val="000000"/>
          <w:sz w:val="22"/>
        </w:rPr>
        <w:t xml:space="preserve">USMLE.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USMLE is a joint program of FSMB and the NBME. The USMLE is a multipart examination consisting of Step 1, Step 2, and Step 3. Steps 1 and 2 are administered by NBME and ECFMG. The board contracts with FSMB for the administration of Step 3. USMLE Steps 1 and 2 were implemented in 1992; Step 3 was implemented in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Since 1999, Step 3 is a computerized examination offered at testing centers in the Des Moines area and other locations around Iowa and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are available at Department of Examination Services, FSMB, 400 Fuller Wiser Road, Suite 300, Euless, Texas 76039, or </w:t>
      </w:r>
      <w:hyperlink r:id="rId40">
        <w:r>
          <w:rPr>
            <w:rStyle w:val="Hyperlink"/>
            <w:rFonts w:ascii="Times New Roman" w:hAnsi="Times New Roman"/>
            <w:b w:val="false"/>
            <w:i w:val="false"/>
            <w:color w:val="000000"/>
            <w:sz w:val="22"/>
            <w:u w:val="single"/>
          </w:rPr>
          <w:t>www.fsmb.org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Candidates who meet the following requirements are eligible to take USMLE Step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form and pay the required examination fee as specified in rule </w:t>
      </w:r>
      <w:hyperlink r:id="rId41">
        <w:r>
          <w:rPr>
            <w:rStyle w:val="Hyperlink"/>
            <w:rFonts w:ascii="Times New Roman" w:hAnsi="Times New Roman"/>
            <w:b w:val="false"/>
            <w:i w:val="false"/>
            <w:color w:val="000000"/>
            <w:sz w:val="22"/>
          </w:rPr>
          <w:t>653—8.3</w:t>
        </w:r>
      </w:hyperlink>
      <w:r>
        <w:rPr>
          <w:rFonts w:ascii="Times New Roman" w:hAnsi="Times New Roman"/>
          <w:b w:val="false"/>
          <w:i w:val="false"/>
          <w:color w:val="000000"/>
          <w:sz w:val="22"/>
        </w:rPr>
        <w:t>(147,148,272C).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 successful completion of USMLE Steps 1 and 2 in accordance with the requirements of NBME. Graduates of a foreign medical school shall meet the requirements of ECFMG.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 holding a medical degree from a board-approved educational institution. If a candidate holds a medical degree from an educational institution not approved by the board at the time the applicant graduated and was awarded the degree, the candidate shall meet the requirements specified in subparagraph </w:t>
      </w:r>
      <w:hyperlink r:id="rId42">
        <w:r>
          <w:rPr>
            <w:rStyle w:val="Hyperlink"/>
            <w:rFonts w:ascii="Times New Roman" w:hAnsi="Times New Roman"/>
            <w:b w:val="false"/>
            <w:i w:val="false"/>
            <w:color w:val="000000"/>
            <w:sz w:val="22"/>
          </w:rPr>
          <w:t>9.3(1)</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 successful completion of a minimum of seven calendar months of resident training in a program approved by the board at the time of the application for Step 3 or enrollment in a resident training program approved by the board at the time of the application for Step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conditions shall apply to applicants for licensure in Iowa who utilize USMLE as the licensure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Passing Steps 1, 2, and 3 is required within a ten-year period beginning with the date of passing either Step 1 or Step 2, whichever occurred first. If the applicant did not pass Steps 1, 2, and 3 within the required time frame, then the requirement will be satisfied by either proof of active board certification by the ABMS or AOA or proof the delay was caused by participation in a joint M.D./Ph.D. or D.O./Ph.D.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Step 3 may be taken and passed only after Steps 1 and 2 are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score of 75 or better on each step shall constitute a passing score on that step.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USMLE step must be passed individually, and individual step scores shall not be averaged to compute an overall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failure of any USMLE step, regardless of the jurisdiction for which it was taken, shall be considered a failure of that step for the purposes of Iowa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continuous, progressive three-year resident training program is required if the applicant passes the examination after more than six attempts on Step 1 or six attempts on Step 2 CK and Step 2 CS combined or three attempts on Step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candidate deemed eligible to sit for USMLE Step 3 is required to adhere to the examination procedures and protocol established by FSMB and NBME in the following publications: USMLE Test Administration Standards and Policies and Procedures Regarding Indeterminate Scores and Irregular Behavior, FSMB, 400 Fuller Wiser Road, Suite 300, Euless, Texas 76039.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color w:val="000000"/>
          <w:sz w:val="22"/>
        </w:rPr>
        <w:t xml:space="preserve">NBME.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NBME Part Examinations (Parts I, II, and III) were first administered in 1916. The last regular administration of Part I occurred in 1991, Part II in April 1992, and Part III in May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NBME Parts I, II, and III was a requirement for NBME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score of 75 or better on each part shall constitute a passing score on that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w:t>
      </w:r>
      <w:r>
        <w:rPr>
          <w:rFonts w:ascii="Times New Roman" w:hAnsi="Times New Roman"/>
          <w:b w:val="false"/>
          <w:i w:val="false"/>
          <w:color w:val="000000"/>
          <w:sz w:val="22"/>
        </w:rPr>
        <w:t> </w:t>
      </w:r>
      <w:r>
        <w:rPr>
          <w:rFonts w:ascii="Times New Roman" w:hAnsi="Times New Roman"/>
          <w:b w:val="false"/>
          <w:i/>
          <w:color w:val="000000"/>
          <w:sz w:val="22"/>
        </w:rPr>
        <w:t xml:space="preserve">FLEX.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From 1968 to 1985, (Old) FLEX was a three-day examination. Day 1 covered basic science; Day 2 covered clinical science; and Day 3 covered clinical competency. Applicants who took Old FLEX shall provide evidence of successful achievement of at least two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Certification under seal that the applicant passed FLEX with a FLEX-weighted average of 75 percent or better, as determined by the state medical licensing authority, in no more than two sittings.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under seal of medical licensure in the state that administered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Evidence of current certification by an American specialty board approved or recognized by the Council of Medical Education of AMA, ABMS, or AOA.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From 1985 to 1994, (New) FLEX replaced the Old FLEX. New FLEX was a three-day nationally standardized examination consisting of two, one and one-half day components referred to as Component I (basic and clinical science principles and mechanisms underlying disease and modes of therapy) and Component II (knowledge and cognitive abilities required of a physician assuming independent responsibility for the general delivery of medical care to patients). The last regular administration of both components of New FLEX occurred in 1993. Two special administrations of New FLEX Component I were offered in 1994 to examinees who passed Component II but not Component I prior to 1994. To be eligible for licensure, the candidate must have passed both components with a FLEX score of 75 or better within a seven-year period beginning with the date of initial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Candidates who took the FLEX for the first time were required to take both components during the initial sitting. A candidate who failed either or both components must have repeated and passed the component failed, though Component II could only be repeated if the candidate had received a passing score of 75 percent or better on Component 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Eligible candidates were permitted to sit for the initial examination and reapply to the board to repeat a failed component or complete the entire examination two additional times. However, candidates who failed either or both components three times were required to wait one year, during which time the candidate was encouraged to obtain additional training, before being permitted to sit two additional times for either or both components of the FLEX.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w:t>
      </w:r>
      <w:r>
        <w:rPr>
          <w:rFonts w:ascii="Times New Roman" w:hAnsi="Times New Roman"/>
          <w:b w:val="false"/>
          <w:i w:val="false"/>
          <w:color w:val="000000"/>
          <w:sz w:val="22"/>
        </w:rPr>
        <w:t> </w:t>
      </w:r>
      <w:r>
        <w:rPr>
          <w:rFonts w:ascii="Times New Roman" w:hAnsi="Times New Roman"/>
          <w:b w:val="false"/>
          <w:i/>
          <w:color w:val="000000"/>
          <w:sz w:val="22"/>
        </w:rPr>
        <w:t xml:space="preserve">Combination examination sequences. </w:t>
      </w:r>
      <w:r>
        <w:rPr>
          <w:rFonts w:ascii="Times New Roman" w:hAnsi="Times New Roman"/>
          <w:b w:val="false"/>
          <w:i w:val="false"/>
          <w:color w:val="000000"/>
          <w:sz w:val="22"/>
        </w:rPr>
        <w:t>To accommodate individuals who had already passed some part of the NBME Parts or FLEX before implementation of the USMLE, the USMLE program recommended and the board approved the following licensing combinations of examinations for licensure only if completed prior to January 1, 2000. These combinations are now only acceptable from an applicant who already holds a license from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FLEX Component I plus USMLE Step 3 with a passing score of 75 or better on each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NBME Part I or USMLE Step 1 plus NBME Part II or USMLE Step 2 plus FLEX Component II with a passing score of 75 or better on each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NBME Part I or USMLE Step 1 plus NBME Part II or USMLE Step 2 plus NBME Part III or USMLE Step 3 with a passing score of 75 or better on each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w:t>
      </w:r>
      <w:r>
        <w:rPr>
          <w:rFonts w:ascii="Times New Roman" w:hAnsi="Times New Roman"/>
          <w:b w:val="false"/>
          <w:i w:val="false"/>
          <w:color w:val="000000"/>
          <w:sz w:val="22"/>
        </w:rPr>
        <w:t> </w:t>
      </w:r>
      <w:r>
        <w:rPr>
          <w:rFonts w:ascii="Times New Roman" w:hAnsi="Times New Roman"/>
          <w:b w:val="false"/>
          <w:i/>
          <w:color w:val="000000"/>
          <w:sz w:val="22"/>
        </w:rPr>
        <w:t xml:space="preserve">COMLEX. </w:t>
      </w:r>
      <w:r>
        <w:rPr>
          <w:rFonts w:ascii="Times New Roman" w:hAnsi="Times New Roman"/>
          <w:b w:val="false"/>
          <w:i w:val="false"/>
          <w:color w:val="000000"/>
          <w:sz w:val="22"/>
        </w:rPr>
        <w:t>COMLEX is a three-level examination that replaced the three-part NBOME examination. COMLEX Level 3 was first administered in February 1995; Level 2 was first administered in March 1997; and Level 1 was first administered in June 1998. All three examinations must be successfully completed in sequential order within ten years of the successful completion of COMLEX Level 1. If the applicant did not pass Levels 1, 2, and 3 within the required time frame, then the requirement will be satisfied by either proof of active board certification by the ABMS or AOA or proof the delay was caused by participation in a joint D.O./Ph.D. or M.D./Ph.D.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standard score of 400 on Level 1 or Level 2 is required to pass the examination. A standard score of 350 on Level 3 is required to pass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candidate shall have successfully completed a minimum of seven calendar months of resident training in a program approved by the board at the time of the application for Level 3 or enrollment in a resident training program approved by the board at the time of the application for Level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continuous, progressive three-year resident training program is required if the applicant passes the examination after more than six attempts on Level 1 or six attempts on Level 2 CE and Level 2 PF combined or three attempts on Level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COMLEX level must be passed individually, and individual level scores shall not be averaged to compute an overall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Level 3 may be taken and passed only after Levels 1 and 2 are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failure of any COMLEX level, regardless of the jurisdiction for which it was taken, shall be considered a failure of that level for the purposes of Iowa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w:t>
      </w:r>
      <w:r>
        <w:rPr>
          <w:rFonts w:ascii="Times New Roman" w:hAnsi="Times New Roman"/>
          <w:b w:val="false"/>
          <w:i w:val="false"/>
          <w:color w:val="000000"/>
          <w:sz w:val="22"/>
        </w:rPr>
        <w:t> </w:t>
      </w:r>
      <w:r>
        <w:rPr>
          <w:rFonts w:ascii="Times New Roman" w:hAnsi="Times New Roman"/>
          <w:b w:val="false"/>
          <w:i/>
          <w:color w:val="000000"/>
          <w:sz w:val="22"/>
        </w:rPr>
        <w:t xml:space="preserve">NBOME.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NBOME was a three-part examination. All three parts must have been successfully completed in sequential order within seven years of the successful completion of NBOME Part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passing score is required on each part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candidate shall have successfully completed a minimum of seven calendar months of resident training in a program approved by the board at the time of the application for NBOME Part 3. Candidates shall have completed their resident training by the last day of the month in which the examination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three-year resident training program is required if the applicant passes the examination after more than six attempts on Part 1 or six attempts on Part 2 or three attempts on Part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NBOME part must have been passed individually, and individual part scores shall not be averaged to compute an overall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Part 3 must have been taken and passed only after Parts 1 and 2 were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failure of any NBOME part, regardless of the jurisdiction for which it was taken, shall be considered a failure of that part for the purposes of Iowa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w:t>
      </w:r>
      <w:r>
        <w:rPr>
          <w:rFonts w:ascii="Times New Roman" w:hAnsi="Times New Roman"/>
          <w:b w:val="false"/>
          <w:i w:val="false"/>
          <w:color w:val="000000"/>
          <w:sz w:val="22"/>
        </w:rPr>
        <w:t> </w:t>
      </w:r>
      <w:r>
        <w:rPr>
          <w:rFonts w:ascii="Times New Roman" w:hAnsi="Times New Roman"/>
          <w:b w:val="false"/>
          <w:i/>
          <w:color w:val="000000"/>
          <w:sz w:val="22"/>
        </w:rPr>
        <w:t xml:space="preserve">LMCC.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accepts toward Iowa licensure a verification of a licentiate’s registration with the Medical Council of Canada, based on passing both parts of the Medical Council of Canada Qualifying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Medical Council of Canada may be contacted at 1021 Thomas Spratt Place, Ottawa, Ontario, Canada K1G 5L5 or (613) 520-2240.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w:t>
      </w:r>
      <w:r>
        <w:rPr>
          <w:rFonts w:ascii="Times New Roman" w:hAnsi="Times New Roman"/>
          <w:b w:val="false"/>
          <w:i w:val="false"/>
          <w:color w:val="000000"/>
          <w:sz w:val="22"/>
        </w:rPr>
        <w:t> </w:t>
      </w:r>
      <w:r>
        <w:rPr>
          <w:rFonts w:ascii="Times New Roman" w:hAnsi="Times New Roman"/>
          <w:b w:val="false"/>
          <w:i/>
          <w:color w:val="000000"/>
          <w:sz w:val="22"/>
        </w:rPr>
        <w:t xml:space="preserve">State licensing examinations. </w:t>
      </w:r>
      <w:r>
        <w:rPr>
          <w:rFonts w:ascii="Times New Roman" w:hAnsi="Times New Roman"/>
          <w:b w:val="false"/>
          <w:i w:val="false"/>
          <w:color w:val="000000"/>
          <w:sz w:val="22"/>
        </w:rPr>
        <w:t>The Iowa board of medicine administered a state licensing examination until 1968. Licensing examinations administered by the Iowa board of medicine or another U.S. jurisdiction prior to 1974 are accepted if the examination was passed according to criteria established by that state at the time and led to licensure in that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0215C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2524C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3587C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653—9.8</w:t>
      </w:r>
      <w:r>
        <w:rPr>
          <w:rFonts w:ascii="Times New Roman" w:hAnsi="Times New Roman"/>
          <w:b/>
          <w:i w:val="false"/>
          <w:color w:val="000000"/>
          <w:sz w:val="22"/>
        </w:rPr>
        <w:t xml:space="preserve">(147,148) </w:t>
      </w:r>
      <w:r>
        <w:rPr>
          <w:rFonts w:ascii="Times New Roman" w:hAnsi="Times New Roman"/>
          <w:b/>
          <w:i w:val="false"/>
          <w:color w:val="000000"/>
          <w:sz w:val="22"/>
        </w:rPr>
        <w:t xml:space="preserve">Permanent licensure application review process. </w:t>
      </w:r>
      <w:r>
        <w:rPr>
          <w:rFonts w:ascii="Times New Roman" w:hAnsi="Times New Roman"/>
          <w:b w:val="false"/>
          <w:i w:val="false"/>
          <w:color w:val="000000"/>
          <w:sz w:val="22"/>
        </w:rPr>
        <w:t>The process below shall be utilized to review each application. Priority shall be given to processing a licensure application when a written request is received in the board office from an applicant whose practice will primarily involve provision of services to underserved populations, including but not limited to persons who are minorities or low-income or who live in rural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val="false"/>
          <w:color w:val="000000"/>
          <w:sz w:val="22"/>
        </w:rPr>
        <w:t>An application for initial licensure shall be considered open from the date the application form is received in the board office with the nonrefundable initial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board staff shall notify the applicant about how to resolve any problems. An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the license. The staff may grant the license without having received a report on the applicant from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physician, the executive director, director of licensure and director of legal affairs shall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administratively grant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which include but are not limited to: falsification of information on the application, criminal record, malpractice, substance abuse, competency, physical or mental illness, or 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the license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physician has not engaged in active clinical practice or board-approved training in the past three years in any jurisdiction of the United States or Canada,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SPEX, COMVEX-USA, or another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retraining program arranged by the physician and approved in advance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Grant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physician has not engaged in active clinical practice or board-approved training in the past three years in any jurisdiction of the United States or Canada,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SPEX, COMVEX-USA, or another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retraining program arranged by the physician and approved in advance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Grant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rule </w:t>
      </w:r>
      <w:hyperlink r:id="rId43">
        <w:r>
          <w:rPr>
            <w:rStyle w:val="Hyperlink"/>
            <w:rFonts w:ascii="Times New Roman" w:hAnsi="Times New Roman"/>
            <w:b w:val="false"/>
            <w:i w:val="false"/>
            <w:color w:val="000000"/>
            <w:sz w:val="22"/>
          </w:rPr>
          <w:t>653—9.17(147,148)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0215C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2524C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3587C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653—9.9</w:t>
      </w:r>
      <w:r>
        <w:rPr>
          <w:rFonts w:ascii="Times New Roman" w:hAnsi="Times New Roman"/>
          <w:b/>
          <w:i w:val="false"/>
          <w:color w:val="000000"/>
          <w:sz w:val="22"/>
        </w:rPr>
        <w:t xml:space="preserve">(147,148) </w:t>
      </w:r>
      <w:r>
        <w:rPr>
          <w:rFonts w:ascii="Times New Roman" w:hAnsi="Times New Roman"/>
          <w:b/>
          <w:i w:val="false"/>
          <w:color w:val="000000"/>
          <w:sz w:val="22"/>
        </w:rPr>
        <w:t xml:space="preserve">Licensure application cycle.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application materials. </w:t>
      </w:r>
      <w:r>
        <w:rPr>
          <w:rFonts w:ascii="Times New Roman" w:hAnsi="Times New Roman"/>
          <w:b w:val="false"/>
          <w:i w:val="false"/>
          <w:color w:val="000000"/>
          <w:sz w:val="22"/>
        </w:rPr>
        <w:t>If the applicant does not submit all materials, including a completed fingerprint packet, within 90 days of the board’s initial request for further information, the application shall be considered inactive. The board office shall notify the applicant of this change in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the application. </w:t>
      </w:r>
      <w:r>
        <w:rPr>
          <w:rFonts w:ascii="Times New Roman" w:hAnsi="Times New Roman"/>
          <w:b w:val="false"/>
          <w:i w:val="false"/>
          <w:color w:val="000000"/>
          <w:sz w:val="22"/>
        </w:rPr>
        <w:t xml:space="preserve">To reactivate the application, an applicant shall submit a nonrefundable fee for reactivation of the application as specified in </w:t>
      </w:r>
      <w:hyperlink r:id="rId44">
        <w:r>
          <w:rPr>
            <w:rStyle w:val="Hyperlink"/>
            <w:rFonts w:ascii="Times New Roman" w:hAnsi="Times New Roman"/>
            <w:b w:val="false"/>
            <w:i w:val="false"/>
            <w:color w:val="000000"/>
            <w:sz w:val="22"/>
          </w:rPr>
          <w:t>653—paragraph 8.4(1)</w:t>
        </w:r>
        <w:r>
          <w:rPr>
            <w:rFonts w:ascii="Times New Roman" w:hAnsi="Times New Roman"/>
            <w:b w:val="false"/>
            <w:i/>
            <w:color w:val="000000"/>
            <w:sz w:val="22"/>
          </w:rPr>
          <w:t>“b”</w:t>
        </w:r>
      </w:hyperlink>
      <w:r>
        <w:rPr>
          <w:rFonts w:ascii="Times New Roman" w:hAnsi="Times New Roman"/>
          <w:b w:val="false"/>
          <w:i w:val="false"/>
          <w:color w:val="000000"/>
          <w:sz w:val="22"/>
        </w:rPr>
        <w:t xml:space="preserve"> within 30 days. If the application is not reactivated within 30 days, the application for licensure is withdrawn and the applicant must reapply and submit a new nonrefundable application fee and a new application, documents and core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w:t>
      </w:r>
      <w:r>
        <w:rPr>
          <w:rFonts w:ascii="Times New Roman" w:hAnsi="Times New Roman"/>
          <w:b w:val="false"/>
          <w:i w:val="false"/>
          <w:color w:val="000000"/>
          <w:sz w:val="22"/>
        </w:rPr>
        <w:t> </w:t>
      </w:r>
      <w:r>
        <w:rPr>
          <w:rFonts w:ascii="Times New Roman" w:hAnsi="Times New Roman"/>
          <w:b w:val="false"/>
          <w:i/>
          <w:color w:val="000000"/>
          <w:sz w:val="22"/>
        </w:rPr>
        <w:t xml:space="preserve">Period of reactivation. </w:t>
      </w:r>
      <w:r>
        <w:rPr>
          <w:rFonts w:ascii="Times New Roman" w:hAnsi="Times New Roman"/>
          <w:b w:val="false"/>
          <w:i w:val="false"/>
          <w:color w:val="000000"/>
          <w:sz w:val="22"/>
        </w:rPr>
        <w:t>The period for reactivation of application shall extend 90 days from the date the request and fee are received in the board office. During this period, the applicant shall update core credentials and submit the remaining requested materials. If the applicant does not update core credentials or submit all materials during the 90-day period of reactivation, the application for licensure is withdrawn and the applicant must reapply and submit a new nonrefundable application fee and a new application, documents and core credentials.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0215C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2524C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3587C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653—9.10</w:t>
      </w:r>
      <w:r>
        <w:rPr>
          <w:rFonts w:ascii="Times New Roman" w:hAnsi="Times New Roman"/>
          <w:b/>
          <w:i w:val="false"/>
          <w:color w:val="000000"/>
          <w:sz w:val="22"/>
        </w:rPr>
        <w:t xml:space="preserve">(147,148) </w:t>
      </w:r>
      <w:r>
        <w:rPr>
          <w:rFonts w:ascii="Times New Roman" w:hAnsi="Times New Roman"/>
          <w:b/>
          <w:i w:val="false"/>
          <w:color w:val="000000"/>
          <w:sz w:val="22"/>
        </w:rPr>
        <w:t xml:space="preserve">Discretionary board actions on licensure applications. </w:t>
      </w:r>
      <w:r>
        <w:rPr>
          <w:rFonts w:ascii="Times New Roman" w:hAnsi="Times New Roman"/>
          <w:b w:val="false"/>
          <w:i w:val="false"/>
          <w:color w:val="000000"/>
          <w:sz w:val="22"/>
        </w:rPr>
        <w:t>As circumstances warrant, the board may determine that any applicant for licensure is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w:t>
      </w:r>
      <w:r>
        <w:rPr>
          <w:rFonts w:ascii="Times New Roman" w:hAnsi="Times New Roman"/>
          <w:b w:val="false"/>
          <w:i w:val="false"/>
          <w:color w:val="000000"/>
          <w:sz w:val="22"/>
        </w:rPr>
        <w:t> </w:t>
      </w:r>
      <w:r>
        <w:rPr>
          <w:rFonts w:ascii="Times New Roman" w:hAnsi="Times New Roman"/>
          <w:b w:val="false"/>
          <w:i w:val="false"/>
          <w:color w:val="000000"/>
          <w:sz w:val="22"/>
        </w:rPr>
        <w:t>The board may impose limits or restrictions on the practice of any applicant in this state that are equal in force to the limits or restrictions imposed on the applicant by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w:t>
      </w:r>
      <w:r>
        <w:rPr>
          <w:rFonts w:ascii="Times New Roman" w:hAnsi="Times New Roman"/>
          <w:b w:val="false"/>
          <w:i w:val="false"/>
          <w:color w:val="000000"/>
          <w:sz w:val="22"/>
        </w:rPr>
        <w:t> </w:t>
      </w:r>
      <w:r>
        <w:rPr>
          <w:rFonts w:ascii="Times New Roman" w:hAnsi="Times New Roman"/>
          <w:b w:val="false"/>
          <w:i w:val="false"/>
          <w:color w:val="000000"/>
          <w:sz w:val="22"/>
        </w:rPr>
        <w:t>The board may defer final action on an application for licensure if there is an investigation or disciplinary action pending against an applicant in any jurisdiction until such time as the board is satisfied that licensure of the applicant poses no risk to the health and safety of Iowans.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w:t>
      </w:r>
      <w:r>
        <w:rPr>
          <w:rFonts w:ascii="Times New Roman" w:hAnsi="Times New Roman"/>
          <w:b w:val="false"/>
          <w:i w:val="false"/>
          <w:color w:val="000000"/>
          <w:sz w:val="22"/>
        </w:rPr>
        <w:t> </w:t>
      </w:r>
      <w:r>
        <w:rPr>
          <w:rFonts w:ascii="Times New Roman" w:hAnsi="Times New Roman"/>
          <w:b w:val="false"/>
          <w:i w:val="false"/>
          <w:color w:val="000000"/>
          <w:sz w:val="22"/>
        </w:rPr>
        <w:t>The board is not precluded from taking disciplinary action after licensure is granted related to issues that arose in the licensure application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3587C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653—9.11</w:t>
      </w:r>
      <w:r>
        <w:rPr>
          <w:rFonts w:ascii="Times New Roman" w:hAnsi="Times New Roman"/>
          <w:b/>
          <w:i w:val="false"/>
          <w:color w:val="000000"/>
          <w:sz w:val="22"/>
        </w:rPr>
        <w:t xml:space="preserve">(147,148) </w:t>
      </w:r>
      <w:r>
        <w:rPr>
          <w:rFonts w:ascii="Times New Roman" w:hAnsi="Times New Roman"/>
          <w:b/>
          <w:i w:val="false"/>
          <w:color w:val="000000"/>
          <w:sz w:val="22"/>
        </w:rPr>
        <w:t xml:space="preserve">Issuance of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Upon the granting of permanent or administrative medicine licensure, staff shall issue a license to practice that shall expire on the first day of the licensee’s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Licenses of persons born in even-numbered years shall expire in an even-numbered year, and licenses of persons born in odd-numbered years shall expire in an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shall not be issued for a period less than two months or greater than two years and two months, in accordance with the licensee’s month and year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resident physician receives a permanent Iowa license, the resident physician license shall immediately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physician with a special license receives a permanent Iowa license, the special license shall immediately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physician with a permanent Iowa license receives an Iowa administrative medicine license, the permanent Iowa license shall immediately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physician with an active permanent Iowa license is ineligible for an Iowa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certificate. </w:t>
      </w:r>
      <w:r>
        <w:rPr>
          <w:rFonts w:ascii="Times New Roman" w:hAnsi="Times New Roman"/>
          <w:b w:val="false"/>
          <w:i w:val="false"/>
          <w:color w:val="000000"/>
          <w:sz w:val="22"/>
        </w:rPr>
        <w:t>The license certificate shall be displayed in the licensee’s primary location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0215C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2524C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3587C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653—9.12</w:t>
      </w:r>
      <w:r>
        <w:rPr>
          <w:rFonts w:ascii="Times New Roman" w:hAnsi="Times New Roman"/>
          <w:b/>
          <w:i w:val="false"/>
          <w:color w:val="000000"/>
          <w:sz w:val="22"/>
        </w:rPr>
        <w:t xml:space="preserve">(147,148) </w:t>
      </w:r>
      <w:r>
        <w:rPr>
          <w:rFonts w:ascii="Times New Roman" w:hAnsi="Times New Roman"/>
          <w:b/>
          <w:i w:val="false"/>
          <w:color w:val="000000"/>
          <w:sz w:val="22"/>
        </w:rPr>
        <w:t xml:space="preserve">Notification required to change the board’s data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color w:val="000000"/>
          <w:sz w:val="22"/>
        </w:rPr>
        <w:t xml:space="preserve">Change of contact information. </w:t>
      </w:r>
      <w:r>
        <w:rPr>
          <w:rFonts w:ascii="Times New Roman" w:hAnsi="Times New Roman"/>
          <w:b w:val="false"/>
          <w:i w:val="false"/>
          <w:color w:val="000000"/>
          <w:sz w:val="22"/>
        </w:rPr>
        <w:t>A licensee shall notify the board of any change in the home address, the address of the place of practice, home or practice telephone number, or personal e-mail address regularly used by the applicant or licensee for correspondence with the board within one month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color w:val="000000"/>
          <w:sz w:val="22"/>
        </w:rPr>
        <w:t xml:space="preserve">Change of name. </w:t>
      </w:r>
      <w:r>
        <w:rPr>
          <w:rFonts w:ascii="Times New Roman" w:hAnsi="Times New Roman"/>
          <w:b w:val="false"/>
          <w:i w:val="false"/>
          <w:color w:val="000000"/>
          <w:sz w:val="22"/>
        </w:rPr>
        <w:t>A licensee shall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9.12(3)</w:t>
      </w:r>
      <w:r>
        <w:rPr>
          <w:rFonts w:ascii="Times New Roman" w:hAnsi="Times New Roman"/>
          <w:b w:val="false"/>
          <w:i w:val="false"/>
          <w:color w:val="000000"/>
          <w:sz w:val="22"/>
        </w:rPr>
        <w:t> </w:t>
      </w:r>
      <w:r>
        <w:rPr>
          <w:rFonts w:ascii="Times New Roman" w:hAnsi="Times New Roman"/>
          <w:b w:val="false"/>
          <w:i/>
          <w:color w:val="000000"/>
          <w:sz w:val="22"/>
        </w:rPr>
        <w:t xml:space="preserve">Deceased. </w:t>
      </w:r>
      <w:r>
        <w:rPr>
          <w:rFonts w:ascii="Times New Roman" w:hAnsi="Times New Roman"/>
          <w:b w:val="false"/>
          <w:i w:val="false"/>
          <w:color w:val="000000"/>
          <w:sz w:val="22"/>
        </w:rPr>
        <w:t>A licensee file shall be closed and labeled “deceased” when the board receives a copy of the physician’s death certificate or other reliable information of the licensee’s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9.12(4)</w:t>
      </w:r>
      <w:r>
        <w:rPr>
          <w:rFonts w:ascii="Times New Roman" w:hAnsi="Times New Roman"/>
          <w:b w:val="false"/>
          <w:i w:val="false"/>
          <w:color w:val="000000"/>
          <w:sz w:val="22"/>
        </w:rPr>
        <w:t> </w:t>
      </w:r>
      <w:r>
        <w:rPr>
          <w:rFonts w:ascii="Times New Roman" w:hAnsi="Times New Roman"/>
          <w:b w:val="false"/>
          <w:i/>
          <w:color w:val="000000"/>
          <w:sz w:val="22"/>
        </w:rPr>
        <w:t xml:space="preserve">Practice name. </w:t>
      </w:r>
      <w:r>
        <w:rPr>
          <w:rFonts w:ascii="Times New Roman" w:hAnsi="Times New Roman"/>
          <w:b w:val="false"/>
          <w:i w:val="false"/>
          <w:color w:val="000000"/>
          <w:sz w:val="22"/>
        </w:rPr>
        <w:t>A licensee shall practice under the licensee’s full legal 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2524C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3587C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653—9.13</w:t>
      </w:r>
      <w:r>
        <w:rPr>
          <w:rFonts w:ascii="Times New Roman" w:hAnsi="Times New Roman"/>
          <w:b/>
          <w:i w:val="false"/>
          <w:color w:val="000000"/>
          <w:sz w:val="22"/>
        </w:rPr>
        <w:t xml:space="preserve">(147,148) </w:t>
      </w:r>
      <w:r>
        <w:rPr>
          <w:rFonts w:ascii="Times New Roman" w:hAnsi="Times New Roman"/>
          <w:b/>
          <w:i w:val="false"/>
          <w:color w:val="000000"/>
          <w:sz w:val="22"/>
        </w:rPr>
        <w:t xml:space="preserve">Renewal of a permanent or administrative medicine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9.13(1)</w:t>
      </w:r>
      <w:r>
        <w:rPr>
          <w:rFonts w:ascii="Times New Roman" w:hAnsi="Times New Roman"/>
          <w:b w:val="false"/>
          <w:i w:val="false"/>
          <w:color w:val="000000"/>
          <w:sz w:val="22"/>
        </w:rPr>
        <w:t> </w:t>
      </w:r>
      <w:r>
        <w:rPr>
          <w:rFonts w:ascii="Times New Roman" w:hAnsi="Times New Roman"/>
          <w:b w:val="false"/>
          <w:i/>
          <w:color w:val="000000"/>
          <w:sz w:val="22"/>
        </w:rPr>
        <w:t xml:space="preserve">Renewal notice. </w:t>
      </w:r>
      <w:r>
        <w:rPr>
          <w:rFonts w:ascii="Times New Roman" w:hAnsi="Times New Roman"/>
          <w:b w:val="false"/>
          <w:i w:val="false"/>
          <w:color w:val="000000"/>
          <w:sz w:val="22"/>
        </w:rPr>
        <w:t xml:space="preserve">Staff shall send a renewal notice to each licensee at least 60 days prior to the expiration of the license. The renewal notice may be sent by e-mail or by regular mail at the discretion of staff. If e-mail is used for notification of licensure renewal, the notice shall be sent to the personal e-mail address specified in subrule </w:t>
      </w:r>
      <w:hyperlink r:id="rId45">
        <w:r>
          <w:rPr>
            <w:rStyle w:val="Hyperlink"/>
            <w:rFonts w:ascii="Times New Roman" w:hAnsi="Times New Roman"/>
            <w:b w:val="false"/>
            <w:i w:val="false"/>
            <w:color w:val="000000"/>
            <w:sz w:val="22"/>
          </w:rPr>
          <w:t>9.12(1)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9.13(2)</w:t>
      </w:r>
      <w:r>
        <w:rPr>
          <w:rFonts w:ascii="Times New Roman" w:hAnsi="Times New Roman"/>
          <w:b w:val="false"/>
          <w:i w:val="false"/>
          <w:color w:val="000000"/>
          <w:sz w:val="22"/>
        </w:rPr>
        <w:t> </w:t>
      </w:r>
      <w:r>
        <w:rPr>
          <w:rFonts w:ascii="Times New Roman" w:hAnsi="Times New Roman"/>
          <w:b w:val="false"/>
          <w:i/>
          <w:color w:val="000000"/>
          <w:sz w:val="22"/>
        </w:rPr>
        <w:t xml:space="preserve">Licensee obligation. </w:t>
      </w:r>
      <w:r>
        <w:rPr>
          <w:rFonts w:ascii="Times New Roman" w:hAnsi="Times New Roman"/>
          <w:b w:val="false"/>
          <w:i w:val="false"/>
          <w:color w:val="000000"/>
          <w:sz w:val="22"/>
        </w:rPr>
        <w:t>The licensee is responsible for renewing the license prior to its expiration. Failure of the licensee to receive the notice does not relieve the licensee of responsibility for renewing that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requirements. </w:t>
      </w:r>
      <w:r>
        <w:rPr>
          <w:rFonts w:ascii="Times New Roman" w:hAnsi="Times New Roman"/>
          <w:b w:val="false"/>
          <w:i w:val="false"/>
          <w:color w:val="000000"/>
          <w:sz w:val="22"/>
        </w:rPr>
        <w:t>A licensee seeking renewal shall submit a completed renewal application; information on continuing education, training on chronic pain management, training on end-of-life care, and training on identifying and reporting abuse; and the required fee prior to the expiration date on the current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fees for renewal made via paper application or via on-line application are specified in </w:t>
      </w:r>
      <w:hyperlink r:id="rId46">
        <w:r>
          <w:rPr>
            <w:rStyle w:val="Hyperlink"/>
            <w:rFonts w:ascii="Times New Roman" w:hAnsi="Times New Roman"/>
            <w:b w:val="false"/>
            <w:i w:val="false"/>
            <w:color w:val="000000"/>
            <w:sz w:val="22"/>
          </w:rPr>
          <w:t>653—subparagraph 8.4(1)</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are assessed per biennial period or a prorated portion thereof if the current license was issued for a period of less than 24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no renewal fee due for a physician who was on active duty in the U.S. armed forces, reserves or national guard during the renewal period. “Active duty” means full-time training or active service in the U.S. armed forces, reserves or national guard.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fails to renew before the expiration of the license shall be charged a penalty fee as set forth in </w:t>
      </w:r>
      <w:hyperlink r:id="rId47">
        <w:r>
          <w:rPr>
            <w:rStyle w:val="Hyperlink"/>
            <w:rFonts w:ascii="Times New Roman" w:hAnsi="Times New Roman"/>
            <w:b w:val="false"/>
            <w:i w:val="false"/>
            <w:color w:val="000000"/>
            <w:sz w:val="22"/>
          </w:rPr>
          <w:t>653—paragraph 8.4(1)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for continuing education and training on identifying and reporting abuse are found in </w:t>
      </w:r>
      <w:hyperlink r:id="rId48">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first renewal fee shall be prorated on a monthly basis according to the date of issuance and the physician’s month and year of birth, if the initial permanent or administrative medicine license was issued for a period of less than 24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9.13(4)</w:t>
      </w:r>
      <w:r>
        <w:rPr>
          <w:rFonts w:ascii="Times New Roman" w:hAnsi="Times New Roman"/>
          <w:b w:val="false"/>
          <w:i w:val="false"/>
          <w:color w:val="000000"/>
          <w:sz w:val="22"/>
        </w:rPr>
        <w:t> </w:t>
      </w:r>
      <w:r>
        <w:rPr>
          <w:rFonts w:ascii="Times New Roman" w:hAnsi="Times New Roman"/>
          <w:b w:val="false"/>
          <w:i/>
          <w:color w:val="000000"/>
          <w:sz w:val="22"/>
        </w:rPr>
        <w:t xml:space="preserve">Issuance of a renewal. </w:t>
      </w:r>
      <w:r>
        <w:rPr>
          <w:rFonts w:ascii="Times New Roman" w:hAnsi="Times New Roman"/>
          <w:b w:val="false"/>
          <w:i w:val="false"/>
          <w:color w:val="000000"/>
          <w:sz w:val="22"/>
        </w:rPr>
        <w:t>Upon receiving the completed renewal application, staff shall administratively issue a two-year license that expires on the first day of the licensee’s birth month. In the event the board receives adverse information on the renewal application, the board shall issue the renewal license but may refer the adverse information for further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9.13(5)</w:t>
      </w:r>
      <w:r>
        <w:rPr>
          <w:rFonts w:ascii="Times New Roman" w:hAnsi="Times New Roman"/>
          <w:b w:val="false"/>
          <w:i w:val="false"/>
          <w:color w:val="000000"/>
          <w:sz w:val="22"/>
        </w:rPr>
        <w:t> </w:t>
      </w:r>
      <w:r>
        <w:rPr>
          <w:rFonts w:ascii="Times New Roman" w:hAnsi="Times New Roman"/>
          <w:b w:val="false"/>
          <w:i/>
          <w:color w:val="000000"/>
          <w:sz w:val="22"/>
        </w:rPr>
        <w:t xml:space="preserve">Renewal penalties. </w:t>
      </w:r>
      <w:r>
        <w:rPr>
          <w:rFonts w:ascii="Times New Roman" w:hAnsi="Times New Roman"/>
          <w:b w:val="false"/>
          <w:i w:val="false"/>
          <w:color w:val="000000"/>
          <w:sz w:val="22"/>
        </w:rPr>
        <w:t xml:space="preserve">If the licensee fails to submit the renewal application and renewal fee prior to the expiration date on the current license, the licensee shall be charged a penalty fee as set forth in </w:t>
      </w:r>
      <w:hyperlink r:id="rId49">
        <w:r>
          <w:rPr>
            <w:rStyle w:val="Hyperlink"/>
            <w:rFonts w:ascii="Times New Roman" w:hAnsi="Times New Roman"/>
            <w:b w:val="false"/>
            <w:i w:val="false"/>
            <w:color w:val="000000"/>
            <w:sz w:val="22"/>
          </w:rPr>
          <w:t>653—paragraph 8.4(1)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9.13(6)</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w:t>
      </w:r>
      <w:r>
        <w:rPr>
          <w:rFonts w:ascii="Times New Roman" w:hAnsi="Times New Roman"/>
          <w:b w:val="false"/>
          <w:i w:val="false"/>
          <w:color w:val="000000"/>
          <w:sz w:val="22"/>
        </w:rPr>
        <w:t xml:space="preserve">Failure of the licensee to renew a license within two months following its expiration date shall cause the license to become inactive and invalid. A licensee whose license is invalid or inactive is prohibited from practice until the license is reinstated in accordance with rule </w:t>
      </w:r>
      <w:hyperlink r:id="rId50">
        <w:r>
          <w:rPr>
            <w:rStyle w:val="Hyperlink"/>
            <w:rFonts w:ascii="Times New Roman" w:hAnsi="Times New Roman"/>
            <w:b w:val="false"/>
            <w:i w:val="false"/>
            <w:color w:val="000000"/>
            <w:sz w:val="22"/>
          </w:rPr>
          <w:t>653—9.15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the license will not become inactive when a paper renewal form is used, the completed renewal application and appropriate fees must be received in the board office by the fifteenth of the month prior to the month the license becomes inactive. For example, a licensee whose license expires on January 1 has until March 1 to renew the license or the license becomes inactive and invalid. The licensee must submit and the board office must receive the renewal materials prior to or on February 15 to ensure that the license will be renewed prior to becoming inactive and invalid on March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the license will not become inactive when on-line renewal is used, the licensee must complete the on-line renewal prior to midnight of the last day of the month in the month after the expiration date on the license. For example, a licensee whose license expiration date is January 1 must complete the on-line renewal before midnight on the last day of February; the license becomes inactive and invalid at 12:01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March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9.13(7)</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w:t>
      </w:r>
      <w:r>
        <w:rPr>
          <w:rFonts w:ascii="Times New Roman" w:hAnsi="Times New Roman"/>
          <w:b w:val="false"/>
          <w:i w:val="false"/>
          <w:color w:val="000000"/>
          <w:sz w:val="22"/>
        </w:rPr>
        <w:t>Renewal licenses shall be displayed along with the license certificate in the primary location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0215C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0871C</w:t>
      </w:r>
      <w:r>
        <w:rPr>
          <w:rFonts w:ascii="Times New Roman" w:hAnsi="Times New Roman"/>
          <w:b w:val="false"/>
          <w:i w:val="false"/>
          <w:color w:val="000000"/>
          <w:sz w:val="16"/>
        </w:rPr>
        <w:t>, IAB 7/24/13, effective 8/28/13</w:t>
      </w:r>
      <w:r>
        <w:rPr>
          <w:rFonts w:ascii="Times New Roman" w:hAnsi="Times New Roman"/>
          <w:b w:val="false"/>
          <w:i w:val="false"/>
          <w:color w:val="000000"/>
          <w:sz w:val="16"/>
        </w:rPr>
        <w:t xml:space="preserve">; </w:t>
      </w:r>
      <w:r>
        <w:rPr>
          <w:rFonts w:ascii="Times New Roman" w:hAnsi="Times New Roman"/>
          <w:b/>
          <w:i w:val="false"/>
          <w:color w:val="000000"/>
          <w:sz w:val="16"/>
        </w:rPr>
        <w:t>ARC 2524C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3587C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653—9.14</w:t>
      </w:r>
      <w:r>
        <w:rPr>
          <w:rFonts w:ascii="Times New Roman" w:hAnsi="Times New Roman"/>
          <w:b/>
          <w:i w:val="false"/>
          <w:color w:val="000000"/>
          <w:sz w:val="22"/>
        </w:rPr>
        <w:t xml:space="preserve">(147,148) </w:t>
      </w:r>
      <w:r>
        <w:rPr>
          <w:rFonts w:ascii="Times New Roman" w:hAnsi="Times New Roman"/>
          <w:b/>
          <w:i w:val="false"/>
          <w:color w:val="000000"/>
          <w:sz w:val="22"/>
        </w:rPr>
        <w:t xml:space="preserve">Inactive status and reinstatement of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9.14(1)</w:t>
      </w:r>
      <w:r>
        <w:rPr>
          <w:rFonts w:ascii="Times New Roman" w:hAnsi="Times New Roman"/>
          <w:b w:val="false"/>
          <w:i w:val="false"/>
          <w:color w:val="000000"/>
          <w:sz w:val="22"/>
        </w:rPr>
        <w:t> </w:t>
      </w:r>
      <w:r>
        <w:rPr>
          <w:rFonts w:ascii="Times New Roman" w:hAnsi="Times New Roman"/>
          <w:b w:val="false"/>
          <w:i/>
          <w:color w:val="000000"/>
          <w:sz w:val="22"/>
        </w:rPr>
        <w:t xml:space="preserve">Definition of inactive status. </w:t>
      </w:r>
      <w:r>
        <w:rPr>
          <w:rFonts w:ascii="Times New Roman" w:hAnsi="Times New Roman"/>
          <w:b w:val="false"/>
          <w:i w:val="false"/>
          <w:color w:val="000000"/>
          <w:sz w:val="22"/>
        </w:rPr>
        <w:t>An inactive license is any license that is not a current, 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“Inactive status” may include licenses formerly known as delinquent, lapsed,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with an inactive license may not practice medicine until the license is reinstated to current,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whose license is inactive continues to hold the privilege of licensure in Iowa but may not practice medicine under an Iowa license until the license is reinstated to current, active status. A licensee who practices under an Iowa license when the license is inactive may be subject to disciplinary action by the board, injunctive action pursuant to Iowa Code section </w:t>
      </w:r>
      <w:hyperlink r:id="rId51">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52">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or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9.14(2)</w:t>
      </w:r>
      <w:r>
        <w:rPr>
          <w:rFonts w:ascii="Times New Roman" w:hAnsi="Times New Roman"/>
          <w:b w:val="false"/>
          <w:i w:val="false"/>
          <w:color w:val="000000"/>
          <w:sz w:val="22"/>
        </w:rPr>
        <w:t> </w:t>
      </w:r>
      <w:r>
        <w:rPr>
          <w:rFonts w:ascii="Times New Roman" w:hAnsi="Times New Roman"/>
          <w:b w:val="false"/>
          <w:i/>
          <w:color w:val="000000"/>
          <w:sz w:val="22"/>
        </w:rPr>
        <w:t xml:space="preserve">Mechanisms for becoming inactive. </w:t>
      </w:r>
      <w:r>
        <w:rPr>
          <w:rFonts w:ascii="Times New Roman" w:hAnsi="Times New Roman"/>
          <w:b w:val="false"/>
          <w:i w:val="false"/>
          <w:color w:val="000000"/>
          <w:sz w:val="22"/>
        </w:rPr>
        <w:t>A licensee seeking to become inactive may do so by submitting a written request to the board office or by failing to renew a license by the first day of the third month after the expiration date. For example, a licensee whose license expires on January 1 will be considered inactive if the license is not renewed by March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9.14(3)</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There is no fee to become inactive.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3587C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653—9.15</w:t>
      </w:r>
      <w:r>
        <w:rPr>
          <w:rFonts w:ascii="Times New Roman" w:hAnsi="Times New Roman"/>
          <w:b/>
          <w:i w:val="false"/>
          <w:color w:val="000000"/>
          <w:sz w:val="22"/>
        </w:rPr>
        <w:t xml:space="preserve">(147,148) </w:t>
      </w:r>
      <w:r>
        <w:rPr>
          <w:rFonts w:ascii="Times New Roman" w:hAnsi="Times New Roman"/>
          <w:b/>
          <w:i w:val="false"/>
          <w:color w:val="000000"/>
          <w:sz w:val="22"/>
        </w:rPr>
        <w:t xml:space="preserve">Reinstatement of an unrestricted Iowa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9.15(1)</w:t>
      </w:r>
      <w:r>
        <w:rPr>
          <w:rFonts w:ascii="Times New Roman" w:hAnsi="Times New Roman"/>
          <w:b w:val="false"/>
          <w:i w:val="false"/>
          <w:color w:val="000000"/>
          <w:sz w:val="22"/>
        </w:rPr>
        <w:t> </w:t>
      </w:r>
      <w:r>
        <w:rPr>
          <w:rFonts w:ascii="Times New Roman" w:hAnsi="Times New Roman"/>
          <w:b w:val="false"/>
          <w:i/>
          <w:color w:val="000000"/>
          <w:sz w:val="22"/>
        </w:rPr>
        <w:t xml:space="preserve">Reinstatement within one year of the license’s becoming inactive. </w:t>
      </w:r>
      <w:r>
        <w:rPr>
          <w:rFonts w:ascii="Times New Roman" w:hAnsi="Times New Roman"/>
          <w:b w:val="false"/>
          <w:i w:val="false"/>
          <w:color w:val="000000"/>
          <w:sz w:val="22"/>
        </w:rPr>
        <w:t>An individual whose license is in inactive status for up to one year and who wishes to reinstate the license shall submit a completed renewal application; the reinstatement fee; documentation of continuing education; and, if applicable, documentation on training on chronic pain management, end-of-life care, and identifying and reporting abuse. All of the information shall be received in the board office within one year of the license’s becoming inactive for the applicant to reinstate under this subrule. For example, a physician whose license became inactive on March 1 has until the last day of the following February to renew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for reinstatement of an unrestricted Iowa license within one year of the license’s becoming inactive. </w:t>
      </w:r>
      <w:r>
        <w:rPr>
          <w:rFonts w:ascii="Times New Roman" w:hAnsi="Times New Roman"/>
          <w:b w:val="false"/>
          <w:i w:val="false"/>
          <w:color w:val="000000"/>
          <w:sz w:val="22"/>
        </w:rPr>
        <w:t xml:space="preserve">The reinstatement fee is specified in </w:t>
      </w:r>
      <w:hyperlink r:id="rId53">
        <w:r>
          <w:rPr>
            <w:rStyle w:val="Hyperlink"/>
            <w:rFonts w:ascii="Times New Roman" w:hAnsi="Times New Roman"/>
            <w:b w:val="false"/>
            <w:i w:val="false"/>
            <w:color w:val="000000"/>
            <w:sz w:val="22"/>
          </w:rPr>
          <w:t>653—paragraph 8.4(1)</w:t>
        </w:r>
        <w:r>
          <w:rPr>
            <w:rFonts w:ascii="Times New Roman" w:hAnsi="Times New Roman"/>
            <w:b w:val="false"/>
            <w:i/>
            <w:color w:val="000000"/>
            <w:sz w:val="22"/>
          </w:rPr>
          <w:t>“g”</w:t>
        </w:r>
      </w:hyperlink>
      <w:r>
        <w:rPr>
          <w:rFonts w:ascii="Times New Roman" w:hAnsi="Times New Roman"/>
          <w:b w:val="false"/>
          <w:i w:val="false"/>
          <w:color w:val="000000"/>
          <w:sz w:val="22"/>
        </w:rPr>
        <w:t xml:space="preserve"> when the license in the most recent license period had been granted for less than 24 months; in that case, the reinstatement fee is prorated according to the date of issuance and the physician’s month and year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and training requirements. </w:t>
      </w:r>
      <w:r>
        <w:rPr>
          <w:rFonts w:ascii="Times New Roman" w:hAnsi="Times New Roman"/>
          <w:b w:val="false"/>
          <w:i w:val="false"/>
          <w:color w:val="000000"/>
          <w:sz w:val="22"/>
        </w:rPr>
        <w:t xml:space="preserve">The requirements for continuing education, training on chronic pain management, training on end-of-life care, and training on identifying and reporting abuse are found in </w:t>
      </w:r>
      <w:hyperlink r:id="rId54">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 Applicants for reinstatement shall provide documentation of having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category 1 credit needed for renewal in the most recent license period. None of the credits obtained in the inactive period may be carried over to a future license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on chronic pain management, end-of-life care, and identifying and reporting abuse, if applicable, within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Issuance of a reinstated license. </w:t>
      </w:r>
      <w:r>
        <w:rPr>
          <w:rFonts w:ascii="Times New Roman" w:hAnsi="Times New Roman"/>
          <w:b w:val="false"/>
          <w:i w:val="false"/>
          <w:color w:val="000000"/>
          <w:sz w:val="22"/>
        </w:rPr>
        <w:t>Upon receiving the completed application, staff shall administratively issue a license that expires on the renewal date that would have been in effect if the licensee had renewed the license before the license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Reinstatement application process. </w:t>
      </w:r>
      <w:r>
        <w:rPr>
          <w:rFonts w:ascii="Times New Roman" w:hAnsi="Times New Roman"/>
          <w:b w:val="false"/>
          <w:i w:val="false"/>
          <w:color w:val="000000"/>
          <w:sz w:val="22"/>
        </w:rPr>
        <w:t xml:space="preserve">The applicant who fails to submit all reinstatement information required within 365 days of the license’s becoming inactive shall be required to meet the reinstatement requirements of </w:t>
      </w:r>
      <w:hyperlink r:id="rId55">
        <w:r>
          <w:rPr>
            <w:rStyle w:val="Hyperlink"/>
            <w:rFonts w:ascii="Times New Roman" w:hAnsi="Times New Roman"/>
            <w:b w:val="false"/>
            <w:i w:val="false"/>
            <w:color w:val="000000"/>
            <w:sz w:val="22"/>
          </w:rPr>
          <w:t>9.15(2)</w:t>
        </w:r>
      </w:hyperlink>
      <w:r>
        <w:rPr>
          <w:rFonts w:ascii="Times New Roman" w:hAnsi="Times New Roman"/>
          <w:b w:val="false"/>
          <w:i w:val="false"/>
          <w:color w:val="000000"/>
          <w:sz w:val="22"/>
        </w:rPr>
        <w:t>. For example, if a physician’s license expires on January 1, the completed reinstatement application is due in the board office by December 31, in order to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9.15(2)</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an unrestricted Iowa license that has been inactive for one year or longer. </w:t>
      </w:r>
      <w:r>
        <w:rPr>
          <w:rFonts w:ascii="Times New Roman" w:hAnsi="Times New Roman"/>
          <w:b w:val="false"/>
          <w:i w:val="false"/>
          <w:color w:val="000000"/>
          <w:sz w:val="22"/>
        </w:rPr>
        <w:t>An individual whose license is in inactive status and who has not submitted a reinstatement application that was received by the board within one year of the license’s becoming inactive shall follow the application cycle specified in this rule and shall satisfy the following requirements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 reinstatement to the board upon forms provided by the board. The application shall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legal name, date and place of birth, license number,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photograph of the applicant suitable for positive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of successful completion of resident training approved by the board as specified in paragraph 9.3(1)</w:t>
      </w:r>
      <w:r>
        <w:rPr>
          <w:rFonts w:ascii="Times New Roman" w:hAnsi="Times New Roman"/>
          <w:b w:val="false"/>
          <w:i/>
          <w:color w:val="000000"/>
          <w:sz w:val="22"/>
        </w:rPr>
        <w:t>“c”</w:t>
      </w:r>
      <w:r>
        <w:rPr>
          <w:rFonts w:ascii="Times New Roman" w:hAnsi="Times New Roman"/>
          <w:b w:val="false"/>
          <w:i w:val="false"/>
          <w:color w:val="000000"/>
          <w:sz w:val="22"/>
        </w:rPr>
        <w:t xml:space="preserve"> which was completed since the time of initial licensure.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Verification of the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an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of the applicant’s physical and mental health, including full disclosure and a written explanation of any dysfunction or impairment which may affect the ability of the applicant to engage in practice and provide patients with safe and healthful care. Copies of evaluations, verification of medical condition from treating physicians, or other documentation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Copies of the legal documents may be requested if needed during the review process;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reinstatement fee plus the fee for the evaluation of the fingerprint packet and the DCI and FBI criminal history background checks specified in </w:t>
      </w:r>
      <w:hyperlink r:id="rId56">
        <w:r>
          <w:rPr>
            <w:rStyle w:val="Hyperlink"/>
            <w:rFonts w:ascii="Times New Roman" w:hAnsi="Times New Roman"/>
            <w:b w:val="false"/>
            <w:i w:val="false"/>
            <w:color w:val="000000"/>
            <w:sz w:val="22"/>
          </w:rPr>
          <w:t>653—paragraph 8.4(1)</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documentation of completion of 40 hours of category 1 credit within the previous two years and documentation of training on chronic pain management, end-of-life care, and identifying and reporting abuse as specified in </w:t>
      </w:r>
      <w:hyperlink r:id="rId57">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physician has not engaged in active clinical practice or board-approved training in the past three years in any jurisdiction of the United States or Canada,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SPEX, COMVEX-USA, or another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retraining program arranged by the physician and approved in advance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 who is able to submit a letter from the board with different reinstatement or reactivation criteria is eligible for reinstatement based on those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9.15(3)</w:t>
      </w:r>
      <w:r>
        <w:rPr>
          <w:rFonts w:ascii="Times New Roman" w:hAnsi="Times New Roman"/>
          <w:b w:val="false"/>
          <w:i w:val="false"/>
          <w:color w:val="000000"/>
          <w:sz w:val="22"/>
        </w:rPr>
        <w:t> </w:t>
      </w:r>
      <w:r>
        <w:rPr>
          <w:rFonts w:ascii="Times New Roman" w:hAnsi="Times New Roman"/>
          <w:b w:val="false"/>
          <w:i/>
          <w:color w:val="000000"/>
          <w:sz w:val="22"/>
        </w:rPr>
        <w:t xml:space="preserve">Reinstatement application cycle and process. </w:t>
      </w:r>
      <w:r>
        <w:rPr>
          <w:rFonts w:ascii="Times New Roman" w:hAnsi="Times New Roman"/>
          <w:b w:val="false"/>
          <w:i w:val="false"/>
          <w:color w:val="000000"/>
          <w:sz w:val="22"/>
        </w:rPr>
        <w:t xml:space="preserve">The cycle and process are the same as described in rules </w:t>
      </w:r>
      <w:hyperlink r:id="rId58">
        <w:r>
          <w:rPr>
            <w:rStyle w:val="Hyperlink"/>
            <w:rFonts w:ascii="Times New Roman" w:hAnsi="Times New Roman"/>
            <w:b w:val="false"/>
            <w:i w:val="false"/>
            <w:color w:val="000000"/>
            <w:sz w:val="22"/>
          </w:rPr>
          <w:t>653—9.8</w:t>
        </w:r>
      </w:hyperlink>
      <w:r>
        <w:rPr>
          <w:rFonts w:ascii="Times New Roman" w:hAnsi="Times New Roman"/>
          <w:b w:val="false"/>
          <w:i w:val="false"/>
          <w:color w:val="000000"/>
          <w:sz w:val="22"/>
        </w:rPr>
        <w:t xml:space="preserve">(147,148) and </w:t>
      </w:r>
      <w:hyperlink r:id="rId59">
        <w:r>
          <w:rPr>
            <w:rStyle w:val="Hyperlink"/>
            <w:rFonts w:ascii="Times New Roman" w:hAnsi="Times New Roman"/>
            <w:b w:val="false"/>
            <w:i w:val="false"/>
            <w:color w:val="000000"/>
            <w:sz w:val="22"/>
          </w:rPr>
          <w:t>653—9.9</w:t>
        </w:r>
      </w:hyperlink>
      <w:r>
        <w:rPr>
          <w:rFonts w:ascii="Times New Roman" w:hAnsi="Times New Roman"/>
          <w:b w:val="false"/>
          <w:i w:val="false"/>
          <w:color w:val="000000"/>
          <w:sz w:val="22"/>
        </w:rPr>
        <w:t>(147,148).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0215C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1187C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2524C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3587C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653—9.16</w:t>
      </w:r>
      <w:r>
        <w:rPr>
          <w:rFonts w:ascii="Times New Roman" w:hAnsi="Times New Roman"/>
          <w:b/>
          <w:i w:val="false"/>
          <w:color w:val="000000"/>
          <w:sz w:val="22"/>
        </w:rPr>
        <w:t xml:space="preserve">(147,148) </w:t>
      </w:r>
      <w:r>
        <w:rPr>
          <w:rFonts w:ascii="Times New Roman" w:hAnsi="Times New Roman"/>
          <w:b/>
          <w:i w:val="false"/>
          <w:color w:val="000000"/>
          <w:sz w:val="22"/>
        </w:rPr>
        <w:t xml:space="preserve">Reinstatement of a restricted Iowa license. </w:t>
      </w:r>
      <w:r>
        <w:rPr>
          <w:rFonts w:ascii="Times New Roman" w:hAnsi="Times New Roman"/>
          <w:b w:val="false"/>
          <w:i w:val="false"/>
          <w:color w:val="000000"/>
          <w:sz w:val="22"/>
        </w:rPr>
        <w:t xml:space="preserve">A physician whose license has been suspended or revoked following a disciplinary proceeding is required to seek reinstatement pursuant to </w:t>
      </w:r>
      <w:hyperlink r:id="rId60">
        <w:r>
          <w:rPr>
            <w:rStyle w:val="Hyperlink"/>
            <w:rFonts w:ascii="Times New Roman" w:hAnsi="Times New Roman"/>
            <w:b w:val="false"/>
            <w:i w:val="false"/>
            <w:color w:val="000000"/>
            <w:sz w:val="22"/>
          </w:rPr>
          <w:t>653—Chapter 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653—9.17</w:t>
      </w:r>
      <w:r>
        <w:rPr>
          <w:rFonts w:ascii="Times New Roman" w:hAnsi="Times New Roman"/>
          <w:b/>
          <w:i w:val="false"/>
          <w:color w:val="000000"/>
          <w:sz w:val="22"/>
        </w:rPr>
        <w:t xml:space="preserve">(147,148) </w:t>
      </w:r>
      <w:r>
        <w:rPr>
          <w:rFonts w:ascii="Times New Roman" w:hAnsi="Times New Roman"/>
          <w:b/>
          <w:i w:val="false"/>
          <w:color w:val="000000"/>
          <w:sz w:val="22"/>
        </w:rPr>
        <w:t xml:space="preserve">Denial of licensure or determined to be ineligible for licensure through the IMLC or termination of a license issued through the IMLC.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9.17(1)</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to an applicant, the board shall issue a preliminary notice of denial that shall be sent to the applicant by regular, first-class mail at the address provided by the applicant. The preliminary notice of denial is a public record and shall cite the factual and legal basis for denying the application, notify the applicant of the appeal process, and specify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9.17(2)</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An applicant who has received a preliminary notice of licensure denial or a Letter of Qualification that asserts the board has determined that the applicant is ineligible for licensure through the IMLC, or a notice that a medical license is ineligible for renewal through the IMLC, may appeal and request a hearing on the issues related to the preliminary notice of licensure denial or ineligibility for licensure or licensure renewal through the IMLC by serving a request for hearing upon the executive director not more than 30 calendar days following the date when the notice was mailed. The applicant’s current address shall be provided in the request for hearing. The request is deemed filed on the date it is received in the board office. If the request is received with a USPS nonmetered postmark, the board shall consider the postmark date as the date the request is filed. The request shall specify the factual or legal errors and that the applicant desires an evidentiary hearing, and may provide additional written information or documents in support of licensure, or a Letter of Qualification that asserts the applicant is eligible for licensure through the IMLC, or the applicant is eligible for licensure renewal through the IMLC.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9.17(3)</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an applicant appeals the preliminary notice of licensure denial or a determination of ineligibility for licensure or licensure renewal through the IMLC and requests a hearing, the hearing shall be a contested case and subsequent proceedings shall be conducted in accordance with </w:t>
      </w:r>
      <w:hyperlink r:id="rId61">
        <w:r>
          <w:rPr>
            <w:rStyle w:val="Hyperlink"/>
            <w:rFonts w:ascii="Times New Roman" w:hAnsi="Times New Roman"/>
            <w:b w:val="false"/>
            <w:i w:val="false"/>
            <w:color w:val="000000"/>
            <w:sz w:val="22"/>
          </w:rPr>
          <w:t>653—25.30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Hearings for applicants denied licensure, or determined to be ineligible for licensure or licensure renewal through the IMLC are contested cases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party may request issuance of a protective order in the event privileged or confidential information is submitted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supporting the denial of the license or the determination of ineligibility for licensure or licensure renewal through the IMLC may be presented by an assistant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While each party shall have the burden of establishing the affirmative of matters asserted, the applicant shall have the ultimate burden of persuasion as to the applicant’s qualification for licensure or licensure eligibility or licensure renewal through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board, after a hearing on license denial, may grant or deny the application for licensure. The board shall state the reasons for its decision and may grant the license, grant the license with restrictions or deny the license. The final decision is a public record. After a hearing on ineligibility for licensure renewal through the IMLC, the board may uphold the termination of the license or allow the licensee to renew. The board shall state the reasons for its decision, which is a public record. After a hearing on a Letter of Qualification determination, the board may uphold the ineligible determination or issue a Letter of Qualification asserting the applicant is eligible for licensure through the IMLC. The board shall state the reasons for its decision, which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a final order of the board denying licensure, issuing a license with restrictions, terminating a license not eligible for renewal through the IMLC, or upholding a Letter of Qualification asserting that an applicant is ineligible for licensure through the IMLC may be sought in accordance with the provisions of Iowa Code section </w:t>
      </w:r>
      <w:hyperlink r:id="rId6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which are applicable to judicial review of any agency’s final decision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9.17(4)</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 xml:space="preserve">If an applicant does not appeal a preliminary notice of denial in accordance with </w:t>
      </w:r>
      <w:hyperlink r:id="rId63">
        <w:r>
          <w:rPr>
            <w:rStyle w:val="Hyperlink"/>
            <w:rFonts w:ascii="Times New Roman" w:hAnsi="Times New Roman"/>
            <w:b w:val="false"/>
            <w:i w:val="false"/>
            <w:color w:val="000000"/>
            <w:sz w:val="22"/>
          </w:rPr>
          <w:t>9.17(2)</w:t>
        </w:r>
      </w:hyperlink>
      <w:r>
        <w:rPr>
          <w:rFonts w:ascii="Times New Roman" w:hAnsi="Times New Roman"/>
          <w:b w:val="false"/>
          <w:i w:val="false"/>
          <w:color w:val="000000"/>
          <w:sz w:val="22"/>
        </w:rPr>
        <w:t>, the preliminary notice of denial automatically becomes final. A final denial of an application for licensure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9.17(5)</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 xml:space="preserve">If an applicant appeals a preliminary notice of licensure denial or a notice of ineligibility for licensure or licensure renewal through the IMLC, in accordance with </w:t>
      </w:r>
      <w:hyperlink r:id="rId64">
        <w:r>
          <w:rPr>
            <w:rStyle w:val="Hyperlink"/>
            <w:rFonts w:ascii="Times New Roman" w:hAnsi="Times New Roman"/>
            <w:b w:val="false"/>
            <w:i w:val="false"/>
            <w:color w:val="000000"/>
            <w:sz w:val="22"/>
          </w:rPr>
          <w:t>9.17(2)</w:t>
        </w:r>
      </w:hyperlink>
      <w:r>
        <w:rPr>
          <w:rFonts w:ascii="Times New Roman" w:hAnsi="Times New Roman"/>
          <w:b w:val="false"/>
          <w:i w:val="false"/>
          <w:color w:val="000000"/>
          <w:sz w:val="22"/>
        </w:rPr>
        <w:t>, but the applicant fails to pursue that appeal to a final decision within one year from the date of the preliminary notice of licensure denial or a notice of ineligibility for licensure or licensure renewal through the IMLC, the board may dismiss the appeal. The appeal may be dismissed only after the board sends a written notice by first-class mail to the applicant at the applicant’s last-known address. The notice shall state that the appeal will be dismissed and that the preliminary notice of licensure denial or a notice of ineligibility for licensure or licensure renewal through the IMLC will become final if the applicant does not contact the board to schedule the appeal hearing within 30 days of the date the letter is mailed from the board office. Upon dismissal of an appeal, the preliminary notice of licensure denial or a notice of ineligibility for licensure or licensure renewal through the IMLC becomes final. A final decision under this rule is a public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7756B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8554B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3587C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653—9.18</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Waiver requests. </w:t>
      </w:r>
      <w:r>
        <w:rPr>
          <w:rFonts w:ascii="Times New Roman" w:hAnsi="Times New Roman"/>
          <w:b w:val="false"/>
          <w:i w:val="false"/>
          <w:color w:val="000000"/>
          <w:sz w:val="22"/>
        </w:rPr>
        <w:t xml:space="preserve">Waiver requests shall be submitted in conformance with </w:t>
      </w:r>
      <w:hyperlink r:id="rId65">
        <w:r>
          <w:rPr>
            <w:rStyle w:val="Hyperlink"/>
            <w:rFonts w:ascii="Times New Roman" w:hAnsi="Times New Roman"/>
            <w:b w:val="false"/>
            <w:i w:val="false"/>
            <w:color w:val="000000"/>
            <w:sz w:val="22"/>
          </w:rPr>
          <w:t>653—Chapter 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653—9.19</w:t>
      </w:r>
      <w:r>
        <w:rPr>
          <w:rFonts w:ascii="Times New Roman" w:hAnsi="Times New Roman"/>
          <w:b/>
          <w:i w:val="false"/>
          <w:color w:val="000000"/>
          <w:sz w:val="22"/>
        </w:rPr>
        <w:t xml:space="preserve">(147,148) </w:t>
      </w:r>
      <w:r>
        <w:rPr>
          <w:rFonts w:ascii="Times New Roman" w:hAnsi="Times New Roman"/>
          <w:b/>
          <w:i w:val="false"/>
          <w:color w:val="000000"/>
          <w:sz w:val="22"/>
        </w:rPr>
        <w:t xml:space="preserve">Relinquishment of license to practice. </w:t>
      </w:r>
      <w:r>
        <w:rPr>
          <w:rFonts w:ascii="Times New Roman" w:hAnsi="Times New Roman"/>
          <w:b w:val="false"/>
          <w:i w:val="false"/>
          <w:color w:val="000000"/>
          <w:sz w:val="22"/>
        </w:rPr>
        <w:t>A person’s permanent license to practice medicine and surgery, osteopathic medicine and surgery, or administrative medicine shall be deemed relinquished if the person fails to apply for renewal or reinstatement of the license within five years after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shall not be reinstated, reissued, or restored once it is relinquished. The person may apply for a new license pursuant to Iowa Code sections </w:t>
      </w:r>
      <w:hyperlink r:id="rId66">
        <w:r>
          <w:rPr>
            <w:rStyle w:val="Hyperlink"/>
            <w:rFonts w:ascii="Times New Roman" w:hAnsi="Times New Roman"/>
            <w:b w:val="false"/>
            <w:i w:val="false"/>
            <w:color w:val="000000"/>
            <w:sz w:val="22"/>
          </w:rPr>
          <w:t>148.3</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148.11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653—Chapters 9</w:t>
      </w:r>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9.19(2)</w:t>
      </w:r>
      <w:r>
        <w:rPr>
          <w:rFonts w:ascii="Times New Roman" w:hAnsi="Times New Roman"/>
          <w:b w:val="false"/>
          <w:i w:val="false"/>
          <w:color w:val="000000"/>
          <w:sz w:val="22"/>
        </w:rPr>
        <w:t> </w:t>
      </w:r>
      <w:r>
        <w:rPr>
          <w:rFonts w:ascii="Times New Roman" w:hAnsi="Times New Roman"/>
          <w:b w:val="false"/>
          <w:i w:val="false"/>
          <w:color w:val="000000"/>
          <w:sz w:val="22"/>
        </w:rPr>
        <w:t>The relinquishment of license may be stayed if, at the date of relinquishment, there is an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order pursuant to Iowa Code section </w:t>
      </w:r>
      <w:hyperlink r:id="rId69">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 xml:space="preserve"> and rule </w:t>
      </w:r>
      <w:hyperlink r:id="rId70">
        <w:r>
          <w:rPr>
            <w:rStyle w:val="Hyperlink"/>
            <w:rFonts w:ascii="Times New Roman" w:hAnsi="Times New Roman"/>
            <w:b w:val="false"/>
            <w:i w:val="false"/>
            <w:color w:val="000000"/>
            <w:sz w:val="22"/>
          </w:rPr>
          <w:t>653—24.4</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Combined statement of charges and settlement agreement pursuant to Iowa Code sections </w:t>
      </w:r>
      <w:hyperlink r:id="rId71">
        <w:r>
          <w:rPr>
            <w:rStyle w:val="Hyperlink"/>
            <w:rFonts w:ascii="Times New Roman" w:hAnsi="Times New Roman"/>
            <w:b w:val="false"/>
            <w:i w:val="false"/>
            <w:color w:val="000000"/>
            <w:sz w:val="22"/>
          </w:rPr>
          <w:t>17A.10(2)</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272C.3(4)</w:t>
        </w:r>
      </w:hyperlink>
      <w:r>
        <w:rPr>
          <w:rFonts w:ascii="Times New Roman" w:hAnsi="Times New Roman"/>
          <w:b w:val="false"/>
          <w:i w:val="false"/>
          <w:color w:val="000000"/>
          <w:sz w:val="22"/>
        </w:rPr>
        <w:t xml:space="preserve"> and rule </w:t>
      </w:r>
      <w:hyperlink r:id="rId73">
        <w:r>
          <w:rPr>
            <w:rStyle w:val="Hyperlink"/>
            <w:rFonts w:ascii="Times New Roman" w:hAnsi="Times New Roman"/>
            <w:b w:val="false"/>
            <w:i w:val="false"/>
            <w:color w:val="000000"/>
            <w:sz w:val="22"/>
          </w:rPr>
          <w:t>653—25.3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of charges pursuant to Iowa Code section </w:t>
      </w:r>
      <w:hyperlink r:id="rId74">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and rule </w:t>
      </w:r>
      <w:hyperlink r:id="rId75">
        <w:r>
          <w:rPr>
            <w:rStyle w:val="Hyperlink"/>
            <w:rFonts w:ascii="Times New Roman" w:hAnsi="Times New Roman"/>
            <w:b w:val="false"/>
            <w:i w:val="false"/>
            <w:color w:val="000000"/>
            <w:sz w:val="22"/>
          </w:rPr>
          <w:t>653—25.4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Settlement agreement pursuant to Iowa Code sections </w:t>
      </w:r>
      <w:hyperlink r:id="rId76">
        <w:r>
          <w:rPr>
            <w:rStyle w:val="Hyperlink"/>
            <w:rFonts w:ascii="Times New Roman" w:hAnsi="Times New Roman"/>
            <w:b w:val="false"/>
            <w:i w:val="false"/>
            <w:color w:val="000000"/>
            <w:sz w:val="22"/>
          </w:rPr>
          <w:t>17A.10(2)</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272C.3(4)</w:t>
        </w:r>
      </w:hyperlink>
      <w:r>
        <w:rPr>
          <w:rFonts w:ascii="Times New Roman" w:hAnsi="Times New Roman"/>
          <w:b w:val="false"/>
          <w:i w:val="false"/>
          <w:color w:val="000000"/>
          <w:sz w:val="22"/>
        </w:rPr>
        <w:t xml:space="preserve"> and rule </w:t>
      </w:r>
      <w:hyperlink r:id="rId78">
        <w:r>
          <w:rPr>
            <w:rStyle w:val="Hyperlink"/>
            <w:rFonts w:ascii="Times New Roman" w:hAnsi="Times New Roman"/>
            <w:b w:val="false"/>
            <w:i w:val="false"/>
            <w:color w:val="000000"/>
            <w:sz w:val="22"/>
          </w:rPr>
          <w:t>653—25.17</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decision pursuant to Iowa Code sections </w:t>
      </w:r>
      <w:hyperlink r:id="rId79">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and rule </w:t>
      </w:r>
      <w:hyperlink r:id="rId81">
        <w:r>
          <w:rPr>
            <w:rStyle w:val="Hyperlink"/>
            <w:rFonts w:ascii="Times New Roman" w:hAnsi="Times New Roman"/>
            <w:b w:val="false"/>
            <w:i w:val="false"/>
            <w:color w:val="000000"/>
            <w:sz w:val="22"/>
          </w:rPr>
          <w:t>653—25.24</w:t>
        </w:r>
      </w:hyperlink>
      <w:r>
        <w:rPr>
          <w:rFonts w:ascii="Times New Roman" w:hAnsi="Times New Roman"/>
          <w:b w:val="false"/>
          <w:i w:val="false"/>
          <w:color w:val="000000"/>
          <w:sz w:val="22"/>
        </w:rPr>
        <w:t>(17A);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reinstatement of the license pursuant to rule </w:t>
      </w:r>
      <w:hyperlink r:id="rId82">
        <w:r>
          <w:rPr>
            <w:rStyle w:val="Hyperlink"/>
            <w:rFonts w:ascii="Times New Roman" w:hAnsi="Times New Roman"/>
            <w:b w:val="false"/>
            <w:i w:val="false"/>
            <w:color w:val="000000"/>
            <w:sz w:val="22"/>
          </w:rPr>
          <w:t>653—9.15</w:t>
        </w:r>
      </w:hyperlink>
      <w:r>
        <w:rPr>
          <w:rFonts w:ascii="Times New Roman" w:hAnsi="Times New Roman"/>
          <w:b w:val="false"/>
          <w:i w:val="false"/>
          <w:color w:val="000000"/>
          <w:sz w:val="22"/>
        </w:rPr>
        <w:t xml:space="preserve">(147,148) or </w:t>
      </w:r>
      <w:hyperlink r:id="rId83">
        <w:r>
          <w:rPr>
            <w:rStyle w:val="Hyperlink"/>
            <w:rFonts w:ascii="Times New Roman" w:hAnsi="Times New Roman"/>
            <w:b w:val="false"/>
            <w:i w:val="false"/>
            <w:color w:val="000000"/>
            <w:sz w:val="22"/>
          </w:rPr>
          <w:t>653—9.16</w:t>
        </w:r>
      </w:hyperlink>
      <w:r>
        <w:rPr>
          <w:rFonts w:ascii="Times New Roman" w:hAnsi="Times New Roman"/>
          <w:b w:val="false"/>
          <w:i w:val="false"/>
          <w:color w:val="000000"/>
          <w:sz w:val="22"/>
        </w:rPr>
        <w:t>(147,148).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2346C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653—9.20</w:t>
      </w:r>
      <w:r>
        <w:rPr>
          <w:rFonts w:ascii="Times New Roman" w:hAnsi="Times New Roman"/>
          <w:b/>
          <w:i w:val="false"/>
          <w:color w:val="000000"/>
          <w:sz w:val="22"/>
        </w:rPr>
        <w:t xml:space="preserve">(147,148) </w:t>
      </w:r>
      <w:r>
        <w:rPr>
          <w:rFonts w:ascii="Times New Roman" w:hAnsi="Times New Roman"/>
          <w:b/>
          <w:i w:val="false"/>
          <w:color w:val="000000"/>
          <w:sz w:val="22"/>
        </w:rPr>
        <w:t xml:space="preserve">Administrative medicine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application for an administrative medicine license shall be made to the board of medicine pursuant to the requirements established in Iowa Code section </w:t>
      </w:r>
      <w:hyperlink r:id="rId84">
        <w:r>
          <w:rPr>
            <w:rStyle w:val="Hyperlink"/>
            <w:rFonts w:ascii="Times New Roman" w:hAnsi="Times New Roman"/>
            <w:b w:val="false"/>
            <w:i w:val="false"/>
            <w:color w:val="000000"/>
            <w:sz w:val="22"/>
          </w:rPr>
          <w:t>148.3</w:t>
        </w:r>
      </w:hyperlink>
      <w:r>
        <w:rPr>
          <w:rFonts w:ascii="Times New Roman" w:hAnsi="Times New Roman"/>
          <w:b w:val="false"/>
          <w:i w:val="false"/>
          <w:color w:val="000000"/>
          <w:sz w:val="22"/>
        </w:rPr>
        <w:t xml:space="preserve"> and this chapter. An applicant for an administrative medicine license shall be subject to all of the permanent licensure requirements established in Iowa Code section </w:t>
      </w:r>
      <w:hyperlink r:id="rId85">
        <w:r>
          <w:rPr>
            <w:rStyle w:val="Hyperlink"/>
            <w:rFonts w:ascii="Times New Roman" w:hAnsi="Times New Roman"/>
            <w:b w:val="false"/>
            <w:i w:val="false"/>
            <w:color w:val="000000"/>
            <w:sz w:val="22"/>
          </w:rPr>
          <w:t>148.3</w:t>
        </w:r>
      </w:hyperlink>
      <w:r>
        <w:rPr>
          <w:rFonts w:ascii="Times New Roman" w:hAnsi="Times New Roman"/>
          <w:b w:val="false"/>
          <w:i w:val="false"/>
          <w:color w:val="000000"/>
          <w:sz w:val="22"/>
        </w:rPr>
        <w:t xml:space="preserve"> and this chapter, except that the applicant shall not be required to demonstrate that the applicant has engaged in active clinical practice in the past three years as outlined in paragraphs </w:t>
      </w:r>
      <w:hyperlink r:id="rId86">
        <w:r>
          <w:rPr>
            <w:rStyle w:val="Hyperlink"/>
            <w:rFonts w:ascii="Times New Roman" w:hAnsi="Times New Roman"/>
            <w:b w:val="false"/>
            <w:i w:val="false"/>
            <w:color w:val="000000"/>
            <w:sz w:val="22"/>
          </w:rPr>
          <w:t>9.8(7)</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9.15(2)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The board may, in its discretion, issue an administrative medicine license authorizing the licensee to practice administrative medicine only, as defined by this rule. The license shall be designated “administrative medicine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All license and renewal fees shall be paid to the board in accordance with </w:t>
      </w:r>
      <w:hyperlink r:id="rId88">
        <w:r>
          <w:rPr>
            <w:rStyle w:val="Hyperlink"/>
            <w:rFonts w:ascii="Times New Roman" w:hAnsi="Times New Roman"/>
            <w:b w:val="false"/>
            <w:i w:val="false"/>
            <w:color w:val="000000"/>
            <w:sz w:val="22"/>
          </w:rPr>
          <w:t>653—Chapters 8</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9.20(3)</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for initial licensure or reinstatement of an administrative medicine license has not actively practiced administrative or clinical medicine in a jurisdiction of the United States or Canada in the past three years, the board may require the applicant to demonstrate competence in a method prescribed by the board in accordance with paragraphs </w:t>
      </w:r>
      <w:hyperlink r:id="rId90">
        <w:r>
          <w:rPr>
            <w:rStyle w:val="Hyperlink"/>
            <w:rFonts w:ascii="Times New Roman" w:hAnsi="Times New Roman"/>
            <w:b w:val="false"/>
            <w:i w:val="false"/>
            <w:color w:val="000000"/>
            <w:sz w:val="22"/>
          </w:rPr>
          <w:t>9.8(7)</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9.15(2)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holds an administrative medicine license and has not engaged in active clinical practice in a jurisdiction of the United States or Canada for more than three years may be required to demonstrate competence to practice clinical medicine in a method prescribed by the board in accordance with paragraphs </w:t>
      </w:r>
      <w:hyperlink r:id="rId92">
        <w:r>
          <w:rPr>
            <w:rStyle w:val="Hyperlink"/>
            <w:rFonts w:ascii="Times New Roman" w:hAnsi="Times New Roman"/>
            <w:b w:val="false"/>
            <w:i w:val="false"/>
            <w:color w:val="000000"/>
            <w:sz w:val="22"/>
          </w:rPr>
          <w:t>9.8(7)</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9.15(2)</w:t>
        </w:r>
        <w:r>
          <w:rPr>
            <w:rFonts w:ascii="Times New Roman" w:hAnsi="Times New Roman"/>
            <w:b w:val="false"/>
            <w:i/>
            <w:color w:val="000000"/>
            <w:sz w:val="22"/>
          </w:rPr>
          <w:t>“d”</w:t>
        </w:r>
      </w:hyperlink>
      <w:r>
        <w:rPr>
          <w:rFonts w:ascii="Times New Roman" w:hAnsi="Times New Roman"/>
          <w:b w:val="false"/>
          <w:i w:val="false"/>
          <w:color w:val="000000"/>
          <w:sz w:val="22"/>
        </w:rPr>
        <w:t xml:space="preserve"> prior to obtaining a permanent Iowa medical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9.20(4)</w:t>
      </w:r>
      <w:r>
        <w:rPr>
          <w:rFonts w:ascii="Times New Roman" w:hAnsi="Times New Roman"/>
          <w:b w:val="false"/>
          <w:i w:val="false"/>
          <w:color w:val="000000"/>
          <w:sz w:val="22"/>
        </w:rPr>
        <w:t> </w:t>
      </w:r>
      <w:r>
        <w:rPr>
          <w:rFonts w:ascii="Times New Roman" w:hAnsi="Times New Roman"/>
          <w:b w:val="false"/>
          <w:i/>
          <w:color w:val="000000"/>
          <w:sz w:val="22"/>
        </w:rPr>
        <w:t xml:space="preserve">No exemptions to laws and rules. </w:t>
      </w:r>
      <w:r>
        <w:rPr>
          <w:rFonts w:ascii="Times New Roman" w:hAnsi="Times New Roman"/>
          <w:b w:val="false"/>
          <w:i w:val="false"/>
          <w:color w:val="000000"/>
          <w:sz w:val="22"/>
        </w:rPr>
        <w:t>A physician with an administrative medicine license shall be subject to the same laws and rules governing the practice of medicine as a person holding a permanent Iowa medical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9.20(5)</w:t>
      </w:r>
      <w:r>
        <w:rPr>
          <w:rFonts w:ascii="Times New Roman" w:hAnsi="Times New Roman"/>
          <w:b w:val="false"/>
          <w:i w:val="false"/>
          <w:color w:val="000000"/>
          <w:sz w:val="22"/>
        </w:rPr>
        <w:t> </w:t>
      </w:r>
      <w:r>
        <w:rPr>
          <w:rFonts w:ascii="Times New Roman" w:hAnsi="Times New Roman"/>
          <w:b w:val="false"/>
          <w:i/>
          <w:color w:val="000000"/>
          <w:sz w:val="22"/>
        </w:rPr>
        <w:t xml:space="preserve">Only one active license at a time. </w:t>
      </w:r>
      <w:r>
        <w:rPr>
          <w:rFonts w:ascii="Times New Roman" w:hAnsi="Times New Roman"/>
          <w:b w:val="false"/>
          <w:i w:val="false"/>
          <w:color w:val="000000"/>
          <w:sz w:val="22"/>
        </w:rPr>
        <w:t>When applicable, a person’s active Iowa permanent or Iowa resident license shall immediately become inactive upon issuance of an administrative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9.20(6)</w:t>
      </w:r>
      <w:r>
        <w:rPr>
          <w:rFonts w:ascii="Times New Roman" w:hAnsi="Times New Roman"/>
          <w:b w:val="false"/>
          <w:i w:val="false"/>
          <w:color w:val="000000"/>
          <w:sz w:val="22"/>
        </w:rPr>
        <w:t> </w:t>
      </w:r>
      <w:r>
        <w:rPr>
          <w:rFonts w:ascii="Times New Roman" w:hAnsi="Times New Roman"/>
          <w:b w:val="false"/>
          <w:i/>
          <w:color w:val="000000"/>
          <w:sz w:val="22"/>
        </w:rPr>
        <w:t xml:space="preserve">Interstate medical licensure compact. </w:t>
      </w:r>
      <w:r>
        <w:rPr>
          <w:rFonts w:ascii="Times New Roman" w:hAnsi="Times New Roman"/>
          <w:b w:val="false"/>
          <w:i w:val="false"/>
          <w:color w:val="000000"/>
          <w:sz w:val="22"/>
        </w:rPr>
        <w:t>A physician who holds only an administrative medicine license may not be eligible for licensure under the interstate medical licensure compact.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2523C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3587C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653—9.21</w:t>
      </w:r>
      <w:r>
        <w:rPr>
          <w:rFonts w:ascii="Times New Roman" w:hAnsi="Times New Roman"/>
          <w:b/>
          <w:i w:val="false"/>
          <w:color w:val="000000"/>
          <w:sz w:val="22"/>
        </w:rPr>
        <w:t xml:space="preserve">(147,147B,148) </w:t>
      </w:r>
      <w:r>
        <w:rPr>
          <w:rFonts w:ascii="Times New Roman" w:hAnsi="Times New Roman"/>
          <w:b/>
          <w:i w:val="false"/>
          <w:color w:val="000000"/>
          <w:sz w:val="22"/>
        </w:rPr>
        <w:t xml:space="preserve">Licensure through IMLC.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seeking a Letter of Qualification from the Iowa board of medicine. </w:t>
      </w:r>
      <w:r>
        <w:rPr>
          <w:rFonts w:ascii="Times New Roman" w:hAnsi="Times New Roman"/>
          <w:b w:val="false"/>
          <w:i w:val="false"/>
          <w:color w:val="000000"/>
          <w:sz w:val="22"/>
        </w:rPr>
        <w:t>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Designate Iowa as state of principal license. To designate Iowa as state of principal license, the physician must possess a full, unrestricted, permanent Iowa medical license and meet one of the following requirements at the time the application for a Letter of Qualification is reviewed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is the physician’s primary residence,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25 percent of the physician’s medical practice occurs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physician’s employer is located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applicant does not meet any of the requirements under (1), (2), or (3), the applicant can designate Iowa as the state of principal license if Iowa is the applicant’s state of residence for the purposes of federal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evidence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Graduation from a medical school accredited by the LCME, COCA, or a medical school listed in the International Medical Education Directory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Passage of each component of the USMLE or the COMLEX within three attempts, or any of its predecessor examinations accepted by the board as an equivalent examination for licensure purposes as prescribed in rule 653—9.7(147,148).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of graduate medical education approved by the ACGME or the AOA. “Successful completion” means participation in an ACGME or AOA postgraduate training program that achieves ABMS or AOA board eligibility status. A one-year transitional internship or a one-year rotating internship does not qualify as graduate medical education required in Iowa Code section </w:t>
      </w:r>
      <w:hyperlink r:id="rId94">
        <w:r>
          <w:rPr>
            <w:rStyle w:val="Hyperlink"/>
            <w:rFonts w:ascii="Times New Roman" w:hAnsi="Times New Roman"/>
            <w:b w:val="false"/>
            <w:i w:val="false"/>
            <w:color w:val="000000"/>
            <w:sz w:val="22"/>
          </w:rPr>
          <w:t>147B.1(2)</w:t>
        </w:r>
      </w:hyperlink>
      <w:r>
        <w:rPr>
          <w:rFonts w:ascii="Times New Roman" w:hAnsi="Times New Roman"/>
          <w:b w:val="false"/>
          <w:i/>
          <w:color w:val="000000"/>
          <w:sz w:val="22"/>
        </w:rPr>
        <w:t>“k”</w:t>
      </w:r>
      <w:r>
        <w:rPr>
          <w:rFonts w:ascii="Times New Roman" w:hAnsi="Times New Roman"/>
          <w:b w:val="false"/>
          <w:i w:val="false"/>
          <w:color w:val="000000"/>
          <w:sz w:val="22"/>
        </w:rPr>
        <w:t>(3) and IMLC Section 5.4(1)</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Hold specialty certification or a time-unlimited specialty certificate recognized by the ABMS or the AOA. The specialty certification or a time-unlimited specialty certificate does not have to be maintained once a physician is determined to be eligible for licensure through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never been convicted of or received adjudication, deferred adjudication, community supervision, or deferred disposition for any criminal offense by a court of appropriate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Has never held a license authorizing the practice of medicine subjected to discipline by a licensing agency in any state, federal, or foreign jurisdiction, excluding any action related to nonpayment of fees related to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never had a controlled substance license or permit suspended or revoked by a state or the U.S. Drug Enforcement Administration (DEA).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Is not under active investigation by a licensing agency or law enforcement authority in any state, federal, or foreign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physician seeking licensure through the IMLC who is qualified to designate Iowa as state of principal license shall file an application for a Letter of Qualification with the interstate commission at </w:t>
      </w:r>
      <w:hyperlink r:id="rId95">
        <w:r>
          <w:rPr>
            <w:rStyle w:val="Hyperlink"/>
            <w:rFonts w:ascii="Times New Roman" w:hAnsi="Times New Roman"/>
            <w:b w:val="false"/>
            <w:i w:val="false"/>
            <w:color w:val="000000"/>
            <w:sz w:val="22"/>
            <w:u w:val="single"/>
          </w:rPr>
          <w:t>www.imlcc.org</w:t>
        </w:r>
      </w:hyperlink>
      <w:r>
        <w:rPr>
          <w:rFonts w:ascii="Times New Roman" w:hAnsi="Times New Roman"/>
          <w:b w:val="false"/>
          <w:i w:val="false"/>
          <w:color w:val="000000"/>
          <w:sz w:val="22"/>
        </w:rPr>
        <w:t>. The application shall require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service fee to the interstate commission for an application for a Letter of Qualification. This service fee includes the cost for the evaluation of the fingerprint packet and the criminal history background checks by the Iowa division of criminal investigation (DCI) and the Federal Bureau of Investigation (FBI) as specified in 653—subrule 8.3(1);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Completion and submission of forms provided by the board, including required core credentials, documents, a completed fingerprint packet and the criminal history background checks by the DCI and the FBI,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w:t>
      </w:r>
      <w:r>
        <w:rPr>
          <w:rFonts w:ascii="Times New Roman" w:hAnsi="Times New Roman"/>
          <w:b w:val="false"/>
          <w:i w:val="false"/>
          <w:color w:val="000000"/>
          <w:sz w:val="22"/>
        </w:rPr>
        <w:t> </w:t>
      </w:r>
      <w:r>
        <w:rPr>
          <w:rFonts w:ascii="Times New Roman" w:hAnsi="Times New Roman"/>
          <w:b w:val="false"/>
          <w:i/>
          <w:color w:val="000000"/>
          <w:sz w:val="22"/>
        </w:rPr>
        <w:t xml:space="preserve">Letter of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receipt of all application materials, the board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Evaluate the applicant’s eligibility for licensure through the IMLC by primary source verification of medical education, graduate medical education, licensing examination results, and other qualifications as determined by IMLC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a criminal background check;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Issue a Letter of Qualification to the applicant verifying or denying the applicant’s eligibility. The applicant may appeal a determination of eligibility to the Iowa board of medicine within 30 days of issuance of the Letter of Qualification according to the processes outlined in rule 653—9.17(147,148).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Letter of Qualification is valid for a period of 365 days from its date of issuance to request licensure in a member state. During this period, the physician must maintain eligibility to claim Iowa as the state of principal license or designate a new state of principal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9.21(4)</w:t>
      </w:r>
      <w:r>
        <w:rPr>
          <w:rFonts w:ascii="Times New Roman" w:hAnsi="Times New Roman"/>
          <w:b w:val="false"/>
          <w:i w:val="false"/>
          <w:color w:val="000000"/>
          <w:sz w:val="22"/>
        </w:rPr>
        <w:t> </w:t>
      </w:r>
      <w:r>
        <w:rPr>
          <w:rFonts w:ascii="Times New Roman" w:hAnsi="Times New Roman"/>
          <w:b w:val="false"/>
          <w:i/>
          <w:color w:val="000000"/>
          <w:sz w:val="22"/>
        </w:rPr>
        <w:t xml:space="preserve">Expedited licensure. </w:t>
      </w:r>
      <w:r>
        <w:rPr>
          <w:rFonts w:ascii="Times New Roman" w:hAnsi="Times New Roman"/>
          <w:b w:val="false"/>
          <w:i w:val="false"/>
          <w:color w:val="000000"/>
          <w:sz w:val="22"/>
        </w:rPr>
        <w:t>Physicians who have a valid Letter of Qualification may obtain licensure in Iowa through the IMLC. To obtain a permanent Iowa license through the IMLC, a qualified physician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application process at the IMLC’s website, </w:t>
      </w:r>
      <w:hyperlink r:id="rId96">
        <w:r>
          <w:rPr>
            <w:rStyle w:val="Hyperlink"/>
            <w:rFonts w:ascii="Times New Roman" w:hAnsi="Times New Roman"/>
            <w:b w:val="false"/>
            <w:i w:val="false"/>
            <w:color w:val="000000"/>
            <w:sz w:val="22"/>
            <w:u w:val="single"/>
          </w:rPr>
          <w:t>www.imlcc.org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the licensure fee specified in 653—subrule 8.3(2) and any service fees that are required by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Comply with the continuing medical education requirements of the board, including mandatory trainings specified in 653—Chapter 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9.21(5)</w:t>
      </w:r>
      <w:r>
        <w:rPr>
          <w:rFonts w:ascii="Times New Roman" w:hAnsi="Times New Roman"/>
          <w:b w:val="false"/>
          <w:i w:val="false"/>
          <w:color w:val="000000"/>
          <w:sz w:val="22"/>
        </w:rPr>
        <w:t> </w:t>
      </w:r>
      <w:r>
        <w:rPr>
          <w:rFonts w:ascii="Times New Roman" w:hAnsi="Times New Roman"/>
          <w:b w:val="false"/>
          <w:i/>
          <w:color w:val="000000"/>
          <w:sz w:val="22"/>
        </w:rPr>
        <w:t xml:space="preserve">Validity of a license issued through the IMLC. </w:t>
      </w:r>
      <w:r>
        <w:rPr>
          <w:rFonts w:ascii="Times New Roman" w:hAnsi="Times New Roman"/>
          <w:b w:val="false"/>
          <w:i w:val="false"/>
          <w:color w:val="000000"/>
          <w:sz w:val="22"/>
        </w:rPr>
        <w:t>A license issued through the IMLC is valid for a period consistent with other permanent licenses issued by the board. An Iowa license issued through the IMLC shall be deemed terminated if the licensee fails to maintain a state of principal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9.21(6)</w:t>
      </w:r>
      <w:r>
        <w:rPr>
          <w:rFonts w:ascii="Times New Roman" w:hAnsi="Times New Roman"/>
          <w:b w:val="false"/>
          <w:i w:val="false"/>
          <w:color w:val="000000"/>
          <w:sz w:val="22"/>
        </w:rPr>
        <w:t> </w:t>
      </w:r>
      <w:r>
        <w:rPr>
          <w:rFonts w:ascii="Times New Roman" w:hAnsi="Times New Roman"/>
          <w:b w:val="false"/>
          <w:i/>
          <w:color w:val="000000"/>
          <w:sz w:val="22"/>
        </w:rPr>
        <w:t xml:space="preserve">Disciplinary actions against licenses issued through the IMLC.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Physicians holding an Iowa license issued through the IMLC are subject to the laws and rules governing the practice of medicine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by another member board of the IMLC against a physician licensed through IMLC shall be deemed unprofessional conduct which may be subject to discipline by the board in addition to any other violation of the board’s rules deemed appropriate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license issued through the IMLC to a physician is revoked, surrendered, or relinquished in lieu of discipline, or suspended by a member board of the IMLC, then the physician’s Iowa expedited license is automatically and immediately suspended, without further action needed, for a period of 90 days upon entry of an order by the board. The 90-day suspension may be terminated early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by another member board not in the state of principal license may be deemed conclusive as to the matter of law and fact decided, and the board may either impose the same or lesser sanctions against the physician so long as such sanctions are consistent with the board’s laws and rules or pursue separate disciplinary action against the physician pursuant to the board’s laws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Iowa board, as the physician’s state of principal license, revokes or suspends the physician’s license, or accepts a license surrender in lieu of discipline, then all licenses issued to the physician through the IMLC shall automatically be placed, without further action necessary by any member board, on the same status. If the Iowa board subsequently reinstates the physician’s license, the licenses issued by the other member boards shall remain encumbered until the member boards take action to reinstate the licenses.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 issued through the IMLC. </w:t>
      </w:r>
      <w:r>
        <w:rPr>
          <w:rFonts w:ascii="Times New Roman" w:hAnsi="Times New Roman"/>
          <w:b w:val="false"/>
          <w:i w:val="false"/>
          <w:color w:val="000000"/>
          <w:sz w:val="22"/>
        </w:rPr>
        <w:t>To be eligible for renewal of a license issued through the IMLC,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an online renewal application on a form provided by the IMLC at </w:t>
      </w:r>
      <w:hyperlink r:id="rId97">
        <w:r>
          <w:rPr>
            <w:rStyle w:val="Hyperlink"/>
            <w:rFonts w:ascii="Times New Roman" w:hAnsi="Times New Roman"/>
            <w:b w:val="false"/>
            <w:i w:val="false"/>
            <w:color w:val="000000"/>
            <w:sz w:val="22"/>
            <w:u w:val="single"/>
          </w:rPr>
          <w:t>www.imlcc.org</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 attestation that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Maintains eligibility to designate a state as the state of principal license, pursuant to paragraph 9.21(1)</w:t>
      </w:r>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Maintains a full and unrestricted license in the designated state of principal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not been convicted of or received adjudication, deferred adjudication, community supervision, or deferred disposition for any offense by a court of appropriate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not had a license authorizing the practice of medicine subject to discipline by a licensing agency in any state, federal or foreign jurisdiction, excluding any action related to nonpayment of fees related to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not had a controlled substance license or permit suspended or revoked by a state or the U.S. DEA.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 licensure fee for the renewal of a license issued through the IMLC and pay any service fee assessed by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audited, submit verification of completion of continuing medical education requirements set forth in 653—Chapter 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9.21(8)</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The laws and rules relating to the IMLC cannot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9.21(9)</w:t>
      </w:r>
      <w:r>
        <w:rPr>
          <w:rFonts w:ascii="Times New Roman" w:hAnsi="Times New Roman"/>
          <w:b w:val="false"/>
          <w:i w:val="false"/>
          <w:color w:val="000000"/>
          <w:sz w:val="22"/>
        </w:rPr>
        <w:t> </w:t>
      </w:r>
      <w:r>
        <w:rPr>
          <w:rFonts w:ascii="Times New Roman" w:hAnsi="Times New Roman"/>
          <w:b w:val="false"/>
          <w:i/>
          <w:color w:val="000000"/>
          <w:sz w:val="22"/>
        </w:rPr>
        <w:t xml:space="preserve">Advisory opinions. </w:t>
      </w:r>
      <w:r>
        <w:rPr>
          <w:rFonts w:ascii="Times New Roman" w:hAnsi="Times New Roman"/>
          <w:b w:val="false"/>
          <w:i w:val="false"/>
          <w:color w:val="000000"/>
          <w:sz w:val="22"/>
        </w:rPr>
        <w:t>The board will recognize advisory opinions issued by the interstate commission on the meaning or interpretation of the IMLC, its bylaws, rules and actions when determining an applicant’s eligibility for licensure through the IMLC.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3587C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9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147B</w:t>
        </w:r>
      </w:hyperlink>
      <w:r>
        <w:rPr>
          <w:rFonts w:ascii="Times New Roman" w:hAnsi="Times New Roman"/>
          <w:b w:val="false"/>
          <w:i w:val="false"/>
          <w:color w:val="000000"/>
          <w:sz w:val="22"/>
        </w:rPr>
        <w:t>, </w:t>
      </w:r>
      <w:hyperlink r:id="rId10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11/28/01—published 3/6/02, effective 4/10/02]</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emergency 10/9/02 after Notice 8/21/02—published 10/30/02, effective 10/9/02]</w:t>
      </w:r>
    </w:p>
    <w:p>
      <w:pPr>
        <w:spacing w:before="0" w:after="0"/>
        <w:ind w:left="120"/>
        <w:jc w:val="center"/>
      </w:pPr>
      <w:r>
        <w:rPr>
          <w:rFonts w:ascii="Times New Roman" w:hAnsi="Times New Roman"/>
          <w:b w:val="false"/>
          <w:i w:val="false"/>
          <w:color w:val="000000"/>
          <w:sz w:val="21"/>
        </w:rPr>
        <w:t>[Filed emergency 2/7/03 after Notice 1/8/03—published 3/5/03, effective 2/7/03]</w:t>
      </w:r>
    </w:p>
    <w:p>
      <w:pPr>
        <w:spacing w:before="0" w:after="0"/>
        <w:ind w:left="120"/>
        <w:jc w:val="center"/>
      </w:pPr>
      <w:r>
        <w:rPr>
          <w:rFonts w:ascii="Times New Roman" w:hAnsi="Times New Roman"/>
          <w:b w:val="false"/>
          <w:i w:val="false"/>
          <w:color w:val="000000"/>
          <w:sz w:val="21"/>
        </w:rPr>
        <w:t>[Filed emergency 8/28/03 after Notice 7/23/03—published 9/17/03, effective 9/1/03]</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9/9/04, Notice 8/4/04—published 9/29/04, effective 11/3/04]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12/30/04, Notice 11/24/04—published 1/19/05, effective 2/23/05]</w:t>
      </w:r>
    </w:p>
    <w:p>
      <w:pPr>
        <w:spacing w:before="0" w:after="0"/>
        <w:ind w:left="120"/>
        <w:jc w:val="center"/>
      </w:pPr>
      <w:r>
        <w:rPr>
          <w:rFonts w:ascii="Times New Roman" w:hAnsi="Times New Roman"/>
          <w:b w:val="false"/>
          <w:i w:val="false"/>
          <w:color w:val="000000"/>
          <w:sz w:val="21"/>
        </w:rPr>
        <w:t>[Filed 6/17/05, Notice 5/11/05—published 7/6/05, effective 8/10/05]</w:t>
      </w:r>
    </w:p>
    <w:p>
      <w:pPr>
        <w:spacing w:before="0" w:after="0"/>
        <w:ind w:left="120"/>
        <w:jc w:val="center"/>
      </w:pPr>
      <w:r>
        <w:rPr>
          <w:rFonts w:ascii="Times New Roman" w:hAnsi="Times New Roman"/>
          <w:b w:val="false"/>
          <w:i w:val="false"/>
          <w:color w:val="000000"/>
          <w:sz w:val="21"/>
        </w:rPr>
        <w:t>[Filed emergency 8/30/05 after Notice 7/6/05—published 9/28/05, effective 10/1/05]</w:t>
      </w:r>
    </w:p>
    <w:p>
      <w:pPr>
        <w:spacing w:before="0" w:after="0"/>
        <w:ind w:left="120"/>
        <w:jc w:val="center"/>
      </w:pPr>
      <w:r>
        <w:rPr>
          <w:rFonts w:ascii="Times New Roman" w:hAnsi="Times New Roman"/>
          <w:b w:val="false"/>
          <w:i w:val="false"/>
          <w:color w:val="000000"/>
          <w:sz w:val="21"/>
        </w:rPr>
        <w:t>[Filed 10/12/06, Notice 8/2/06—published 11/8/06, effective 1/1/07]</w:t>
      </w:r>
    </w:p>
    <w:p>
      <w:pPr>
        <w:spacing w:before="0" w:after="0"/>
        <w:ind w:left="120"/>
        <w:jc w:val="center"/>
      </w:pPr>
      <w:r>
        <w:rPr>
          <w:rFonts w:ascii="Times New Roman" w:hAnsi="Times New Roman"/>
          <w:b w:val="false"/>
          <w:i w:val="false"/>
          <w:color w:val="000000"/>
          <w:sz w:val="21"/>
        </w:rPr>
        <w:t>[Filed 12/14/06, Notice 11/8/06—published 1/17/07, effective 2/21/07]</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[Filed emergency 11/21/07 after Notice 10/10/07—published 12/19/07, effective 1/1/08]</w:t>
      </w:r>
    </w:p>
    <w:p>
      <w:pPr>
        <w:spacing w:before="0" w:after="0"/>
        <w:ind w:left="120"/>
        <w:jc w:val="center"/>
      </w:pPr>
      <w:r>
        <w:rPr>
          <w:rFonts w:ascii="Times New Roman" w:hAnsi="Times New Roman"/>
          <w:b w:val="false"/>
          <w:i w:val="false"/>
          <w:color w:val="000000"/>
          <w:sz w:val="21"/>
        </w:rPr>
        <w:t>[Filed 4/3/08, Notice 2/27/08—published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7756B</w:t>
      </w:r>
      <w:r>
        <w:rPr>
          <w:rFonts w:ascii="Times New Roman" w:hAnsi="Times New Roman"/>
          <w:b w:val="false"/>
          <w:i w:val="false"/>
          <w:color w:val="000000"/>
          <w:sz w:val="21"/>
        </w:rPr>
        <w:t xml:space="preserve"> (Notice ARC 7607B,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8554B</w:t>
      </w:r>
      <w:r>
        <w:rPr>
          <w:rFonts w:ascii="Times New Roman" w:hAnsi="Times New Roman"/>
          <w:b w:val="false"/>
          <w:i w:val="false"/>
          <w:color w:val="000000"/>
          <w:sz w:val="21"/>
        </w:rPr>
        <w:t xml:space="preserve"> (Notice ARC 8379B,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0215C</w:t>
      </w:r>
      <w:r>
        <w:rPr>
          <w:rFonts w:ascii="Times New Roman" w:hAnsi="Times New Roman"/>
          <w:b w:val="false"/>
          <w:i w:val="false"/>
          <w:color w:val="000000"/>
          <w:sz w:val="21"/>
        </w:rPr>
        <w:t xml:space="preserve"> (Notice ARC 0090C,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0871C</w:t>
      </w:r>
      <w:r>
        <w:rPr>
          <w:rFonts w:ascii="Times New Roman" w:hAnsi="Times New Roman"/>
          <w:b w:val="false"/>
          <w:i w:val="false"/>
          <w:color w:val="000000"/>
          <w:sz w:val="21"/>
        </w:rPr>
        <w:t xml:space="preserve"> (Notice ARC 0697C, IAB 5/1/13)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1187C</w:t>
      </w:r>
      <w:r>
        <w:rPr>
          <w:rFonts w:ascii="Times New Roman" w:hAnsi="Times New Roman"/>
          <w:b w:val="false"/>
          <w:i w:val="false"/>
          <w:color w:val="000000"/>
          <w:sz w:val="21"/>
        </w:rPr>
        <w:t xml:space="preserve"> (Notice ARC 0943C,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2346C</w:t>
      </w:r>
      <w:r>
        <w:rPr>
          <w:rFonts w:ascii="Times New Roman" w:hAnsi="Times New Roman"/>
          <w:b w:val="false"/>
          <w:i w:val="false"/>
          <w:color w:val="000000"/>
          <w:sz w:val="21"/>
        </w:rPr>
        <w:t xml:space="preserve"> (Notice ARC 2203C, IAB 10/14/15)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2523C</w:t>
      </w:r>
      <w:r>
        <w:rPr>
          <w:rFonts w:ascii="Times New Roman" w:hAnsi="Times New Roman"/>
          <w:b w:val="false"/>
          <w:i w:val="false"/>
          <w:color w:val="000000"/>
          <w:sz w:val="21"/>
        </w:rPr>
        <w:t xml:space="preserve"> (Notice ARC 2359C, IAB 1/6/16)</w:t>
      </w:r>
      <w:r>
        <w:rPr>
          <w:rFonts w:ascii="Times New Roman" w:hAnsi="Times New Roman"/>
          <w:b w:val="false"/>
          <w:i w:val="false"/>
          <w:color w:val="000000"/>
          <w:sz w:val="21"/>
        </w:rPr>
        <w:t>, IAB 5/11/16, effective 6/15/16]</w:t>
      </w:r>
      <w:r>
        <w:br/>
      </w:r>
      <w:r>
        <w:rPr>
          <w:rFonts w:ascii="Times New Roman" w:hAnsi="Times New Roman"/>
          <w:b w:val="false"/>
          <w:i w:val="false"/>
          <w:color w:val="000000"/>
          <w:sz w:val="21"/>
        </w:rPr>
        <w:t>[Filed ARC 2524C</w:t>
      </w:r>
      <w:r>
        <w:rPr>
          <w:rFonts w:ascii="Times New Roman" w:hAnsi="Times New Roman"/>
          <w:b w:val="false"/>
          <w:i w:val="false"/>
          <w:color w:val="000000"/>
          <w:sz w:val="21"/>
        </w:rPr>
        <w:t xml:space="preserve"> (Notice ARC 2360C, IAB 1/6/16)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3587C</w:t>
      </w:r>
      <w:r>
        <w:rPr>
          <w:rFonts w:ascii="Times New Roman" w:hAnsi="Times New Roman"/>
          <w:b w:val="false"/>
          <w:i w:val="false"/>
          <w:color w:val="000000"/>
          <w:sz w:val="21"/>
        </w:rPr>
        <w:t xml:space="preserve"> (Notice ARC 3368C, IAB 10/11/17)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6682C</w:t>
      </w:r>
      <w:r>
        <w:rPr>
          <w:rFonts w:ascii="Times New Roman" w:hAnsi="Times New Roman"/>
          <w:b w:val="false"/>
          <w:i w:val="false"/>
          <w:color w:val="000000"/>
          <w:sz w:val="21"/>
        </w:rPr>
        <w:t xml:space="preserve"> (Notice ARC 6378C, IAB 6/29/22)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7074C</w:t>
      </w:r>
      <w:r>
        <w:rPr>
          <w:rFonts w:ascii="Times New Roman" w:hAnsi="Times New Roman"/>
          <w:b w:val="false"/>
          <w:i w:val="false"/>
          <w:color w:val="000000"/>
          <w:sz w:val="21"/>
        </w:rPr>
        <w:t xml:space="preserve"> (Notice ARC 7042C, IAB 6/28/23)</w:t>
      </w:r>
      <w:r>
        <w:rPr>
          <w:rFonts w:ascii="Times New Roman" w:hAnsi="Times New Roman"/>
          <w:b w:val="false"/>
          <w:i w:val="false"/>
          <w:color w:val="000000"/>
          <w:sz w:val="21"/>
        </w:rPr>
        <w:t>, IAB 9/20/23, effective 10/25/23]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B.pdf" Type="http://schemas.openxmlformats.org/officeDocument/2006/relationships/hyperlink" Id="rId5"/>
    <Relationship TargetMode="External" Target="https://www.legis.iowa.gov/docs/ico/chapter/148.2.pdf" Type="http://schemas.openxmlformats.org/officeDocument/2006/relationships/hyperlink" Id="rId6"/>
    <Relationship TargetMode="External" Target="https://www.legis.iowa.gov/docs/ico/chapter/147B.pdf" Type="http://schemas.openxmlformats.org/officeDocument/2006/relationships/hyperlink" Id="rId7"/>
    <Relationship TargetMode="External" Target="https://www.legis.iowa.gov/docs/iac/rule/653.9.2.pdf" Type="http://schemas.openxmlformats.org/officeDocument/2006/relationships/hyperlink" Id="rId8"/>
    <Relationship TargetMode="External" Target="https://www.legis.iowa.gov/docs/iac/chapter/653.11.pdf" Type="http://schemas.openxmlformats.org/officeDocument/2006/relationships/hyperlink" Id="rId9"/>
    <Relationship TargetMode="External" Target="https://www.legis.iowa.gov/docs/iac/chapter/653.11.pdf" Type="http://schemas.openxmlformats.org/officeDocument/2006/relationships/hyperlink" Id="rId10"/>
    <Relationship TargetMode="External" Target="https://www.legis.iowa.gov/docs/iac/chapter/653.11.pdf" Type="http://schemas.openxmlformats.org/officeDocument/2006/relationships/hyperlink" Id="rId11"/>
    <Relationship TargetMode="External" Target="https://www.legis.iowa.gov/docs/ico/chapter/232.69.pdf" Type="http://schemas.openxmlformats.org/officeDocument/2006/relationships/hyperlink" Id="rId12"/>
    <Relationship TargetMode="External" Target="https://www.legis.iowa.gov/docs/ico/chapter/235B.16.pdf" Type="http://schemas.openxmlformats.org/officeDocument/2006/relationships/hyperlink" Id="rId13"/>
    <Relationship TargetMode="External" Target="https://www.legis.iowa.gov/docs/ico/chapter/148.1.pdf" Type="http://schemas.openxmlformats.org/officeDocument/2006/relationships/hyperlink" Id="rId14"/>
    <Relationship TargetMode="External" Target="https://www.legis.iowa.gov/docs/iac/rule/653.9.2.pdf" Type="http://schemas.openxmlformats.org/officeDocument/2006/relationships/hyperlink" Id="rId15"/>
    <Relationship TargetMode="External" Target="https://www.legis.iowa.gov/docs/iac/chapter/653.10.pdf" Type="http://schemas.openxmlformats.org/officeDocument/2006/relationships/hyperlink" Id="rId16"/>
    <Relationship TargetMode="External" Target="https://www.legis.iowa.gov/docs/ico/chapter/148.2.pdf" Type="http://schemas.openxmlformats.org/officeDocument/2006/relationships/hyperlink" Id="rId17"/>
    <Relationship TargetMode="External" Target="https://www.legis.iowa.gov/docs/iac/rule/653.9.1.pdf" Type="http://schemas.openxmlformats.org/officeDocument/2006/relationships/hyperlink" Id="rId18"/>
    <Relationship TargetMode="External" Target="https://www.legis.iowa.gov/docs/iac/rule/653.9.1.pdf" Type="http://schemas.openxmlformats.org/officeDocument/2006/relationships/hyperlink" Id="rId19"/>
    <Relationship TargetMode="External" Target="https://www.legis.iowa.gov/docs/ico/chapter/148.2.pdf" Type="http://schemas.openxmlformats.org/officeDocument/2006/relationships/hyperlink" Id="rId20"/>
    <Relationship TargetMode="External" Target="https://www.legis.iowa.gov/docs/iac/rule/653.9.1.pdf" Type="http://schemas.openxmlformats.org/officeDocument/2006/relationships/hyperlink" Id="rId21"/>
    <Relationship TargetMode="External" Target="https://www.legis.iowa.gov/docs/ico/chapter/29C.6.pdf" Type="http://schemas.openxmlformats.org/officeDocument/2006/relationships/hyperlink" Id="rId22"/>
    <Relationship TargetMode="External" Target="https://www.legis.iowa.gov/docs/iac/rule/653.10.5.pdf" Type="http://schemas.openxmlformats.org/officeDocument/2006/relationships/hyperlink" Id="rId23"/>
    <Relationship TargetMode="External" Target="https://www.legis.iowa.gov/docs/iac/rule/653.9.1.pdf" Type="http://schemas.openxmlformats.org/officeDocument/2006/relationships/hyperlink" Id="rId24"/>
    <Relationship TargetMode="External" Target="https://www.legis.iowa.gov/docs/iac/rule/653.9.4.pdf" Type="http://schemas.openxmlformats.org/officeDocument/2006/relationships/hyperlink" Id="rId25"/>
    <Relationship TargetMode="External" Target="https://www.legis.iowa.gov/docs/iac/rule/653.9.3.pdf" Type="http://schemas.openxmlformats.org/officeDocument/2006/relationships/hyperlink" Id="rId26"/>
    <Relationship TargetMode="External" Target="https://www.legis.iowa.gov/docs/iac/rule/653.9.3.pdf" Type="http://schemas.openxmlformats.org/officeDocument/2006/relationships/hyperlink" Id="rId27"/>
    <Relationship TargetMode="External" Target="https://www.legis.iowa.gov/docs/iac/rule/653.9.3.pdf" Type="http://schemas.openxmlformats.org/officeDocument/2006/relationships/hyperlink" Id="rId28"/>
    <Relationship TargetMode="External" Target="https://www.legis.iowa.gov/docs/iac/rule/653.9.7.pdf" Type="http://schemas.openxmlformats.org/officeDocument/2006/relationships/hyperlink" Id="rId29"/>
    <Relationship TargetMode="External" Target="https://www.legis.iowa.gov/docs/iac/chapter/653.18.pdf" Type="http://schemas.openxmlformats.org/officeDocument/2006/relationships/hyperlink" Id="rId30"/>
    <Relationship TargetMode="External" Target="https://www.legis.iowa.gov/docs/iac/rule/653.9.3.pdf" Type="http://schemas.openxmlformats.org/officeDocument/2006/relationships/hyperlink" Id="rId31"/>
    <Relationship TargetMode="External" Target="https://www.legis.iowa.gov/docs/ico/chapter/272C.15.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ac/rule/653.8.4.pdf" Type="http://schemas.openxmlformats.org/officeDocument/2006/relationships/hyperlink" Id="rId34"/>
    <Relationship TargetMode="External" Target="https://www.legis.iowa.gov/docs/iac/rule/653.9.7.pdf" Type="http://schemas.openxmlformats.org/officeDocument/2006/relationships/hyperlink" Id="rId35"/>
    <Relationship TargetMode="External" Target="https://www.legis.iowa.gov/docs/iac/rule/653.9.7.pdf" Type="http://schemas.openxmlformats.org/officeDocument/2006/relationships/hyperlink" Id="rId36"/>
    <Relationship TargetMode="External" Target="https://www.legis.iowa.gov/docs/iac/rule/653.9.3.pdf" Type="http://schemas.openxmlformats.org/officeDocument/2006/relationships/hyperlink" Id="rId37"/>
    <Relationship TargetMode="External" Target="https://www.legis.iowa.gov/docs/ico/chapter/272C.12.pdf" Type="http://schemas.openxmlformats.org/officeDocument/2006/relationships/hyperlink" Id="rId38"/>
    <Relationship TargetMode="External" Target="https://www.legis.iowa.gov/docs/iac/rule/653.9.7.pdf" Type="http://schemas.openxmlformats.org/officeDocument/2006/relationships/hyperlink" Id="rId39"/>
    <Relationship TargetMode="External" Target="www.fsmb.org" Type="http://schemas.openxmlformats.org/officeDocument/2006/relationships/hyperlink" Id="rId40"/>
    <Relationship TargetMode="External" Target="https://www.legis.iowa.gov/docs/iac/rule/653.8.3.pdf" Type="http://schemas.openxmlformats.org/officeDocument/2006/relationships/hyperlink" Id="rId41"/>
    <Relationship TargetMode="External" Target="https://www.legis.iowa.gov/docs/iac/rule/653.9.3.pdf" Type="http://schemas.openxmlformats.org/officeDocument/2006/relationships/hyperlink" Id="rId42"/>
    <Relationship TargetMode="External" Target="https://www.legis.iowa.gov/docs/iac/rule/653.9.17.pdf" Type="http://schemas.openxmlformats.org/officeDocument/2006/relationships/hyperlink" Id="rId43"/>
    <Relationship TargetMode="External" Target="https://www.legis.iowa.gov/docs/iac/rule/653.8.4.pdf" Type="http://schemas.openxmlformats.org/officeDocument/2006/relationships/hyperlink" Id="rId44"/>
    <Relationship TargetMode="External" Target="https://www.legis.iowa.gov/docs/iac/rule/653.9.12.pdf" Type="http://schemas.openxmlformats.org/officeDocument/2006/relationships/hyperlink" Id="rId45"/>
    <Relationship TargetMode="External" Target="https://www.legis.iowa.gov/docs/iac/rule/653.8.4.pdf" Type="http://schemas.openxmlformats.org/officeDocument/2006/relationships/hyperlink" Id="rId46"/>
    <Relationship TargetMode="External" Target="https://www.legis.iowa.gov/docs/iac/rule/653.8.4.pdf" Type="http://schemas.openxmlformats.org/officeDocument/2006/relationships/hyperlink" Id="rId47"/>
    <Relationship TargetMode="External" Target="https://www.legis.iowa.gov/docs/iac/chapter/653.11.pdf" Type="http://schemas.openxmlformats.org/officeDocument/2006/relationships/hyperlink" Id="rId48"/>
    <Relationship TargetMode="External" Target="https://www.legis.iowa.gov/docs/iac/rule/653.8.4.pdf" Type="http://schemas.openxmlformats.org/officeDocument/2006/relationships/hyperlink" Id="rId49"/>
    <Relationship TargetMode="External" Target="https://www.legis.iowa.gov/docs/iac/rule/653.9.15.pdf" Type="http://schemas.openxmlformats.org/officeDocument/2006/relationships/hyperlink" Id="rId50"/>
    <Relationship TargetMode="External" Target="https://www.legis.iowa.gov/docs/ico/chapter/147.83.pdf" Type="http://schemas.openxmlformats.org/officeDocument/2006/relationships/hyperlink" Id="rId51"/>
    <Relationship TargetMode="External" Target="https://www.legis.iowa.gov/docs/ico/chapter/147.86.pdf" Type="http://schemas.openxmlformats.org/officeDocument/2006/relationships/hyperlink" Id="rId52"/>
    <Relationship TargetMode="External" Target="https://www.legis.iowa.gov/docs/iac/rule/653.8.4.pdf" Type="http://schemas.openxmlformats.org/officeDocument/2006/relationships/hyperlink" Id="rId53"/>
    <Relationship TargetMode="External" Target="https://www.legis.iowa.gov/docs/iac/chapter/653.11.pdf" Type="http://schemas.openxmlformats.org/officeDocument/2006/relationships/hyperlink" Id="rId54"/>
    <Relationship TargetMode="External" Target="https://www.legis.iowa.gov/docs/iac/rule/653.9.15.pdf" Type="http://schemas.openxmlformats.org/officeDocument/2006/relationships/hyperlink" Id="rId55"/>
    <Relationship TargetMode="External" Target="https://www.legis.iowa.gov/docs/iac/rule/653.8.4.pdf" Type="http://schemas.openxmlformats.org/officeDocument/2006/relationships/hyperlink" Id="rId56"/>
    <Relationship TargetMode="External" Target="https://www.legis.iowa.gov/docs/iac/chapter/653.11.pdf" Type="http://schemas.openxmlformats.org/officeDocument/2006/relationships/hyperlink" Id="rId57"/>
    <Relationship TargetMode="External" Target="https://www.legis.iowa.gov/docs/iac/rule/653.9.8.pdf" Type="http://schemas.openxmlformats.org/officeDocument/2006/relationships/hyperlink" Id="rId58"/>
    <Relationship TargetMode="External" Target="https://www.legis.iowa.gov/docs/iac/rule/653.9.9.pdf" Type="http://schemas.openxmlformats.org/officeDocument/2006/relationships/hyperlink" Id="rId59"/>
    <Relationship TargetMode="External" Target="https://www.legis.iowa.gov/docs/iac/chapter/653.26.pdf" Type="http://schemas.openxmlformats.org/officeDocument/2006/relationships/hyperlink" Id="rId60"/>
    <Relationship TargetMode="External" Target="https://www.legis.iowa.gov/docs/iac/rule/653.25.30.pdf" Type="http://schemas.openxmlformats.org/officeDocument/2006/relationships/hyperlink" Id="rId61"/>
    <Relationship TargetMode="External" Target="https://www.legis.iowa.gov/docs/ico/chapter/17A.19.pdf" Type="http://schemas.openxmlformats.org/officeDocument/2006/relationships/hyperlink" Id="rId62"/>
    <Relationship TargetMode="External" Target="https://www.legis.iowa.gov/docs/iac/rule/653.9.17.pdf" Type="http://schemas.openxmlformats.org/officeDocument/2006/relationships/hyperlink" Id="rId63"/>
    <Relationship TargetMode="External" Target="https://www.legis.iowa.gov/docs/iac/rule/653.9.17.pdf" Type="http://schemas.openxmlformats.org/officeDocument/2006/relationships/hyperlink" Id="rId64"/>
    <Relationship TargetMode="External" Target="https://www.legis.iowa.gov/docs/iac/chapter/653.3.pdf" Type="http://schemas.openxmlformats.org/officeDocument/2006/relationships/hyperlink" Id="rId65"/>
    <Relationship TargetMode="External" Target="https://www.legis.iowa.gov/docs/ico/chapter/148.3.pdf" Type="http://schemas.openxmlformats.org/officeDocument/2006/relationships/hyperlink" Id="rId66"/>
    <Relationship TargetMode="External" Target="https://www.legis.iowa.gov/docs/ico/chapter/148.11.pdf" Type="http://schemas.openxmlformats.org/officeDocument/2006/relationships/hyperlink" Id="rId67"/>
    <Relationship TargetMode="External" Target="https://www.legis.iowa.gov/docs/iac/chapter/653.10.pdf" Type="http://schemas.openxmlformats.org/officeDocument/2006/relationships/hyperlink" Id="rId68"/>
    <Relationship TargetMode="External" Target="https://www.legis.iowa.gov/docs/ico/chapter/272C.9.pdf" Type="http://schemas.openxmlformats.org/officeDocument/2006/relationships/hyperlink" Id="rId69"/>
    <Relationship TargetMode="External" Target="https://www.legis.iowa.gov/docs/iac/rule/653.24.4.pdf" Type="http://schemas.openxmlformats.org/officeDocument/2006/relationships/hyperlink" Id="rId70"/>
    <Relationship TargetMode="External" Target="https://www.legis.iowa.gov/docs/ico/chapter/17A.10.pdf" Type="http://schemas.openxmlformats.org/officeDocument/2006/relationships/hyperlink" Id="rId71"/>
    <Relationship TargetMode="External" Target="https://www.legis.iowa.gov/docs/ico/chapter/272C.3.pdf" Type="http://schemas.openxmlformats.org/officeDocument/2006/relationships/hyperlink" Id="rId72"/>
    <Relationship TargetMode="External" Target="https://www.legis.iowa.gov/docs/iac/rule/653.25.3.pdf" Type="http://schemas.openxmlformats.org/officeDocument/2006/relationships/hyperlink" Id="rId73"/>
    <Relationship TargetMode="External" Target="https://www.legis.iowa.gov/docs/ico/chapter/17A.12.pdf" Type="http://schemas.openxmlformats.org/officeDocument/2006/relationships/hyperlink" Id="rId74"/>
    <Relationship TargetMode="External" Target="https://www.legis.iowa.gov/docs/iac/rule/653.25.4.pdf" Type="http://schemas.openxmlformats.org/officeDocument/2006/relationships/hyperlink" Id="rId75"/>
    <Relationship TargetMode="External" Target="https://www.legis.iowa.gov/docs/ico/chapter/17A.10.pdf" Type="http://schemas.openxmlformats.org/officeDocument/2006/relationships/hyperlink" Id="rId76"/>
    <Relationship TargetMode="External" Target="https://www.legis.iowa.gov/docs/ico/chapter/272C.3.pdf" Type="http://schemas.openxmlformats.org/officeDocument/2006/relationships/hyperlink" Id="rId77"/>
    <Relationship TargetMode="External" Target="https://www.legis.iowa.gov/docs/iac/rule/653.25.17.pdf" Type="http://schemas.openxmlformats.org/officeDocument/2006/relationships/hyperlink" Id="rId78"/>
    <Relationship TargetMode="External" Target="https://www.legis.iowa.gov/docs/ico/chapter/17A.12.pdf" Type="http://schemas.openxmlformats.org/officeDocument/2006/relationships/hyperlink" Id="rId79"/>
    <Relationship TargetMode="External" Target="https://www.legis.iowa.gov/docs/ico/chapter/272C.6.pdf" Type="http://schemas.openxmlformats.org/officeDocument/2006/relationships/hyperlink" Id="rId80"/>
    <Relationship TargetMode="External" Target="https://www.legis.iowa.gov/docs/iac/rule/653.25.24.pdf" Type="http://schemas.openxmlformats.org/officeDocument/2006/relationships/hyperlink" Id="rId81"/>
    <Relationship TargetMode="External" Target="https://www.legis.iowa.gov/docs/iac/rule/653.9.15.pdf" Type="http://schemas.openxmlformats.org/officeDocument/2006/relationships/hyperlink" Id="rId82"/>
    <Relationship TargetMode="External" Target="https://www.legis.iowa.gov/docs/iac/rule/653.9.16.pdf" Type="http://schemas.openxmlformats.org/officeDocument/2006/relationships/hyperlink" Id="rId83"/>
    <Relationship TargetMode="External" Target="https://www.legis.iowa.gov/docs/ico/chapter/148.3.pdf" Type="http://schemas.openxmlformats.org/officeDocument/2006/relationships/hyperlink" Id="rId84"/>
    <Relationship TargetMode="External" Target="https://www.legis.iowa.gov/docs/ico/chapter/148.3.pdf" Type="http://schemas.openxmlformats.org/officeDocument/2006/relationships/hyperlink" Id="rId85"/>
    <Relationship TargetMode="External" Target="https://www.legis.iowa.gov/docs/ico/chapter/9.8.pdf" Type="http://schemas.openxmlformats.org/officeDocument/2006/relationships/hyperlink" Id="rId86"/>
    <Relationship TargetMode="External" Target="https://www.legis.iowa.gov/docs/ico/chapter/9.15.pdf" Type="http://schemas.openxmlformats.org/officeDocument/2006/relationships/hyperlink" Id="rId87"/>
    <Relationship TargetMode="External" Target="https://www.legis.iowa.gov/docs/iac/chapter/653.8.pdf" Type="http://schemas.openxmlformats.org/officeDocument/2006/relationships/hyperlink" Id="rId88"/>
    <Relationship TargetMode="External" Target="https://www.legis.iowa.gov/docs/iac/chapter/653.9.pdf" Type="http://schemas.openxmlformats.org/officeDocument/2006/relationships/hyperlink" Id="rId89"/>
    <Relationship TargetMode="External" Target="https://www.legis.iowa.gov/docs/iac/rule/653.9.8.pdf" Type="http://schemas.openxmlformats.org/officeDocument/2006/relationships/hyperlink" Id="rId90"/>
    <Relationship TargetMode="External" Target="https://www.legis.iowa.gov/docs/iac/rule/653.9.15.pdf" Type="http://schemas.openxmlformats.org/officeDocument/2006/relationships/hyperlink" Id="rId91"/>
    <Relationship TargetMode="External" Target="https://www.legis.iowa.gov/docs/iac/rule/653.9.8.pdf" Type="http://schemas.openxmlformats.org/officeDocument/2006/relationships/hyperlink" Id="rId92"/>
    <Relationship TargetMode="External" Target="https://www.legis.iowa.gov/docs/iac/rule/653.9.15.pdf" Type="http://schemas.openxmlformats.org/officeDocument/2006/relationships/hyperlink" Id="rId93"/>
    <Relationship TargetMode="External" Target="https://www.legis.iowa.gov/docs/ico/chapter/147B.1.pdf" Type="http://schemas.openxmlformats.org/officeDocument/2006/relationships/hyperlink" Id="rId94"/>
    <Relationship TargetMode="External" Target="http://www.imlcc.org" Type="http://schemas.openxmlformats.org/officeDocument/2006/relationships/hyperlink" Id="rId95"/>
    <Relationship TargetMode="External" Target="http://www.imlcc.org" Type="http://schemas.openxmlformats.org/officeDocument/2006/relationships/hyperlink" Id="rId96"/>
    <Relationship TargetMode="External" Target="http://www.imlcc.org" Type="http://schemas.openxmlformats.org/officeDocument/2006/relationships/hyperlink" Id="rId97"/>
    <Relationship TargetMode="External" Target="https://www.legis.iowa.gov/docs/ico/chapter/17A.pdf" Type="http://schemas.openxmlformats.org/officeDocument/2006/relationships/hyperlink" Id="rId98"/>
    <Relationship TargetMode="External" Target="https://www.legis.iowa.gov/docs/ico/chapter/147.pdf" Type="http://schemas.openxmlformats.org/officeDocument/2006/relationships/hyperlink" Id="rId99"/>
    <Relationship TargetMode="External" Target="https://www.legis.iowa.gov/docs/ico/chapter/147B.pdf" Type="http://schemas.openxmlformats.org/officeDocument/2006/relationships/hyperlink" Id="rId100"/>
    <Relationship TargetMode="External" Target="https://www.legis.iowa.gov/docs/ico/chapter/148.pdf" Type="http://schemas.openxmlformats.org/officeDocument/2006/relationships/hyperlink" Id="rId101"/>
    <Relationship TargetMode="External" Target="https://www.legis.iowa.gov/docs/ico/chapter/272C.pdf" Type="http://schemas.openxmlformats.org/officeDocument/2006/relationships/hyperlink" Id="rId10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