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FEES</w:t>
      </w:r>
    </w:p>
    <w:p>
      <w:pPr>
        <w:spacing w:before="0" w:after="0"/>
        <w:ind w:left="120"/>
        <w:jc w:val="center"/>
      </w:pPr>
      <w:r>
        <w:rPr>
          <w:rFonts w:ascii="Times New Roman" w:hAnsi="Times New Roman"/>
          <w:b w:val="false"/>
          <w:i w:val="false"/>
          <w:color w:val="000000"/>
          <w:sz w:val="14"/>
        </w:rPr>
        <w:t>[Prior to 5/30/01, see 653—Chapter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653—8.1</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transaction fee” </w:t>
      </w:r>
      <w:r>
        <w:rPr>
          <w:rFonts w:ascii="Times New Roman" w:hAnsi="Times New Roman"/>
          <w:b w:val="false"/>
          <w:i w:val="false"/>
          <w:color w:val="000000"/>
          <w:sz w:val="22"/>
        </w:rPr>
        <w:t>means a fee of $7 assessed by the board for completing an online purchase. The online transaction fee is in addition to the actual service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3464C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653—8.2</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Application and licensure fees for acupuncturists.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Licensure provisions for acupuncturists. </w:t>
      </w:r>
      <w:r>
        <w:rPr>
          <w:rFonts w:ascii="Times New Roman" w:hAnsi="Times New Roman"/>
          <w:b w:val="false"/>
          <w:i w:val="false"/>
          <w:color w:val="000000"/>
          <w:sz w:val="22"/>
        </w:rPr>
        <w:t xml:space="preserve">For licensure provisions for acupuncturists, see </w:t>
      </w:r>
      <w:hyperlink r:id="rId5">
        <w:r>
          <w:rPr>
            <w:rStyle w:val="Hyperlink"/>
            <w:rFonts w:ascii="Times New Roman" w:hAnsi="Times New Roman"/>
            <w:b w:val="false"/>
            <w:i w:val="false"/>
            <w:color w:val="000000"/>
            <w:sz w:val="22"/>
          </w:rPr>
          <w:t>653—Chapter 17</w:t>
        </w:r>
      </w:hyperlink>
      <w:r>
        <w:rPr>
          <w:rFonts w:ascii="Times New Roman" w:hAnsi="Times New Roman"/>
          <w:b w:val="false"/>
          <w:i w:val="false"/>
          <w:color w:val="000000"/>
          <w:sz w:val="22"/>
        </w:rPr>
        <w:t>, “Licensure of Acupuncturists.”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Fees for acupuncturists. </w:t>
      </w:r>
      <w:r>
        <w:rPr>
          <w:rFonts w:ascii="Times New Roman" w:hAnsi="Times New Roman"/>
          <w:b w:val="false"/>
          <w:i w:val="false"/>
          <w:color w:val="000000"/>
          <w:sz w:val="22"/>
        </w:rPr>
        <w:t>The following fees apply to licensure for acupuncturists.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application fee for licensure as an acupuncturist, $300.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Reactivation of application for licensure,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fee for licensure as an acupuncturist, $300.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written request and payment of the designated fee, the board shall provide the following information about the status of an acupuncturist’s license or acupuncturist’s past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Certified statement that verifies the status of licensure or past registration in Iowa that requires the board seal or a letter of good standing,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the status of licensure or past registration in Iowa that does not require a certified statement or letter,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 for the evaluation of the fingerprint packet and the DCI and FBI criminal history background checks, $45.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Fee for reinstatement of an acupuncture license, $400.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Penalty for failure to renew before expiration, $50.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8707B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 xml:space="preserve">; </w:t>
      </w:r>
      <w:r>
        <w:rPr>
          <w:rFonts w:ascii="Times New Roman" w:hAnsi="Times New Roman"/>
          <w:b/>
          <w:i w:val="false"/>
          <w:color w:val="000000"/>
          <w:sz w:val="16"/>
        </w:rPr>
        <w:t>ARC 1187C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3464C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i w:val="false"/>
          <w:color w:val="000000"/>
          <w:sz w:val="16"/>
        </w:rPr>
        <w:t>ARC 4246C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653—8.3</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Interstate medical licensure compact (IMLC). </w:t>
      </w:r>
      <w:r>
        <w:rPr>
          <w:rFonts w:ascii="Times New Roman" w:hAnsi="Times New Roman"/>
          <w:b w:val="false"/>
          <w:i w:val="false"/>
          <w:color w:val="000000"/>
          <w:sz w:val="22"/>
        </w:rPr>
        <w:t xml:space="preserve">Provisions for the interstate medical licensure compact are located in </w:t>
      </w:r>
      <w:hyperlink r:id="rId6">
        <w:r>
          <w:rPr>
            <w:rStyle w:val="Hyperlink"/>
            <w:rFonts w:ascii="Times New Roman" w:hAnsi="Times New Roman"/>
            <w:b w:val="false"/>
            <w:i w:val="false"/>
            <w:color w:val="000000"/>
            <w:sz w:val="22"/>
          </w:rPr>
          <w:t>653—Chapter 9</w:t>
        </w:r>
      </w:hyperlink>
      <w:r>
        <w:rPr>
          <w:rFonts w:ascii="Times New Roman" w:hAnsi="Times New Roman"/>
          <w:b w:val="false"/>
          <w:i w:val="false"/>
          <w:color w:val="000000"/>
          <w:sz w:val="22"/>
        </w:rPr>
        <w:t>, “Permanent and Administrative Medicine Physician Licensure.” The following fees shall apply to the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 xml:space="preserve">Service fee for an application for an IMLC letter of qualification. </w:t>
      </w:r>
      <w:r>
        <w:rPr>
          <w:rFonts w:ascii="Times New Roman" w:hAnsi="Times New Roman"/>
          <w:b w:val="false"/>
          <w:i w:val="false"/>
          <w:color w:val="000000"/>
          <w:sz w:val="22"/>
        </w:rPr>
        <w:t xml:space="preserve">The service fee, described in </w:t>
      </w:r>
      <w:hyperlink r:id="rId7">
        <w:r>
          <w:rPr>
            <w:rStyle w:val="Hyperlink"/>
            <w:rFonts w:ascii="Times New Roman" w:hAnsi="Times New Roman"/>
            <w:b w:val="false"/>
            <w:i w:val="false"/>
            <w:color w:val="000000"/>
            <w:sz w:val="22"/>
          </w:rPr>
          <w:t>Chapter 3</w:t>
        </w:r>
      </w:hyperlink>
      <w:r>
        <w:rPr>
          <w:rFonts w:ascii="Times New Roman" w:hAnsi="Times New Roman"/>
          <w:b w:val="false"/>
          <w:i w:val="false"/>
          <w:color w:val="000000"/>
          <w:sz w:val="22"/>
        </w:rPr>
        <w:t xml:space="preserve"> of the rules of the interstate medical licensure compact commission, is paid directly to the interstate medical licensure compact commission. The interstate commission retains a portion of this service fee and remits a portion of this service fee to the board. The service fee paid to the interstate commission includes the $45 fee for the evaluation of the fingerprint packet and the criminal history background checks by the Iowa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Licensure fee for an Iowa license issued through the IMLC. </w:t>
      </w:r>
      <w:r>
        <w:rPr>
          <w:rFonts w:ascii="Times New Roman" w:hAnsi="Times New Roman"/>
          <w:b w:val="false"/>
          <w:i w:val="false"/>
          <w:color w:val="000000"/>
          <w:sz w:val="22"/>
        </w:rPr>
        <w:t xml:space="preserve">The licensure fee is paid directly to the interstate medical licensure compact commission. An applicant shall pay a licensure fee of $450 plus a service fee retained by the interstate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color w:val="000000"/>
          <w:sz w:val="22"/>
        </w:rPr>
        <w:t xml:space="preserve">Licensure fee for renewal of active Iowa license issued through the IMLC. </w:t>
      </w:r>
      <w:r>
        <w:rPr>
          <w:rFonts w:ascii="Times New Roman" w:hAnsi="Times New Roman"/>
          <w:b w:val="false"/>
          <w:i w:val="false"/>
          <w:color w:val="000000"/>
          <w:sz w:val="22"/>
        </w:rPr>
        <w:t xml:space="preserve">The licensure fee is paid directly to the interstate medical licensure compact commission. The licensee shall pay the licensure fee described in </w:t>
      </w:r>
      <w:hyperlink r:id="rId8">
        <w:r>
          <w:rPr>
            <w:rStyle w:val="Hyperlink"/>
            <w:rFonts w:ascii="Times New Roman" w:hAnsi="Times New Roman"/>
            <w:b w:val="false"/>
            <w:i w:val="false"/>
            <w:color w:val="000000"/>
            <w:sz w:val="22"/>
          </w:rPr>
          <w:t>8.4(1)</w:t>
        </w:r>
      </w:hyperlink>
      <w:r>
        <w:rPr>
          <w:rFonts w:ascii="Times New Roman" w:hAnsi="Times New Roman"/>
          <w:b w:val="false"/>
          <w:i/>
          <w:color w:val="000000"/>
          <w:sz w:val="22"/>
        </w:rPr>
        <w:t>“c”</w:t>
      </w:r>
      <w:r>
        <w:rPr>
          <w:rFonts w:ascii="Times New Roman" w:hAnsi="Times New Roman"/>
          <w:b w:val="false"/>
          <w:i w:val="false"/>
          <w:color w:val="000000"/>
          <w:sz w:val="22"/>
        </w:rPr>
        <w:t xml:space="preserve">(1) plus a service fee retained by the interstate commission. If the license is not renewed prior to expiration, the licensee will incur a penalty as described in </w:t>
      </w:r>
      <w:hyperlink r:id="rId9">
        <w:r>
          <w:rPr>
            <w:rStyle w:val="Hyperlink"/>
            <w:rFonts w:ascii="Times New Roman" w:hAnsi="Times New Roman"/>
            <w:b w:val="false"/>
            <w:i w:val="false"/>
            <w:color w:val="000000"/>
            <w:sz w:val="22"/>
          </w:rPr>
          <w:t>8.4(1)</w:t>
        </w:r>
      </w:hyperlink>
      <w:r>
        <w:rPr>
          <w:rFonts w:ascii="Times New Roman" w:hAnsi="Times New Roman"/>
          <w:b w:val="false"/>
          <w:i/>
          <w:color w:val="000000"/>
          <w:sz w:val="22"/>
        </w:rPr>
        <w:t>“d.”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3464C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653—8.4</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Application and licensure fees to practice medicine and surgery or osteopathic medicine and surgery or administrative medicine.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val="false"/>
          <w:color w:val="000000"/>
          <w:sz w:val="22"/>
        </w:rPr>
        <w:t xml:space="preserve">Fees for permanent licensure. For provisions for permanent licensure, see </w:t>
      </w:r>
      <w:hyperlink r:id="rId10">
        <w:r>
          <w:rPr>
            <w:rStyle w:val="Hyperlink"/>
            <w:rFonts w:ascii="Times New Roman" w:hAnsi="Times New Roman"/>
            <w:b w:val="false"/>
            <w:i w:val="false"/>
            <w:color w:val="000000"/>
            <w:sz w:val="22"/>
          </w:rPr>
          <w:t>653—Chapter 9</w:t>
        </w:r>
      </w:hyperlink>
      <w:r>
        <w:rPr>
          <w:rFonts w:ascii="Times New Roman" w:hAnsi="Times New Roman"/>
          <w:b w:val="false"/>
          <w:i w:val="false"/>
          <w:color w:val="000000"/>
          <w:sz w:val="22"/>
        </w:rPr>
        <w:t>, “Permanent and Administrative Medicine Physician Licensure.” The following fees shall apply to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licensure, $450 plus the $45 fee for evaluation of the fingerprint packet and the criminal history background checks by the Iowa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Reactivation of application for licensure,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of an active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$550 if renewal is made via paper application or $450 if renewal is made via online application, per biennial period or a prorated portion thereof if the current license was issued for a period of less than 24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no renewal fee due for a physician who was on active duty in the U.S. armed forces, reserves or national guard during the renewal period. “Active duty” means full-time training or active service in the U.S. armed forces, reserves or national guard. A physician who fails to renew before the expiration of the license shall be charged a penalty fee as set forth in </w:t>
      </w:r>
      <w:hyperlink r:id="rId11">
        <w:r>
          <w:rPr>
            <w:rStyle w:val="Hyperlink"/>
            <w:rFonts w:ascii="Times New Roman" w:hAnsi="Times New Roman"/>
            <w:b w:val="false"/>
            <w:i w:val="false"/>
            <w:color w:val="000000"/>
            <w:sz w:val="22"/>
          </w:rPr>
          <w:t>8.4(1)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Penalty for failure to renew before expiration, $100 per calendar month after the expiration date of the license up to $200. For example, if the license expired on January 1, a penalty of $100 shall be charged for January and an additional $100, or a total of $200, shall be charged for renewal in February.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no fee for placing a license on inactive status or allowing a license to become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Reinstatement of a license to practice one year or more after becoming inactive, $500 plus the $45 fee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Reinstatement of a license within one year of becoming inactive, $550 except when the license in the most recent license period had been granted for less than 24 months. In that case, the reinstatement fee is prorated according to the date of issuance and the physician’s month and year of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val="false"/>
          <w:color w:val="000000"/>
          <w:sz w:val="22"/>
        </w:rPr>
        <w:t xml:space="preserve">Fees for resident physician licensure. For provisions for resident physician licensure, see </w:t>
      </w:r>
      <w:hyperlink r:id="rId12">
        <w:r>
          <w:rPr>
            <w:rStyle w:val="Hyperlink"/>
            <w:rFonts w:ascii="Times New Roman" w:hAnsi="Times New Roman"/>
            <w:b w:val="false"/>
            <w:i w:val="false"/>
            <w:color w:val="000000"/>
            <w:sz w:val="22"/>
          </w:rPr>
          <w:t>653—Chapter 10</w:t>
        </w:r>
      </w:hyperlink>
      <w:r>
        <w:rPr>
          <w:rFonts w:ascii="Times New Roman" w:hAnsi="Times New Roman"/>
          <w:b w:val="false"/>
          <w:i w:val="false"/>
          <w:color w:val="000000"/>
          <w:sz w:val="22"/>
        </w:rPr>
        <w:t>, “Resident, Special and Temporary Physician Licensure.” The following fees apply to resident physician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a resident physician license, $100 plus the $45 fee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Extension of a resident physician license,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Late fee for extension of a resident physician license, $50, to be paid in addition to the extension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val="false"/>
          <w:color w:val="000000"/>
          <w:sz w:val="22"/>
        </w:rPr>
        <w:t xml:space="preserve">Fees for special physician licensure. For provisions for special physician licensure, see </w:t>
      </w:r>
      <w:hyperlink r:id="rId13">
        <w:r>
          <w:rPr>
            <w:rStyle w:val="Hyperlink"/>
            <w:rFonts w:ascii="Times New Roman" w:hAnsi="Times New Roman"/>
            <w:b w:val="false"/>
            <w:i w:val="false"/>
            <w:color w:val="000000"/>
            <w:sz w:val="22"/>
          </w:rPr>
          <w:t>653—Chapter 10</w:t>
        </w:r>
      </w:hyperlink>
      <w:r>
        <w:rPr>
          <w:rFonts w:ascii="Times New Roman" w:hAnsi="Times New Roman"/>
          <w:b w:val="false"/>
          <w:i w:val="false"/>
          <w:color w:val="000000"/>
          <w:sz w:val="22"/>
        </w:rPr>
        <w:t>, “Resident, Special and Temporary Physician Licensure.” The following fees apply to special physician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a special physician license, $300 plus the $45 fee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 of a special physician license,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val="false"/>
          <w:color w:val="000000"/>
          <w:sz w:val="22"/>
        </w:rPr>
        <w:t xml:space="preserve">Fees for temporary physician licensure. For provisions for temporary physician licensure, see </w:t>
      </w:r>
      <w:hyperlink r:id="rId14">
        <w:r>
          <w:rPr>
            <w:rStyle w:val="Hyperlink"/>
            <w:rFonts w:ascii="Times New Roman" w:hAnsi="Times New Roman"/>
            <w:b w:val="false"/>
            <w:i w:val="false"/>
            <w:color w:val="000000"/>
            <w:sz w:val="22"/>
          </w:rPr>
          <w:t>653—Chapter 10</w:t>
        </w:r>
      </w:hyperlink>
      <w:r>
        <w:rPr>
          <w:rFonts w:ascii="Times New Roman" w:hAnsi="Times New Roman"/>
          <w:b w:val="false"/>
          <w:i w:val="false"/>
          <w:color w:val="000000"/>
          <w:sz w:val="22"/>
        </w:rPr>
        <w:t>, “Resident, Special and Temporary Physician Licensure.” The following fees apply to temporary physician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a temporary physician license, $100 plus the $45 fee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 of a temporary physician license,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w:t>
      </w:r>
      <w:r>
        <w:rPr>
          <w:rFonts w:ascii="Times New Roman" w:hAnsi="Times New Roman"/>
          <w:b w:val="false"/>
          <w:i w:val="false"/>
          <w:color w:val="000000"/>
          <w:sz w:val="22"/>
        </w:rPr>
        <w:t> </w:t>
      </w:r>
      <w:r>
        <w:rPr>
          <w:rFonts w:ascii="Times New Roman" w:hAnsi="Times New Roman"/>
          <w:b w:val="false"/>
          <w:i w:val="false"/>
          <w:color w:val="000000"/>
          <w:sz w:val="22"/>
        </w:rPr>
        <w:t>Fee for photocopy of a licensure application. Fee for a photocopy of a licensure application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8.4(6)</w:t>
      </w:r>
      <w:r>
        <w:rPr>
          <w:rFonts w:ascii="Times New Roman" w:hAnsi="Times New Roman"/>
          <w:b w:val="false"/>
          <w:i w:val="false"/>
          <w:color w:val="000000"/>
          <w:sz w:val="22"/>
        </w:rPr>
        <w:t> </w:t>
      </w:r>
      <w:r>
        <w:rPr>
          <w:rFonts w:ascii="Times New Roman" w:hAnsi="Times New Roman"/>
          <w:b w:val="false"/>
          <w:i w:val="false"/>
          <w:color w:val="000000"/>
          <w:sz w:val="22"/>
        </w:rPr>
        <w:t>Fee for the evaluation of the fingerprint packet and the DCI and FBI criminal history background checks, $45.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0871C</w:t>
      </w:r>
      <w:r>
        <w:rPr>
          <w:rFonts w:ascii="Times New Roman" w:hAnsi="Times New Roman"/>
          <w:b w:val="false"/>
          <w:i w:val="false"/>
          <w:color w:val="000000"/>
          <w:sz w:val="16"/>
        </w:rPr>
        <w:t>, IAB 7/24/13, effective 8/28/13</w:t>
      </w:r>
      <w:r>
        <w:rPr>
          <w:rFonts w:ascii="Times New Roman" w:hAnsi="Times New Roman"/>
          <w:b w:val="false"/>
          <w:i w:val="false"/>
          <w:color w:val="000000"/>
          <w:sz w:val="16"/>
        </w:rPr>
        <w:t xml:space="preserve">; </w:t>
      </w:r>
      <w:r>
        <w:rPr>
          <w:rFonts w:ascii="Times New Roman" w:hAnsi="Times New Roman"/>
          <w:b/>
          <w:i w:val="false"/>
          <w:color w:val="000000"/>
          <w:sz w:val="16"/>
        </w:rPr>
        <w:t>ARC 1187C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3464C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653—8.5</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Fees for verification of physician licensure and certification of examination scores.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Verification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Physicians shall use VeriDoc to secure a certified statement that verifies Iowa licensure status for any state medical board that accepts VeriDoc. VeriDoc is accessible at </w:t>
      </w:r>
      <w:hyperlink r:id="rId15">
        <w:r>
          <w:rPr>
            <w:rStyle w:val="Hyperlink"/>
            <w:rFonts w:ascii="Times New Roman" w:hAnsi="Times New Roman"/>
            <w:b w:val="false"/>
            <w:i w:val="false"/>
            <w:color w:val="000000"/>
            <w:sz w:val="22"/>
            <w:u w:val="single"/>
          </w:rPr>
          <w:t>www.veridoc.org</w:t>
        </w:r>
      </w:hyperlink>
      <w:r>
        <w:rPr>
          <w:rFonts w:ascii="Times New Roman" w:hAnsi="Times New Roman"/>
          <w:b w:val="false"/>
          <w:i w:val="false"/>
          <w:color w:val="000000"/>
          <w:sz w:val="22"/>
        </w:rPr>
        <w:t>. The fee for this service is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who needs a certified statement that verifies Iowa licensure status for a state medical board that does not accept verification from VeriDoc shall make a written request for a certified statement with payment of a $30 verification fee to the Iowa Board of Medicine. The Iowa board shall provide a certified statement that verifies Iowa licensure status to the nonaccepting state medical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fee for verification of Iowa licensure status that does not require a certified statement or letter is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shall provide an automated telephone or electronic verification service whereby users can input the licensee’s license number to learn the licensee’s current licensure status. There is no fee for this service.</w:t>
      </w:r>
    </w:p>
    <w:p>
      <w:pPr>
        <w:spacing w:before="0" w:after="0"/>
        <w:ind w:left="120"/>
        <w:jc w:val="both"/>
      </w:pPr>
      <w:r>
        <w:rPr>
          <w:rFonts w:ascii="Times New Roman" w:hAnsi="Times New Roman"/>
          <w:b w:val="false"/>
          <w:i w:val="false"/>
          <w:color w:val="000000"/>
          <w:sz w:val="22"/>
        </w:rPr>
        <w:t xml:space="preserve">The board shall provide a license number for an individual caller to use in the automated telephone or electronic verification service. Businesses that utilize verifications will be required to utilize the automated telephone or electronic verification service or the alternative outlined in </w:t>
      </w:r>
      <w:hyperlink r:id="rId16">
        <w:r>
          <w:rPr>
            <w:rStyle w:val="Hyperlink"/>
            <w:rFonts w:ascii="Times New Roman" w:hAnsi="Times New Roman"/>
            <w:b w:val="false"/>
            <w:i w:val="false"/>
            <w:color w:val="000000"/>
            <w:sz w:val="22"/>
          </w:rPr>
          <w:t>8.5(1)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Fees for certification of physician examination scores. </w:t>
      </w:r>
      <w:r>
        <w:rPr>
          <w:rFonts w:ascii="Times New Roman" w:hAnsi="Times New Roman"/>
          <w:b w:val="false"/>
          <w:i w:val="false"/>
          <w:color w:val="000000"/>
          <w:sz w:val="22"/>
        </w:rPr>
        <w:t xml:space="preserve">Upon request and payment of the designated fee, the board may provide certification of scores of an examination given by the board in Iowa as permitted under Iowa Code section </w:t>
      </w:r>
      <w:hyperlink r:id="rId17">
        <w:r>
          <w:rPr>
            <w:rStyle w:val="Hyperlink"/>
            <w:rFonts w:ascii="Times New Roman" w:hAnsi="Times New Roman"/>
            <w:b w:val="false"/>
            <w:i w:val="false"/>
            <w:color w:val="000000"/>
            <w:sz w:val="22"/>
          </w:rPr>
          <w:t>147.21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653—paragraph 2.13(2)</w:t>
        </w:r>
        <w:r>
          <w:rPr>
            <w:rFonts w:ascii="Times New Roman" w:hAnsi="Times New Roman"/>
            <w:b w:val="false"/>
            <w:i/>
            <w:color w:val="000000"/>
            <w:sz w:val="22"/>
          </w:rPr>
          <w:t>“f.”</w:t>
        </w:r>
      </w:hyperlink>
      <w:r>
        <w:rPr>
          <w:rFonts w:ascii="Times New Roman" w:hAnsi="Times New Roman"/>
          <w:b w:val="false"/>
          <w:i w:val="false"/>
          <w:color w:val="000000"/>
          <w:sz w:val="22"/>
        </w:rPr>
        <w:t xml:space="preserve"> The scores available from the board are those from examinees who took the state-constructed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statement of grades attained by examination, $45.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statement of grades attained by examination including examination history or additional documentation, $55.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1187C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3464C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653—8.6</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Public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color w:val="000000"/>
          <w:sz w:val="22"/>
        </w:rPr>
        <w:t xml:space="preserve">Public records available at no cost. </w:t>
      </w:r>
      <w:r>
        <w:rPr>
          <w:rFonts w:ascii="Times New Roman" w:hAnsi="Times New Roman"/>
          <w:b w:val="false"/>
          <w:i w:val="false"/>
          <w:color w:val="000000"/>
          <w:sz w:val="22"/>
        </w:rPr>
        <w:t>The following records are available at no cost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action taken by the board against a licensee may be found under the licensee’s name on the board’s website, </w:t>
      </w:r>
      <w:hyperlink r:id="rId19">
        <w:r>
          <w:rPr>
            <w:rStyle w:val="Hyperlink"/>
            <w:rFonts w:ascii="Times New Roman" w:hAnsi="Times New Roman"/>
            <w:b w:val="false"/>
            <w:i w:val="false"/>
            <w:color w:val="000000"/>
            <w:sz w:val="22"/>
            <w:u w:val="single"/>
          </w:rPr>
          <w:t>www.medicalboard.iowa.gov</w:t>
        </w:r>
      </w:hyperlink>
      <w:r>
        <w:rPr>
          <w:rFonts w:ascii="Times New Roman" w:hAnsi="Times New Roman"/>
          <w:b w:val="false"/>
          <w:i w:val="false"/>
          <w:color w:val="000000"/>
          <w:sz w:val="22"/>
        </w:rPr>
        <w:t>, under “Find A Physician.” Public actions are posted on the board’s website within approximately one week after the board has taken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files of press releases, statements of charges, final orders and consent agreements from each board meeting are available within approximately one week after the board has taken action. These files are available on the board’s website, </w:t>
      </w:r>
      <w:hyperlink r:id="rId20">
        <w:r>
          <w:rPr>
            <w:rStyle w:val="Hyperlink"/>
            <w:rFonts w:ascii="Times New Roman" w:hAnsi="Times New Roman"/>
            <w:b w:val="false"/>
            <w:i w:val="false"/>
            <w:color w:val="000000"/>
            <w:sz w:val="22"/>
            <w:u w:val="single"/>
          </w:rPr>
          <w:t>www.medicalboard.iowa.gov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color w:val="000000"/>
          <w:sz w:val="22"/>
        </w:rPr>
        <w:t xml:space="preserve">Purchase of public records. </w:t>
      </w:r>
      <w:r>
        <w:rPr>
          <w:rFonts w:ascii="Times New Roman" w:hAnsi="Times New Roman"/>
          <w:b w:val="false"/>
          <w:i w:val="false"/>
          <w:color w:val="000000"/>
          <w:sz w:val="22"/>
        </w:rPr>
        <w:t xml:space="preserve">Public records are available according to </w:t>
      </w:r>
      <w:hyperlink r:id="rId21">
        <w:r>
          <w:rPr>
            <w:rStyle w:val="Hyperlink"/>
            <w:rFonts w:ascii="Times New Roman" w:hAnsi="Times New Roman"/>
            <w:b w:val="false"/>
            <w:i w:val="false"/>
            <w:color w:val="000000"/>
            <w:sz w:val="22"/>
          </w:rPr>
          <w:t>653—Chapter 2</w:t>
        </w:r>
      </w:hyperlink>
      <w:r>
        <w:rPr>
          <w:rFonts w:ascii="Times New Roman" w:hAnsi="Times New Roman"/>
          <w:b w:val="false"/>
          <w:i w:val="false"/>
          <w:color w:val="000000"/>
          <w:sz w:val="22"/>
        </w:rPr>
        <w:t>, “Public Records and Fair Information Practices.” Payment made to the Iowa Board of Medicine shall be received in the board office prior to the release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Printed copies of public records shall be calculated at $.25 per page plus labor. The board may charge a $16 per hour fee for labor in excess of one-quarter hour for searching and copying documents or retrieving and copying information stored electronically. No additional fee shall be charged for delivery of the records by mail, fax, or email. Fax is an option if the requested records are fewer than 30 pages. The board office shall not require payment when the fees for the request would be less than $5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 copies of public records delivered by email shall be provided at no charge per page. The board may charge a $16 per hour fee for labor in excess of one-quarter hour for searching and copying documents or retrieving and copying information stored electronically.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1187C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653—8.7</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Licensee data list. </w:t>
      </w:r>
      <w:r>
        <w:rPr>
          <w:rFonts w:ascii="Times New Roman" w:hAnsi="Times New Roman"/>
          <w:b w:val="false"/>
          <w:i w:val="false"/>
          <w:color w:val="000000"/>
          <w:sz w:val="22"/>
        </w:rPr>
        <w:t xml:space="preserve">A data list of all physicians and acupuncturists includes the following information about each licensee: full name, year of birth, work address and telephone number (or other contact information on file if licensee’s work address and telephone number are not available), Iowa county (if applicable), medical school (if applicable), year of graduation from medical school (if applicable), two medical specialties (if available), license issue date, license expiration date, license number, license type, license status, and an indicator of whether the board has taken any public action on the license. There is no fee for an electronic file of this list. A printed copy of the data list is available at the board’s office at fees described in rule </w:t>
      </w:r>
      <w:hyperlink r:id="rId22">
        <w:r>
          <w:rPr>
            <w:rStyle w:val="Hyperlink"/>
            <w:rFonts w:ascii="Times New Roman" w:hAnsi="Times New Roman"/>
            <w:b w:val="false"/>
            <w:i w:val="false"/>
            <w:color w:val="000000"/>
            <w:sz w:val="22"/>
          </w:rPr>
          <w:t>653—8.6</w:t>
        </w:r>
      </w:hyperlink>
      <w:r>
        <w:rPr>
          <w:rFonts w:ascii="Times New Roman" w:hAnsi="Times New Roman"/>
          <w:b w:val="false"/>
          <w:i w:val="false"/>
          <w:color w:val="000000"/>
          <w:sz w:val="22"/>
        </w:rPr>
        <w:t>(147,148,272C). Payment made to the Iowa Board of Medicine shall be received in the board office prior to the release of a printed copy of the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1187C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3464C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653—8.8</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The board shall charge a fee of $25 for a check returned for any reason. If a license had been issued by the board office based on a check that is later returned by the bank, the board shall request payment by certified check or money order. If the fees are not paid within two weeks of notification of the returned check by certified mail, the licensee shall be subject to disciplinary action for noncompliance with board rules.</w:t>
      </w:r>
    </w:p>
    <w:p>
      <w:pPr>
        <w:spacing w:before="0" w:after="0"/>
        <w:ind w:left="120"/>
        <w:jc w:val="both"/>
      </w:pPr>
      <w:r>
        <w:rPr>
          <w:rFonts w:ascii="Times New Roman" w:hAnsi="Times New Roman"/>
          <w:b/>
          <w:i w:val="false"/>
          <w:color w:val="000000"/>
          <w:sz w:val="22"/>
        </w:rPr>
        <w:t>653—8.9</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Copies of the laws and rules. </w:t>
      </w:r>
      <w:r>
        <w:rPr>
          <w:rFonts w:ascii="Times New Roman" w:hAnsi="Times New Roman"/>
          <w:b w:val="false"/>
          <w:i w:val="false"/>
          <w:color w:val="000000"/>
          <w:sz w:val="22"/>
        </w:rPr>
        <w:t xml:space="preserve">Electronic copies of laws and rules pertaining to the practice of medicine or acupuncture are available at </w:t>
      </w:r>
      <w:hyperlink r:id="rId23">
        <w:r>
          <w:rPr>
            <w:rStyle w:val="Hyperlink"/>
            <w:rFonts w:ascii="Times New Roman" w:hAnsi="Times New Roman"/>
            <w:b w:val="false"/>
            <w:i w:val="false"/>
            <w:color w:val="000000"/>
            <w:sz w:val="22"/>
            <w:u w:val="single"/>
          </w:rPr>
          <w:t>www.legis.iowa.gov</w:t>
        </w:r>
      </w:hyperlink>
      <w:r>
        <w:rPr>
          <w:rFonts w:ascii="Times New Roman" w:hAnsi="Times New Roman"/>
          <w:b w:val="false"/>
          <w:i w:val="false"/>
          <w:color w:val="000000"/>
          <w:sz w:val="22"/>
        </w:rPr>
        <w:t xml:space="preserve"> at no cost. Printed copies of these laws and rules are available at the board’s office at fees described in rule </w:t>
      </w:r>
      <w:hyperlink r:id="rId24">
        <w:r>
          <w:rPr>
            <w:rStyle w:val="Hyperlink"/>
            <w:rFonts w:ascii="Times New Roman" w:hAnsi="Times New Roman"/>
            <w:b w:val="false"/>
            <w:i w:val="false"/>
            <w:color w:val="000000"/>
            <w:sz w:val="22"/>
          </w:rPr>
          <w:t>653—8.6</w:t>
        </w:r>
      </w:hyperlink>
      <w:r>
        <w:rPr>
          <w:rFonts w:ascii="Times New Roman" w:hAnsi="Times New Roman"/>
          <w:b w:val="false"/>
          <w:i w:val="false"/>
          <w:color w:val="000000"/>
          <w:sz w:val="22"/>
        </w:rPr>
        <w:t>(147,148,272C).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1187C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3464C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653—8.10</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Refunds. </w:t>
      </w:r>
      <w:r>
        <w:rPr>
          <w:rFonts w:ascii="Times New Roman" w:hAnsi="Times New Roman"/>
          <w:b w:val="false"/>
          <w:i w:val="false"/>
          <w:color w:val="000000"/>
          <w:sz w:val="22"/>
        </w:rPr>
        <w:t>Application and licensure fees shall be collected by the board and shall not be refunded except by board action in unusual instances, e.g., documented illness or death of the applicant. The board shall consider the cost of the work completed on the application and the cost of the work to grant a refund in determining the amount of refund to be granted.</w:t>
      </w:r>
    </w:p>
    <w:p>
      <w:pPr>
        <w:spacing w:before="0" w:after="0"/>
        <w:ind w:left="120"/>
        <w:jc w:val="both"/>
      </w:pPr>
      <w:r>
        <w:rPr>
          <w:rFonts w:ascii="Times New Roman" w:hAnsi="Times New Roman"/>
          <w:b/>
          <w:i w:val="false"/>
          <w:color w:val="000000"/>
          <w:sz w:val="22"/>
        </w:rPr>
        <w:t>653—8.11</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Waiver prohibited. </w:t>
      </w:r>
      <w:r>
        <w:rPr>
          <w:rFonts w:ascii="Times New Roman" w:hAnsi="Times New Roman"/>
          <w:b w:val="false"/>
          <w:i w:val="false"/>
          <w:color w:val="000000"/>
          <w:sz w:val="22"/>
        </w:rPr>
        <w:t xml:space="preserve">Licensure and examination fees in this chapter are not subject to waiver pursuant to </w:t>
      </w:r>
      <w:hyperlink r:id="rId25">
        <w:r>
          <w:rPr>
            <w:rStyle w:val="Hyperlink"/>
            <w:rFonts w:ascii="Times New Roman" w:hAnsi="Times New Roman"/>
            <w:b w:val="false"/>
            <w:i w:val="false"/>
            <w:color w:val="000000"/>
            <w:sz w:val="22"/>
          </w:rPr>
          <w:t>653—Chapter 3</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5600C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653—8.12</w:t>
      </w:r>
      <w:r>
        <w:rPr>
          <w:rFonts w:ascii="Times New Roman" w:hAnsi="Times New Roman"/>
          <w:b/>
          <w:i w:val="false"/>
          <w:color w:val="000000"/>
          <w:sz w:val="22"/>
        </w:rPr>
        <w:t xml:space="preserve">(8,147,148,272C) </w:t>
      </w:r>
      <w:r>
        <w:rPr>
          <w:rFonts w:ascii="Times New Roman" w:hAnsi="Times New Roman"/>
          <w:b/>
          <w:i w:val="false"/>
          <w:color w:val="000000"/>
          <w:sz w:val="22"/>
        </w:rPr>
        <w:t xml:space="preserve">Request for reports. </w:t>
      </w:r>
      <w:r>
        <w:rPr>
          <w:rFonts w:ascii="Times New Roman" w:hAnsi="Times New Roman"/>
          <w:b w:val="false"/>
          <w:i w:val="false"/>
          <w:color w:val="000000"/>
          <w:sz w:val="22"/>
        </w:rPr>
        <w:t>The board may request a report from the National Practitioner Data Bank regarding an applicant or licensee. The cost of obtaining the report is included within the fee for initial licensure or licensure reinstatement or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1187C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653—8.13</w:t>
      </w:r>
      <w:r>
        <w:rPr>
          <w:rFonts w:ascii="Times New Roman" w:hAnsi="Times New Roman"/>
          <w:b/>
          <w:i w:val="false"/>
          <w:color w:val="000000"/>
          <w:sz w:val="22"/>
        </w:rPr>
        <w:t xml:space="preserve">(8,147,148,272C) </w:t>
      </w:r>
      <w:r>
        <w:rPr>
          <w:rFonts w:ascii="Times New Roman" w:hAnsi="Times New Roman"/>
          <w:b/>
          <w:i w:val="false"/>
          <w:color w:val="000000"/>
          <w:sz w:val="22"/>
        </w:rPr>
        <w:t xml:space="preserve">Monitoring fee. </w:t>
      </w:r>
      <w:r>
        <w:rPr>
          <w:rFonts w:ascii="Times New Roman" w:hAnsi="Times New Roman"/>
          <w:b w:val="false"/>
          <w:i w:val="false"/>
          <w:color w:val="000000"/>
          <w:sz w:val="22"/>
        </w:rPr>
        <w:t>The board may require payment of up to $300 per quarter to cover the board’s expenses to monitor a licensee’s compliance with a settlement agreement or final decision and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1187C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653—8.14</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Application and licensure fees for genetic counselors.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color w:val="000000"/>
          <w:sz w:val="22"/>
        </w:rPr>
        <w:t xml:space="preserve">Licensure provisions for genetic counselors. </w:t>
      </w:r>
      <w:r>
        <w:rPr>
          <w:rFonts w:ascii="Times New Roman" w:hAnsi="Times New Roman"/>
          <w:b w:val="false"/>
          <w:i w:val="false"/>
          <w:color w:val="000000"/>
          <w:sz w:val="22"/>
        </w:rPr>
        <w:t>Licensure provisions for genetic counselors can be found at 653—Chapter 20, “Licensure of Genetic Counselors.”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color w:val="000000"/>
          <w:sz w:val="22"/>
        </w:rPr>
        <w:t xml:space="preserve">Fees for genetic counselors. </w:t>
      </w:r>
      <w:r>
        <w:rPr>
          <w:rFonts w:ascii="Times New Roman" w:hAnsi="Times New Roman"/>
          <w:b w:val="false"/>
          <w:i w:val="false"/>
          <w:color w:val="000000"/>
          <w:sz w:val="22"/>
        </w:rPr>
        <w:t>The following fees apply to licensure and provisional licensure for genetic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application fee for licensure,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Reactivation of application for licensure,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of an active license,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Penalty for failure to renew before expiration,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written request and payment of the designated fee, the board shall provide the following information about the status of a genetic counselor’s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Certified statement that verifies the status of licensure in Iowa that requires the board seal or a letter of good standing,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the status of licensure in Iowa that does not require a certified statement or letter,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Fee for the evaluation of the fingerprint packet and the DCI and FBI criminal history background checks, $45.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Fee for reinstatement of a license, $300.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4246C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6">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148.3</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148.5</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148.10</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148.11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emergency 10/9/02 after Notice 8/21/02—published 10/30/02, effective 10/9/02]</w:t>
      </w:r>
    </w:p>
    <w:p>
      <w:pPr>
        <w:spacing w:before="0" w:after="0"/>
        <w:ind w:left="120"/>
        <w:jc w:val="center"/>
      </w:pPr>
      <w:r>
        <w:rPr>
          <w:rFonts w:ascii="Times New Roman" w:hAnsi="Times New Roman"/>
          <w:b w:val="false"/>
          <w:i w:val="false"/>
          <w:color w:val="000000"/>
          <w:sz w:val="21"/>
        </w:rPr>
        <w:t>[Filed 1/3/03, Notice 11/27/02—published 1/22/03, effective 2/26/03]</w:t>
      </w:r>
    </w:p>
    <w:p>
      <w:pPr>
        <w:spacing w:before="0" w:after="0"/>
        <w:ind w:left="120"/>
        <w:jc w:val="center"/>
      </w:pPr>
      <w:r>
        <w:rPr>
          <w:rFonts w:ascii="Times New Roman" w:hAnsi="Times New Roman"/>
          <w:b w:val="false"/>
          <w:i w:val="false"/>
          <w:color w:val="000000"/>
          <w:sz w:val="21"/>
        </w:rPr>
        <w:t>[Filed emergency 2/7/03 after Notice 1/8/03—published 3/5/03, effective 2/7/03]</w:t>
      </w:r>
    </w:p>
    <w:p>
      <w:pPr>
        <w:spacing w:before="0" w:after="0"/>
        <w:ind w:left="120"/>
        <w:jc w:val="center"/>
      </w:pPr>
      <w:r>
        <w:rPr>
          <w:rFonts w:ascii="Times New Roman" w:hAnsi="Times New Roman"/>
          <w:b w:val="false"/>
          <w:i w:val="false"/>
          <w:color w:val="000000"/>
          <w:sz w:val="21"/>
        </w:rPr>
        <w:t>[Filed emergency 8/28/03 after Notice 4/30/03—published 9/17/03, effective 9/1/03]</w:t>
      </w:r>
    </w:p>
    <w:p>
      <w:pPr>
        <w:spacing w:before="0" w:after="0"/>
        <w:ind w:left="120"/>
        <w:jc w:val="center"/>
      </w:pPr>
      <w:r>
        <w:rPr>
          <w:rFonts w:ascii="Times New Roman" w:hAnsi="Times New Roman"/>
          <w:b w:val="false"/>
          <w:i w:val="false"/>
          <w:color w:val="000000"/>
          <w:sz w:val="21"/>
        </w:rPr>
        <w:t>[Filed emergency 8/28/03 after Notice 7/23/03—published 9/17/03, effective 9/1/03]</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9/9/04, Notice 8/4/04—published 9/29/04, effective 11/3/04]</w:t>
      </w:r>
    </w:p>
    <w:p>
      <w:pPr>
        <w:spacing w:before="0" w:after="0"/>
        <w:ind w:left="120"/>
        <w:jc w:val="center"/>
      </w:pPr>
      <w:r>
        <w:rPr>
          <w:rFonts w:ascii="Times New Roman" w:hAnsi="Times New Roman"/>
          <w:b w:val="false"/>
          <w:i w:val="false"/>
          <w:color w:val="000000"/>
          <w:sz w:val="21"/>
        </w:rPr>
        <w:t>[Filed emergency 8/30/05 after Notice 7/6/05—published 9/28/05, effective 10/1/05]</w:t>
      </w:r>
    </w:p>
    <w:p>
      <w:pPr>
        <w:spacing w:before="0" w:after="0"/>
        <w:ind w:left="120"/>
        <w:jc w:val="center"/>
      </w:pPr>
      <w:r>
        <w:rPr>
          <w:rFonts w:ascii="Times New Roman" w:hAnsi="Times New Roman"/>
          <w:b w:val="false"/>
          <w:i w:val="false"/>
          <w:color w:val="000000"/>
          <w:sz w:val="21"/>
        </w:rPr>
        <w:t>[Filed 10/12/06, Notice 8/2/06—published 11/8/06, effective 1/1/07]</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[Filed emergency 11/21/07 after Notice 10/10/07—published 12/19/07,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8707B</w:t>
      </w:r>
      <w:r>
        <w:rPr>
          <w:rFonts w:ascii="Times New Roman" w:hAnsi="Times New Roman"/>
          <w:b w:val="false"/>
          <w:i w:val="false"/>
          <w:color w:val="000000"/>
          <w:sz w:val="21"/>
        </w:rPr>
        <w:t xml:space="preserve"> (Notice ARC 8524B, IAB 2/10/10)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0871C</w:t>
      </w:r>
      <w:r>
        <w:rPr>
          <w:rFonts w:ascii="Times New Roman" w:hAnsi="Times New Roman"/>
          <w:b w:val="false"/>
          <w:i w:val="false"/>
          <w:color w:val="000000"/>
          <w:sz w:val="21"/>
        </w:rPr>
        <w:t xml:space="preserve"> (Notice ARC 0697C, IAB 5/1/13)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1187C</w:t>
      </w:r>
      <w:r>
        <w:rPr>
          <w:rFonts w:ascii="Times New Roman" w:hAnsi="Times New Roman"/>
          <w:b w:val="false"/>
          <w:i w:val="false"/>
          <w:color w:val="000000"/>
          <w:sz w:val="21"/>
        </w:rPr>
        <w:t xml:space="preserve"> (Notice ARC 0943C,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3464C</w:t>
      </w:r>
      <w:r>
        <w:rPr>
          <w:rFonts w:ascii="Times New Roman" w:hAnsi="Times New Roman"/>
          <w:b w:val="false"/>
          <w:i w:val="false"/>
          <w:color w:val="000000"/>
          <w:sz w:val="21"/>
        </w:rPr>
        <w:t xml:space="preserve"> (Notice ARC 3258C, IAB 8/16/17)</w:t>
      </w:r>
      <w:r>
        <w:rPr>
          <w:rFonts w:ascii="Times New Roman" w:hAnsi="Times New Roman"/>
          <w:b w:val="false"/>
          <w:i w:val="false"/>
          <w:color w:val="000000"/>
          <w:sz w:val="21"/>
        </w:rPr>
        <w:t>, IAB 11/22/17, effective 12/27/17]</w:t>
      </w:r>
    </w:p>
    <w:p>
      <w:pPr>
        <w:spacing w:before="0" w:after="0"/>
        <w:ind w:left="120"/>
        <w:jc w:val="center"/>
      </w:pPr>
      <w:r>
        <w:rPr>
          <w:rFonts w:ascii="Times New Roman" w:hAnsi="Times New Roman"/>
          <w:b w:val="false"/>
          <w:i w:val="false"/>
          <w:color w:val="000000"/>
          <w:sz w:val="21"/>
        </w:rPr>
        <w:t>[Filed ARC 4246C</w:t>
      </w:r>
      <w:r>
        <w:rPr>
          <w:rFonts w:ascii="Times New Roman" w:hAnsi="Times New Roman"/>
          <w:b w:val="false"/>
          <w:i w:val="false"/>
          <w:color w:val="000000"/>
          <w:sz w:val="21"/>
        </w:rPr>
        <w:t xml:space="preserve"> (Notice ARC 4094C, IAB 10/24/18)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53.17.pdf" Type="http://schemas.openxmlformats.org/officeDocument/2006/relationships/hyperlink" Id="rId5"/>
    <Relationship TargetMode="External" Target="https://www.legis.iowa.gov/docs/iac/chapter/653.9.pdf" Type="http://schemas.openxmlformats.org/officeDocument/2006/relationships/hyperlink" Id="rId6"/>
    <Relationship TargetMode="External" Target="https://www.legis.iowa.gov/docs/iac/chapter/653.3.pdf" Type="http://schemas.openxmlformats.org/officeDocument/2006/relationships/hyperlink" Id="rId7"/>
    <Relationship TargetMode="External" Target="https://www.legis.iowa.gov/docs/iac/rule/653.8.4.pdf" Type="http://schemas.openxmlformats.org/officeDocument/2006/relationships/hyperlink" Id="rId8"/>
    <Relationship TargetMode="External" Target="https://www.legis.iowa.gov/docs/iac/rule/653.8.4.pdf" Type="http://schemas.openxmlformats.org/officeDocument/2006/relationships/hyperlink" Id="rId9"/>
    <Relationship TargetMode="External" Target="https://www.legis.iowa.gov/docs/iac/chapter/653.9.pdf" Type="http://schemas.openxmlformats.org/officeDocument/2006/relationships/hyperlink" Id="rId10"/>
    <Relationship TargetMode="External" Target="https://www.legis.iowa.gov/docs/iac/rule/653.8.4.pdf" Type="http://schemas.openxmlformats.org/officeDocument/2006/relationships/hyperlink" Id="rId11"/>
    <Relationship TargetMode="External" Target="https://www.legis.iowa.gov/docs/iac/chapter/653.10.pdf" Type="http://schemas.openxmlformats.org/officeDocument/2006/relationships/hyperlink" Id="rId12"/>
    <Relationship TargetMode="External" Target="https://www.legis.iowa.gov/docs/iac/chapter/653.10.pdf" Type="http://schemas.openxmlformats.org/officeDocument/2006/relationships/hyperlink" Id="rId13"/>
    <Relationship TargetMode="External" Target="https://www.legis.iowa.gov/docs/iac/chapter/653.10.pdf" Type="http://schemas.openxmlformats.org/officeDocument/2006/relationships/hyperlink" Id="rId14"/>
    <Relationship TargetMode="External" Target="http://www.veridoc.org" Type="http://schemas.openxmlformats.org/officeDocument/2006/relationships/hyperlink" Id="rId15"/>
    <Relationship TargetMode="External" Target="https://www.legis.iowa.gov/docs/iac/rule/653.8.5.pdf" Type="http://schemas.openxmlformats.org/officeDocument/2006/relationships/hyperlink" Id="rId16"/>
    <Relationship TargetMode="External" Target="https://www.legis.iowa.gov/docs/ico/chapter/147.21.pdf" Type="http://schemas.openxmlformats.org/officeDocument/2006/relationships/hyperlink" Id="rId17"/>
    <Relationship TargetMode="External" Target="https://www.legis.iowa.gov/docs/iac/rule/653.2.13.pdf" Type="http://schemas.openxmlformats.org/officeDocument/2006/relationships/hyperlink" Id="rId18"/>
    <Relationship TargetMode="External" Target="http://www.medicalboard.iowa.gov" Type="http://schemas.openxmlformats.org/officeDocument/2006/relationships/hyperlink" Id="rId19"/>
    <Relationship TargetMode="External" Target="http://www.medicalboard.iowa.gov" Type="http://schemas.openxmlformats.org/officeDocument/2006/relationships/hyperlink" Id="rId20"/>
    <Relationship TargetMode="External" Target="https://www.legis.iowa.gov/docs/iac/chapter/653.2.pdf" Type="http://schemas.openxmlformats.org/officeDocument/2006/relationships/hyperlink" Id="rId21"/>
    <Relationship TargetMode="External" Target="https://www.legis.iowa.gov/docs/iac/rule/653.8.6.pdf" Type="http://schemas.openxmlformats.org/officeDocument/2006/relationships/hyperlink" Id="rId22"/>
    <Relationship TargetMode="External" Target="http://www.legis.iowa.gov" Type="http://schemas.openxmlformats.org/officeDocument/2006/relationships/hyperlink" Id="rId23"/>
    <Relationship TargetMode="External" Target="https://www.legis.iowa.gov/docs/iac/rule/653.8.6.pdf" Type="http://schemas.openxmlformats.org/officeDocument/2006/relationships/hyperlink" Id="rId24"/>
    <Relationship TargetMode="External" Target="https://www.legis.iowa.gov/docs/iac/chapter/653.3.pdf" Type="http://schemas.openxmlformats.org/officeDocument/2006/relationships/hyperlink" Id="rId25"/>
    <Relationship TargetMode="External" Target="https://www.legis.iowa.gov/docs/ico/chapter/147.11.pdf" Type="http://schemas.openxmlformats.org/officeDocument/2006/relationships/hyperlink" Id="rId26"/>
    <Relationship TargetMode="External" Target="https://www.legis.iowa.gov/docs/ico/chapter/147.80.pdf" Type="http://schemas.openxmlformats.org/officeDocument/2006/relationships/hyperlink" Id="rId27"/>
    <Relationship TargetMode="External" Target="https://www.legis.iowa.gov/docs/ico/chapter/148.3.pdf" Type="http://schemas.openxmlformats.org/officeDocument/2006/relationships/hyperlink" Id="rId28"/>
    <Relationship TargetMode="External" Target="https://www.legis.iowa.gov/docs/ico/chapter/148.5.pdf" Type="http://schemas.openxmlformats.org/officeDocument/2006/relationships/hyperlink" Id="rId29"/>
    <Relationship TargetMode="External" Target="https://www.legis.iowa.gov/docs/ico/chapter/148.10.pdf" Type="http://schemas.openxmlformats.org/officeDocument/2006/relationships/hyperlink" Id="rId30"/>
    <Relationship TargetMode="External" Target="https://www.legis.iowa.gov/docs/ico/chapter/148.11.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