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 xml:space="preserve">WAIVERS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653—3.1</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For purposes of this chapter, a “waiver” means an action by the board which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653—3.2</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board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210" w:after="0"/>
        <w:ind w:left="120"/>
        <w:jc w:val="both"/>
      </w:pPr>
      <w:r>
        <w:rPr>
          <w:rFonts w:ascii="Times New Roman" w:hAnsi="Times New Roman"/>
          <w:b/>
          <w:i w:val="false"/>
          <w:color w:val="000000"/>
          <w:sz w:val="22"/>
        </w:rPr>
        <w:t>653—3.3</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Applicability of chapter. </w:t>
      </w:r>
      <w:r>
        <w:rPr>
          <w:rFonts w:ascii="Times New Roman" w:hAnsi="Times New Roman"/>
          <w:b w:val="false"/>
          <w:i w:val="false"/>
          <w:color w:val="000000"/>
          <w:sz w:val="22"/>
        </w:rPr>
        <w:t>The board may grant a waiver from a rule only if the board has jurisdiction over the rule and the requested waiver is consistent with applicable statutes, constitutional provisions, or other provisions of law. The board may not waive requirements created or duties imposed by statute.</w:t>
      </w:r>
    </w:p>
    <w:p>
      <w:pPr>
        <w:spacing w:before="0" w:after="0"/>
        <w:ind w:left="120"/>
        <w:jc w:val="both"/>
      </w:pPr>
      <w:r>
        <w:rPr>
          <w:rFonts w:ascii="Times New Roman" w:hAnsi="Times New Roman"/>
          <w:b/>
          <w:i w:val="false"/>
          <w:color w:val="000000"/>
          <w:sz w:val="22"/>
        </w:rPr>
        <w:t>653—3.4</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w:t>
      </w:r>
      <w:hyperlink r:id="rId5">
        <w:r>
          <w:rPr>
            <w:rStyle w:val="Hyperlink"/>
            <w:rFonts w:ascii="Times New Roman" w:hAnsi="Times New Roman"/>
            <w:b w:val="false"/>
            <w:i w:val="false"/>
            <w:color w:val="000000"/>
            <w:sz w:val="22"/>
          </w:rPr>
          <w:t>rule 653—3.6(17A,147,148)</w:t>
        </w:r>
      </w:hyperlink>
      <w:r>
        <w:rPr>
          <w:rFonts w:ascii="Times New Roman" w:hAnsi="Times New Roman"/>
          <w:b w:val="false"/>
          <w:i w:val="false"/>
          <w:color w:val="000000"/>
          <w:sz w:val="22"/>
        </w:rPr>
        <w:t>, the board may, in its sole discretion, issue an order waiving, in whole or in part, the requirements of a rule if the board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653—3.5</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If the petition relates to a license application, the petition shall be made in accordance with the filing requirements for the license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may be submitted to the board’s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File petition. </w:t>
      </w:r>
      <w:r>
        <w:rPr>
          <w:rFonts w:ascii="Times New Roman" w:hAnsi="Times New Roman"/>
          <w:b w:val="false"/>
          <w:i w:val="false"/>
          <w:color w:val="000000"/>
          <w:sz w:val="22"/>
        </w:rPr>
        <w:t xml:space="preserve">A petition is deemed filed when it is received in the board office. A petition should be sent to the Iowa Board of Medicine, 400 S.W. 8th Street, Suite C, Des Moines, Iowa 50309-4686. The petition must conform to the form specified in </w:t>
      </w:r>
      <w:hyperlink r:id="rId6">
        <w:r>
          <w:rPr>
            <w:rStyle w:val="Hyperlink"/>
            <w:rFonts w:ascii="Times New Roman" w:hAnsi="Times New Roman"/>
            <w:b w:val="false"/>
            <w:i w:val="false"/>
            <w:color w:val="000000"/>
            <w:sz w:val="22"/>
          </w:rPr>
          <w:t>rule 653—3.17(17A,147,148)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653—3.6</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or entity for whom a waiver is being requested, and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w:t>
      </w:r>
      <w:hyperlink r:id="rId7">
        <w:r>
          <w:rPr>
            <w:rStyle w:val="Hyperlink"/>
            <w:rFonts w:ascii="Times New Roman" w:hAnsi="Times New Roman"/>
            <w:b w:val="false"/>
            <w:i w:val="false"/>
            <w:color w:val="000000"/>
            <w:sz w:val="22"/>
          </w:rPr>
          <w:t>rule 653—3.4(17A,147,148)</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board and the petitioner relating to the regulated activity or license affected by the proposed waiver, including a description of each affected license held by the requester, any formal charges filed, notices of violation, contested case hearings, or investigations relating to the regulated activity or license within the past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board’s action in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who would be adversely affected by the grant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board with information relevant to the waiver.</w:t>
      </w:r>
    </w:p>
    <w:p>
      <w:pPr>
        <w:spacing w:before="210" w:after="0"/>
        <w:ind w:left="120"/>
        <w:jc w:val="both"/>
      </w:pPr>
      <w:r>
        <w:rPr>
          <w:rFonts w:ascii="Times New Roman" w:hAnsi="Times New Roman"/>
          <w:b/>
          <w:i w:val="false"/>
          <w:color w:val="000000"/>
          <w:sz w:val="22"/>
        </w:rPr>
        <w:t>653—3.7</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or in-person meeting between the petitioner and the board’s executive director, a committee of the board, or a quorum of the board.</w:t>
      </w:r>
    </w:p>
    <w:p>
      <w:pPr>
        <w:spacing w:before="210" w:after="0"/>
        <w:ind w:left="120"/>
        <w:jc w:val="both"/>
      </w:pPr>
      <w:r>
        <w:rPr>
          <w:rFonts w:ascii="Times New Roman" w:hAnsi="Times New Roman"/>
          <w:b/>
          <w:i w:val="false"/>
          <w:color w:val="000000"/>
          <w:sz w:val="22"/>
        </w:rPr>
        <w:t>653—3.8</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upon receipt. The board shall ensure that all persons to whom notice is required by any provision of law, including the petitioner, receive notice within 30 days of the receipt of the petition, that the petition is pending and a concise summary of its contents. In addition, the board may give notice to other persons. To accomplish this notice provision, the board may require the petitioner to serve the notice on all persons to whom notice is required by any provision of law, and provide a written statement to the board attesting that notice has been provided.</w:t>
      </w:r>
    </w:p>
    <w:p>
      <w:pPr>
        <w:spacing w:before="210" w:after="0"/>
        <w:ind w:left="120"/>
        <w:jc w:val="both"/>
      </w:pPr>
      <w:r>
        <w:rPr>
          <w:rFonts w:ascii="Times New Roman" w:hAnsi="Times New Roman"/>
          <w:b/>
          <w:i w:val="false"/>
          <w:color w:val="000000"/>
          <w:sz w:val="22"/>
        </w:rPr>
        <w:t>653—3.9</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8">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board so provides by rule or order or is required to do so by statute.</w:t>
      </w:r>
    </w:p>
    <w:p>
      <w:pPr>
        <w:spacing w:before="0" w:after="0"/>
        <w:ind w:left="120"/>
        <w:jc w:val="both"/>
      </w:pPr>
      <w:r>
        <w:rPr>
          <w:rFonts w:ascii="Times New Roman" w:hAnsi="Times New Roman"/>
          <w:b/>
          <w:i w:val="false"/>
          <w:color w:val="000000"/>
          <w:sz w:val="22"/>
        </w:rPr>
        <w:t>653—3.10</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Each petition for a waiver shall be evaluated by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on a waiver any condition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653—3.11</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p>
      <w:pPr>
        <w:spacing w:before="210" w:after="0"/>
        <w:ind w:left="120"/>
        <w:jc w:val="both"/>
      </w:pPr>
      <w:r>
        <w:rPr>
          <w:rFonts w:ascii="Times New Roman" w:hAnsi="Times New Roman"/>
          <w:b/>
          <w:i w:val="false"/>
          <w:color w:val="000000"/>
          <w:sz w:val="22"/>
        </w:rPr>
        <w:t>653—3.12</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Summary reports. </w:t>
      </w:r>
      <w:r>
        <w:rPr>
          <w:rFonts w:ascii="Times New Roman" w:hAnsi="Times New Roman"/>
          <w:b w:val="false"/>
          <w:i w:val="false"/>
          <w:color w:val="000000"/>
          <w:sz w:val="22"/>
        </w:rPr>
        <w:t>Semiannually, the board shall prepare a summary report identifying the rules for which a waiver has been granted or denied, the number of times a waiver was granted or denied for each rule, a citation to the statutory provisions implemented by these rules, and a general summary of the reasons justifying the board’s actions on waiver requests. If practicable, the report shall detail the extent to which the granting of a waiver has affected the general applicability of the rule itself. Copies of this report shall be available for public inspection and shall be provided semiannually to the administrative rules coordinator and the administrative rules review committee.</w:t>
      </w:r>
    </w:p>
    <w:p>
      <w:pPr>
        <w:spacing w:before="0" w:after="0"/>
        <w:ind w:left="120"/>
        <w:jc w:val="both"/>
      </w:pPr>
      <w:r>
        <w:rPr>
          <w:rFonts w:ascii="Times New Roman" w:hAnsi="Times New Roman"/>
          <w:b/>
          <w:i w:val="false"/>
          <w:color w:val="000000"/>
          <w:sz w:val="22"/>
        </w:rPr>
        <w:t>653—3.13</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653—3.14</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653—3.15</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only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653—3.16</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 board’s decision to grant or deny a waiver petition may be taken in accordance with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653—3.17</w:t>
      </w:r>
      <w:r>
        <w:rPr>
          <w:rFonts w:ascii="Times New Roman" w:hAnsi="Times New Roman"/>
          <w:b/>
          <w:i w:val="false"/>
          <w:color w:val="000000"/>
          <w:sz w:val="22"/>
        </w:rPr>
        <w:t xml:space="preserve">(17A,147,148) </w:t>
      </w:r>
      <w:r>
        <w:rPr>
          <w:rFonts w:ascii="Times New Roman" w:hAnsi="Times New Roman"/>
          <w:b/>
          <w:i w:val="false"/>
          <w:color w:val="000000"/>
          <w:sz w:val="22"/>
        </w:rPr>
        <w:t xml:space="preserve">Sample petition for waiver. </w:t>
      </w:r>
      <w:r>
        <w:rPr>
          <w:rFonts w:ascii="Times New Roman" w:hAnsi="Times New Roman"/>
          <w:b w:val="false"/>
          <w:i w:val="false"/>
          <w:color w:val="000000"/>
          <w:sz w:val="22"/>
        </w:rPr>
        <w:t>A petition for waiver filed in accordance with this chapter must meet the requirements specified herein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138"/>
        <w:gridCol w:w="1010"/>
        <w:gridCol w:w="5042"/>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BOARD OF MEDICINE</w:t>
            </w:r>
          </w:p>
        </w:tc>
      </w:tr>
      <w:tr>
        <w:trPr>
          <w:trHeight w:val="1110" w:hRule="atLeast"/>
        </w:trPr>
        <w:tc>
          <w:tcPr>
            <w:tcW w:w="513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01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 </w:t>
            </w:r>
          </w:p>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5042"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the name, address, and telephone number of the petitioner (person asking for a waiver). Also, the name, address, and telephone number of the petitioner’s legal representative, if applicable,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the specific waiver requested, including the precise scope and time period for which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Explain the relevant facts and reasons that the petitioner believes justify a waiver. Include in your answer all of the following: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Why applying the rule would result in undue hardship to the petitioner;</w:t>
      </w:r>
    </w:p>
    <w:p>
      <w:pPr>
        <w:spacing w:before="0" w:after="0"/>
        <w:ind w:left="120"/>
        <w:jc w:val="both"/>
      </w:pPr>
      <w:r>
        <w:rPr>
          <w:rFonts w:ascii="Times New Roman" w:hAnsi="Times New Roman"/>
          <w:b w:val="false"/>
          <w:i w:val="false"/>
          <w:color w:val="000000"/>
          <w:sz w:val="22"/>
        </w:rPr>
        <w:t>b. Why waiving the rule would not prejudice the substantial legal rights of any person;</w:t>
      </w:r>
    </w:p>
    <w:p>
      <w:pPr>
        <w:spacing w:before="0" w:after="0"/>
        <w:ind w:left="120"/>
        <w:jc w:val="both"/>
      </w:pPr>
      <w:r>
        <w:rPr>
          <w:rFonts w:ascii="Times New Roman" w:hAnsi="Times New Roman"/>
          <w:b w:val="false"/>
          <w:i w:val="false"/>
          <w:color w:val="000000"/>
          <w:sz w:val="22"/>
        </w:rPr>
        <w:t>c. Whether the provisions of the rule subject to the waiver are specifically mandated by statute or another provision of law; and</w:t>
      </w:r>
    </w:p>
    <w:p>
      <w:pPr>
        <w:spacing w:before="0" w:after="0"/>
        <w:ind w:left="120"/>
        <w:jc w:val="both"/>
      </w:pPr>
      <w:r>
        <w:rPr>
          <w:rFonts w:ascii="Times New Roman" w:hAnsi="Times New Roman"/>
          <w:b w:val="false"/>
          <w:i w:val="false"/>
          <w:color w:val="000000"/>
          <w:sz w:val="22"/>
        </w:rPr>
        <w:t>d.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a history of any prior contacts between the board and petitioner relating to the regulated activity or license that would be affected by the waiver. Include a description of each affected license held by the petitioner, any formal charges filed, any notices of violation, any contested case hearings held, or any investigations related to the regulated activity, license, registration, certification, or permit.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information known to the petitioner regarding the board’s action in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 the name, address, and telephone number of any public agency or political subdivision that also regulates the activity in question, or that might be affected by the grant of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Provide the name, address, and telephone number of any person or entity that would be adversely affected by the grant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Provide signed releases of information authorizing persons with knowledge regarding the request to furnish the board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tbl>
      <w:tblPr>
        <w:tblW w:w="5000" w:type="pct"/>
        <w:tblCellSpacing w:w="0" w:type="auto"/>
        <w:tblBorders>
          <w:top w:val="none"/>
          <w:left w:val="none"/>
          <w:bottom w:val="none"/>
          <w:right w:val="none"/>
          <w:insideH w:val="none"/>
          <w:insideV w:val="none"/>
        </w:tblBorders>
        <w:tblLayout w:type="fixed"/>
      </w:tblPr>
      <w:tblGrid>
        <w:gridCol w:w="6708"/>
        <w:gridCol w:w="441"/>
        <w:gridCol w:w="4041"/>
      </w:tblGrid>
      <w:tr>
        <w:trPr>
          <w:trHeight w:val="270" w:hRule="atLeast"/>
        </w:trPr>
        <w:tc>
          <w:tcPr>
            <w:tcW w:w="6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3.6.pdf" Type="http://schemas.openxmlformats.org/officeDocument/2006/relationships/hyperlink" Id="rId5"/>
    <Relationship TargetMode="External" Target="https://www.legis.iowa.gov/docs/iac/rule/653.3.17.pdf" Type="http://schemas.openxmlformats.org/officeDocument/2006/relationships/hyperlink" Id="rId6"/>
    <Relationship TargetMode="External" Target="https://www.legis.iowa.gov/docs/iac/rule/653.3.4.pdf" Type="http://schemas.openxmlformats.org/officeDocument/2006/relationships/hyperlink" Id="rId7"/>
    <Relationship TargetMode="External" Target="https://www.legis.iowa.gov/docs/ico/chapter/17A.10-18A.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148.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