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REINSTATEMENT AFTER DISCIPLINARY ACTION</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653—26.1</w:t>
      </w:r>
      <w:r>
        <w:rPr>
          <w:rFonts w:ascii="Times New Roman" w:hAnsi="Times New Roman"/>
          <w:b/>
          <w:i w:val="false"/>
          <w:color w:val="000000"/>
          <w:sz w:val="22"/>
        </w:rPr>
        <w:t xml:space="preserve">(17A)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has not been permanently suspended or revoked by the board may apply to the board for reinstatement in accordance with the terms and conditions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license was voluntarily surrendered, an initial application for reinstatement may not be made until one year has elapsed from the date of the board order or the date of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respondent’s license. Such application shall be docketed in the original case in which the license was revoked, suspended, or relinquished. All proceedings upon the petition for reinstatement shall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which, if established, will be sufficient to enable the board to determine that the basis for the revocation or suspension of the respondent’s license no longer exists and that it will be in the public interest for the license to be reinstated. The burden of proof to establish such facts shall be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the board and the licensee may agree to enter into a reinstatement order by agreement, in lieu of a formal reinstatement hearing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reinstatement order must be based upon the affirmative vote of a quorum of the board. The reinstatement order is public information pursuant to </w:t>
      </w:r>
      <w:hyperlink r:id="rId5">
        <w:r>
          <w:rPr>
            <w:rStyle w:val="Hyperlink"/>
            <w:rFonts w:ascii="Times New Roman" w:hAnsi="Times New Roman"/>
            <w:b w:val="false"/>
            <w:i w:val="false"/>
            <w:color w:val="000000"/>
            <w:sz w:val="22"/>
          </w:rPr>
          <w:t>653—25.32(17A)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seeking reinstatement under this rule whose license became inactive during the period of suspension or revocation is also required to complete the reactivation process set forth in </w:t>
      </w:r>
      <w:hyperlink r:id="rId6">
        <w:r>
          <w:rPr>
            <w:rStyle w:val="Hyperlink"/>
            <w:rFonts w:ascii="Times New Roman" w:hAnsi="Times New Roman"/>
            <w:b w:val="false"/>
            <w:i w:val="false"/>
            <w:color w:val="000000"/>
            <w:sz w:val="22"/>
          </w:rPr>
          <w:t>653—9.13(147,148)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653—9.14(147,148)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25.32.pdf" Type="http://schemas.openxmlformats.org/officeDocument/2006/relationships/hyperlink" Id="rId5"/>
    <Relationship TargetMode="External" Target="https://www.legis.iowa.gov/docs/iac/rule/653.9.13.pdf" Type="http://schemas.openxmlformats.org/officeDocument/2006/relationships/hyperlink" Id="rId6"/>
    <Relationship TargetMode="External" Target="https://www.legis.iowa.gov/docs/iac/rule/653.9.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