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CONTESTED CASE PROCEEDINGS</w:t>
      </w:r>
    </w:p>
    <w:p>
      <w:pPr>
        <w:spacing w:before="0" w:after="0"/>
        <w:ind w:left="120"/>
        <w:jc w:val="center"/>
      </w:pPr>
      <w:r>
        <w:rPr>
          <w:rFonts w:ascii="Times New Roman" w:hAnsi="Times New Roman"/>
          <w:b w:val="false"/>
          <w:i w:val="false"/>
          <w:color w:val="000000"/>
          <w:sz w:val="14"/>
        </w:rPr>
        <w:t>[Prior to 7/19/06, see 653—Chapter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653—25.1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“Appear personally” </w:t>
      </w:r>
      <w:r>
        <w:rPr>
          <w:rFonts w:ascii="Times New Roman" w:hAnsi="Times New Roman"/>
          <w:b w:val="false"/>
          <w:i w:val="false"/>
          <w:color w:val="000000"/>
          <w:sz w:val="22"/>
        </w:rPr>
        <w:t>means the ability to participate at a hearing or a prehearing conference through teleconference or videoconference or to be physically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the state of Iowa or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board of medicine or a panel of the board. In a disciplinary contested case proceeding, the board may request that an administrative law judge make initial rulings on prehearing matters, and assist and advise the board in presiding at the disciplinary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a hearing panel’s recommended findings of fact, conclusions of law, decision, and order in a contested case in which the full board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“Quorum of the board” </w:t>
      </w:r>
      <w:r>
        <w:rPr>
          <w:rFonts w:ascii="Times New Roman" w:hAnsi="Times New Roman"/>
          <w:b w:val="false"/>
          <w:i w:val="false"/>
          <w:color w:val="000000"/>
          <w:sz w:val="22"/>
        </w:rPr>
        <w:t>means a majority of the members of the board. Official action, including filing of formal charges or imposition of discipline, requires a majority vote of the members present.</w:t>
      </w:r>
    </w:p>
    <w:p>
      <w:pPr>
        <w:spacing w:before="210" w:after="0"/>
        <w:ind w:left="120"/>
        <w:jc w:val="both"/>
      </w:pPr>
      <w:r>
        <w:rPr>
          <w:rFonts w:ascii="Times New Roman" w:hAnsi="Times New Roman"/>
          <w:b/>
          <w:i w:val="false"/>
          <w:color w:val="000000"/>
          <w:sz w:val="22"/>
        </w:rPr>
        <w:t>653—25.2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These rules apply to contested case proceedings conducted by the board of medicine.</w:t>
      </w:r>
    </w:p>
    <w:p>
      <w:pPr>
        <w:spacing w:before="0" w:after="0"/>
        <w:ind w:left="120"/>
        <w:jc w:val="both"/>
      </w:pPr>
      <w:r>
        <w:rPr>
          <w:rFonts w:ascii="Times New Roman" w:hAnsi="Times New Roman"/>
          <w:b/>
          <w:i w:val="false"/>
          <w:color w:val="000000"/>
          <w:sz w:val="22"/>
        </w:rPr>
        <w:t>653—25.3</w:t>
      </w:r>
      <w:r>
        <w:rPr>
          <w:rFonts w:ascii="Times New Roman" w:hAnsi="Times New Roman"/>
          <w:b/>
          <w:i w:val="false"/>
          <w:color w:val="000000"/>
          <w:sz w:val="22"/>
        </w:rPr>
        <w:t xml:space="preserve">(17A) </w:t>
      </w:r>
      <w:r>
        <w:rPr>
          <w:rFonts w:ascii="Times New Roman" w:hAnsi="Times New Roman"/>
          <w:b/>
          <w:i w:val="false"/>
          <w:color w:val="000000"/>
          <w:sz w:val="22"/>
        </w:rPr>
        <w:t xml:space="preserve">Combined statement of charges and settlement agreement. </w:t>
      </w:r>
      <w:r>
        <w:rPr>
          <w:rFonts w:ascii="Times New Roman" w:hAnsi="Times New Roman"/>
          <w:b w:val="false"/>
          <w:i w:val="false"/>
          <w:color w:val="000000"/>
          <w:sz w:val="22"/>
        </w:rPr>
        <w:t>Upon a determination by the board that probable cause exists to take formal disciplinary action, the board and the licensee may enter into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board has the sole discretion to determine whether to offer a licensee a combined statement of charges and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Voluntary agreement. </w:t>
      </w:r>
      <w:r>
        <w:rPr>
          <w:rFonts w:ascii="Times New Roman" w:hAnsi="Times New Roman"/>
          <w:b w:val="false"/>
          <w:i w:val="false"/>
          <w:color w:val="000000"/>
          <w:sz w:val="22"/>
        </w:rPr>
        <w:t>Entering into a combined statement of charges and settlement agreement is completely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combined statement of charges and settlement agreement shall include a brief statement of the charges, the circumstances that led to the charges and the terms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Resolution of the contested case. </w:t>
      </w:r>
      <w:r>
        <w:rPr>
          <w:rFonts w:ascii="Times New Roman" w:hAnsi="Times New Roman"/>
          <w:b w:val="false"/>
          <w:i w:val="false"/>
          <w:color w:val="000000"/>
          <w:sz w:val="22"/>
        </w:rPr>
        <w:t>A combined statement of charges and settlement agreement shall constitute the resolution of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A combined statement of charges and settlement agreement is an open record.</w:t>
      </w:r>
    </w:p>
    <w:p>
      <w:pPr>
        <w:spacing w:before="0" w:after="0"/>
        <w:ind w:left="120"/>
        <w:jc w:val="both"/>
      </w:pPr>
      <w:r>
        <w:rPr>
          <w:rFonts w:ascii="Times New Roman" w:hAnsi="Times New Roman"/>
          <w:b/>
          <w:i w:val="false"/>
          <w:color w:val="000000"/>
          <w:sz w:val="22"/>
        </w:rPr>
        <w:t>653—25.4</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color w:val="000000"/>
          <w:sz w:val="22"/>
        </w:rPr>
        <w:t xml:space="preserve">Probable cause. </w:t>
      </w:r>
      <w:r>
        <w:rPr>
          <w:rFonts w:ascii="Times New Roman" w:hAnsi="Times New Roman"/>
          <w:b w:val="false"/>
          <w:i w:val="false"/>
          <w:color w:val="000000"/>
          <w:sz w:val="22"/>
        </w:rPr>
        <w:t>In the event that the board finds there is probable cause for taking disciplinary action against a licensee, the board shall order that a contested case hearing be commenced by the filing of a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color w:val="000000"/>
          <w:sz w:val="22"/>
        </w:rPr>
        <w:t xml:space="preserve">Legal review. </w:t>
      </w:r>
      <w:r>
        <w:rPr>
          <w:rFonts w:ascii="Times New Roman" w:hAnsi="Times New Roman"/>
          <w:b w:val="false"/>
          <w:i w:val="false"/>
          <w:color w:val="000000"/>
          <w:sz w:val="22"/>
        </w:rPr>
        <w:t>Every statement of charges prepared by the board shall be reviewed by the office of the attorney general before it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statement of charges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Restricted 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statement of charges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by the board showing that there is probable cause to file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This statement shall contain sufficient detail to give the respondent fair notice of the allegations so the respondent may adequately respond to the charges, and to give the public notice of the matters at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party may be represented by legal counsel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board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the board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the respondent to submit an answer pursuant to subrule </w:t>
      </w:r>
      <w:hyperlink r:id="rId8">
        <w:r>
          <w:rPr>
            <w:rStyle w:val="Hyperlink"/>
            <w:rFonts w:ascii="Times New Roman" w:hAnsi="Times New Roman"/>
            <w:b w:val="false"/>
            <w:i w:val="false"/>
            <w:color w:val="000000"/>
            <w:sz w:val="22"/>
          </w:rPr>
          <w:t>25.10(2)</w:t>
        </w:r>
      </w:hyperlink>
      <w:r>
        <w:rPr>
          <w:rFonts w:ascii="Times New Roman" w:hAnsi="Times New Roman"/>
          <w:b w:val="false"/>
          <w:i w:val="false"/>
          <w:color w:val="000000"/>
          <w:sz w:val="22"/>
        </w:rPr>
        <w:t xml:space="preserve"> within 20 days after receipt of the statement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applicable, notification of the time period in which a party may request, pursuant to Iowa Code section </w:t>
      </w:r>
      <w:hyperlink r:id="rId9">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653—25.7</w:t>
        </w:r>
      </w:hyperlink>
      <w:r>
        <w:rPr>
          <w:rFonts w:ascii="Times New Roman" w:hAnsi="Times New Roman"/>
          <w:b w:val="false"/>
          <w:i w:val="false"/>
          <w:color w:val="000000"/>
          <w:sz w:val="22"/>
        </w:rPr>
        <w:t>(17A), that the presiding officer be an administrative law judge.</w:t>
      </w:r>
    </w:p>
    <w:p>
      <w:pPr>
        <w:spacing w:before="210" w:after="0"/>
        <w:ind w:left="120"/>
        <w:jc w:val="both"/>
      </w:pPr>
      <w:r>
        <w:rPr>
          <w:rFonts w:ascii="Times New Roman" w:hAnsi="Times New Roman"/>
          <w:b/>
          <w:i w:val="false"/>
          <w:color w:val="000000"/>
          <w:sz w:val="22"/>
        </w:rPr>
        <w:t>653—25.5</w:t>
      </w:r>
      <w:r>
        <w:rPr>
          <w:rFonts w:ascii="Times New Roman" w:hAnsi="Times New Roman"/>
          <w:b/>
          <w:i w:val="false"/>
          <w:color w:val="000000"/>
          <w:sz w:val="22"/>
        </w:rPr>
        <w:t xml:space="preserve">(17A) </w:t>
      </w:r>
      <w:r>
        <w:rPr>
          <w:rFonts w:ascii="Times New Roman" w:hAnsi="Times New Roman"/>
          <w:b/>
          <w:i w:val="false"/>
          <w:color w:val="000000"/>
          <w:sz w:val="22"/>
        </w:rPr>
        <w:t xml:space="preserve">Legal representation. </w:t>
      </w:r>
      <w:r>
        <w:rPr>
          <w:rFonts w:ascii="Times New Roman" w:hAnsi="Times New Roman"/>
          <w:b w:val="false"/>
          <w:i w:val="false"/>
          <w:color w:val="000000"/>
          <w:sz w:val="22"/>
        </w:rPr>
        <w:t>Following the filing of the statement of charges, the office of the attorney general shall be responsible for the legal representation of the public interest in all proceedings before the board.</w:t>
      </w:r>
    </w:p>
    <w:p>
      <w:pPr>
        <w:spacing w:before="210" w:after="0"/>
        <w:ind w:left="120"/>
        <w:jc w:val="both"/>
      </w:pPr>
      <w:r>
        <w:rPr>
          <w:rFonts w:ascii="Times New Roman" w:hAnsi="Times New Roman"/>
          <w:b/>
          <w:i w:val="false"/>
          <w:color w:val="000000"/>
          <w:sz w:val="22"/>
        </w:rPr>
        <w:t>653—25.6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disciplinary contested case. </w:t>
      </w:r>
      <w:r>
        <w:rPr>
          <w:rFonts w:ascii="Times New Roman" w:hAnsi="Times New Roman"/>
          <w:b w:val="false"/>
          <w:i w:val="false"/>
          <w:color w:val="000000"/>
          <w:sz w:val="22"/>
        </w:rPr>
        <w:t xml:space="preserve">The presiding officer in a disciplinary contested case shall be the board or a panel of the board. The board may request that an administrative law judge assist the board with initial rulings on prehearing matters. Decisions of the administrative law judge serving in this capacity are subject to the interlocutory appeal provisions of rule </w:t>
      </w:r>
      <w:hyperlink r:id="rId11">
        <w:r>
          <w:rPr>
            <w:rStyle w:val="Hyperlink"/>
            <w:rFonts w:ascii="Times New Roman" w:hAnsi="Times New Roman"/>
            <w:b w:val="false"/>
            <w:i w:val="false"/>
            <w:color w:val="000000"/>
            <w:sz w:val="22"/>
          </w:rPr>
          <w:t>653—25.23</w:t>
        </w:r>
      </w:hyperlink>
      <w:r>
        <w:rPr>
          <w:rFonts w:ascii="Times New Roman" w:hAnsi="Times New Roman"/>
          <w:b w:val="false"/>
          <w:i w:val="false"/>
          <w:color w:val="000000"/>
          <w:sz w:val="22"/>
        </w:rPr>
        <w:t>(l7A). In addition, an administrative law judge may assist and advise the board presiding at the contested case hearing.</w:t>
      </w:r>
    </w:p>
    <w:p>
      <w:pPr>
        <w:spacing w:before="0" w:after="0"/>
        <w:ind w:left="120"/>
        <w:jc w:val="both"/>
      </w:pPr>
      <w:r>
        <w:rPr>
          <w:rFonts w:ascii="Times New Roman" w:hAnsi="Times New Roman"/>
          <w:b/>
          <w:i w:val="false"/>
          <w:color w:val="000000"/>
          <w:sz w:val="22"/>
        </w:rPr>
        <w:t>653—25.7</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in a nondisciplinary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val="false"/>
          <w:color w:val="000000"/>
          <w:sz w:val="22"/>
        </w:rPr>
        <w:t>A “nondisciplinary contested case” includes license denial proceedings. Any party in a nondisciplinary contested case, including an appeal of a denial of licensure, who wishes to request that the presiding officer assigned to render a proposed decision be an administrative law judge employed by the department of inspections and appeals must file a written request within 20 days after service of a statement of charges which identifies or describes the presiding officer as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val="false"/>
          <w:color w:val="000000"/>
          <w:sz w:val="22"/>
        </w:rPr>
        <w:t>The board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with the qualifications identified in subrule </w:t>
      </w:r>
      <w:hyperlink r:id="rId12">
        <w:r>
          <w:rPr>
            <w:rStyle w:val="Hyperlink"/>
            <w:rFonts w:ascii="Times New Roman" w:hAnsi="Times New Roman"/>
            <w:b w:val="false"/>
            <w:i w:val="false"/>
            <w:color w:val="000000"/>
            <w:sz w:val="22"/>
          </w:rPr>
          <w:t>25.7(4)</w:t>
        </w:r>
      </w:hyperlink>
      <w:r>
        <w:rPr>
          <w:rFonts w:ascii="Times New Roman" w:hAnsi="Times New Roman"/>
          <w:b w:val="false"/>
          <w:i w:val="false"/>
          <w:color w:val="000000"/>
          <w:sz w:val="22"/>
        </w:rPr>
        <w:t xml:space="preserve"> is unavailable to hear the case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issue a written ruling specifying the grounds for its decision within 20 days after a request for an administrative law judge is filed. If the ruling is contingent upon the availability of an administrative law judge with the qualifications identified in subrule </w:t>
      </w:r>
      <w:hyperlink r:id="rId13">
        <w:r>
          <w:rPr>
            <w:rStyle w:val="Hyperlink"/>
            <w:rFonts w:ascii="Times New Roman" w:hAnsi="Times New Roman"/>
            <w:b w:val="false"/>
            <w:i w:val="false"/>
            <w:color w:val="000000"/>
            <w:sz w:val="22"/>
          </w:rPr>
          <w:t>25.7(4)</w:t>
        </w:r>
      </w:hyperlink>
      <w:r>
        <w:rPr>
          <w:rFonts w:ascii="Times New Roman" w:hAnsi="Times New Roman"/>
          <w:b w:val="false"/>
          <w:i w:val="false"/>
          <w:color w:val="000000"/>
          <w:sz w:val="22"/>
        </w:rPr>
        <w:t>, the parties shall be notified at least 10 days prior to hearing if a qualified administrative law judge will not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nondisciplinary contested case shall have a juris doctorate degree.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25.7(5)</w:t>
      </w:r>
      <w:r>
        <w:rPr>
          <w:rFonts w:ascii="Times New Roman" w:hAnsi="Times New Roman"/>
          <w:b w:val="false"/>
          <w:i w:val="false"/>
          <w:color w:val="000000"/>
          <w:sz w:val="22"/>
        </w:rPr>
        <w:t> </w:t>
      </w:r>
      <w:r>
        <w:rPr>
          <w:rFonts w:ascii="Times New Roman" w:hAnsi="Times New Roman"/>
          <w:b w:val="false"/>
          <w:i w:val="false"/>
          <w:color w:val="000000"/>
          <w:sz w:val="22"/>
        </w:rPr>
        <w:t>Except as provided otherwise by another provision of law, all rulings by an administrative law judge acting as presiding officer in a nondisciplinary contested case are subject to appeal to the board. A party must seek any available intra-agency appeal in order to exhaust adequate administrative remedies. Such appeals must be filed within 10 days of the date of the issuance of the challenged ruling but no later than the time for compliance with the order or the date of hearing, whichever is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an administrative law judge in a nondisciplinary contested case upon intra-agency appeal, the board shall have the powers of and shall comply with the provisions of this chapter which apply to presiding officers.</w:t>
      </w:r>
    </w:p>
    <w:p>
      <w:pPr>
        <w:spacing w:before="0" w:after="0"/>
        <w:ind w:left="120"/>
        <w:jc w:val="both"/>
      </w:pPr>
      <w:r>
        <w:rPr>
          <w:rFonts w:ascii="Times New Roman" w:hAnsi="Times New Roman"/>
          <w:b/>
          <w:i w:val="false"/>
          <w:color w:val="000000"/>
          <w:sz w:val="22"/>
        </w:rPr>
        <w:t>653—25.8</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 If the licensee elects to appear before the board in the investigative process pursuant to 653—paragraph </w:t>
      </w:r>
      <w:hyperlink r:id="rId14">
        <w:r>
          <w:rPr>
            <w:rStyle w:val="Hyperlink"/>
            <w:rFonts w:ascii="Times New Roman" w:hAnsi="Times New Roman"/>
            <w:b w:val="false"/>
            <w:i w:val="false"/>
            <w:color w:val="000000"/>
            <w:sz w:val="22"/>
          </w:rPr>
          <w:t>24.2(5)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licensee waives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25.8(2)</w:t>
      </w:r>
      <w:r>
        <w:rPr>
          <w:rFonts w:ascii="Times New Roman" w:hAnsi="Times New Roman"/>
          <w:b w:val="false"/>
          <w:i w:val="false"/>
          <w:color w:val="000000"/>
          <w:sz w:val="22"/>
        </w:rPr>
        <w:t> </w:t>
      </w:r>
      <w:r>
        <w:rPr>
          <w:rFonts w:ascii="Times New Roman" w:hAnsi="Times New Roman"/>
          <w:b w:val="false"/>
          <w:i w:val="false"/>
          <w:color w:val="000000"/>
          <w:sz w:val="22"/>
        </w:rPr>
        <w:t>The term “personally investigated” means taking affirmative steps to interview witnesses directly or to obtain documents or other information directly. The term “personally investigated”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direction and supervision of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Unsolicited receipt of information which is relayed to assigned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another person’s investigative work product in the course of determining whether there is probable cause to initiate a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Exposure to factual information while performing other agency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xml:space="preserve">Factual information relevant to the merits of a contested case received by a person who later serves as presiding officer in that case shall be disclosed if required by Iowa Code section </w:t>
      </w:r>
      <w:hyperlink r:id="rId15">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6">
        <w:r>
          <w:rPr>
            <w:rStyle w:val="Hyperlink"/>
            <w:rFonts w:ascii="Times New Roman" w:hAnsi="Times New Roman"/>
            <w:b w:val="false"/>
            <w:i w:val="false"/>
            <w:color w:val="000000"/>
            <w:sz w:val="22"/>
          </w:rPr>
          <w:t>25.8(3)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25.21(8)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By electing to participate in an appearance before the board pursuant to 653—paragraph </w:t>
      </w:r>
      <w:hyperlink r:id="rId18">
        <w:r>
          <w:rPr>
            <w:rStyle w:val="Hyperlink"/>
            <w:rFonts w:ascii="Times New Roman" w:hAnsi="Times New Roman"/>
            <w:b w:val="false"/>
            <w:i w:val="false"/>
            <w:color w:val="000000"/>
            <w:sz w:val="22"/>
          </w:rPr>
          <w:t>24.2(5)</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licensee waives any objection to a board member’s both participating in the appearance and later participating as a decision maker in a contested case proceeding on the grounds that the board member “personally investigated” the matter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25.8(4)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19">
        <w:r>
          <w:rPr>
            <w:rStyle w:val="Hyperlink"/>
            <w:rFonts w:ascii="Times New Roman" w:hAnsi="Times New Roman"/>
            <w:b w:val="false"/>
            <w:i w:val="false"/>
            <w:color w:val="000000"/>
            <w:sz w:val="22"/>
          </w:rPr>
          <w:t>25.8(1)</w:t>
        </w:r>
      </w:hyperlink>
      <w:r>
        <w:rPr>
          <w:rFonts w:ascii="Times New Roman" w:hAnsi="Times New Roman"/>
          <w:b w:val="false"/>
          <w:i w:val="false"/>
          <w:color w:val="000000"/>
          <w:sz w:val="22"/>
        </w:rPr>
        <w:t xml:space="preserve">, the party shall file a motion supported by an affidavit pursuant to Iowa Code section </w:t>
      </w:r>
      <w:hyperlink r:id="rId20">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The board shall determine the matter as part of the record in the case.</w:t>
      </w:r>
    </w:p>
    <w:p>
      <w:pPr>
        <w:spacing w:before="0" w:after="0"/>
        <w:ind w:left="120"/>
        <w:jc w:val="both"/>
      </w:pPr>
      <w:r>
        <w:rPr>
          <w:rFonts w:ascii="Times New Roman" w:hAnsi="Times New Roman"/>
          <w:b/>
          <w:i w:val="false"/>
          <w:color w:val="000000"/>
          <w:sz w:val="22"/>
        </w:rPr>
        <w:t>653—25.9</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at issue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653—25.10</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25.10(1)</w:t>
      </w:r>
      <w:r>
        <w:rPr>
          <w:rFonts w:ascii="Times New Roman" w:hAnsi="Times New Roman"/>
          <w:b w:val="false"/>
          <w:i w:val="false"/>
          <w:color w:val="000000"/>
          <w:sz w:val="22"/>
        </w:rPr>
        <w:t> </w:t>
      </w:r>
      <w:r>
        <w:rPr>
          <w:rFonts w:ascii="Times New Roman" w:hAnsi="Times New Roman"/>
          <w:b w:val="false"/>
          <w:i w:val="false"/>
          <w:color w:val="000000"/>
          <w:sz w:val="22"/>
        </w:rPr>
        <w:t>Pleadings may be required by rule, by the statement of charges,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25.10(2)</w:t>
      </w:r>
      <w:r>
        <w:rPr>
          <w:rFonts w:ascii="Times New Roman" w:hAnsi="Times New Roman"/>
          <w:b w:val="false"/>
          <w:i w:val="false"/>
          <w:color w:val="000000"/>
          <w:sz w:val="22"/>
        </w:rPr>
        <w:t> </w:t>
      </w:r>
      <w:r>
        <w:rPr>
          <w:rFonts w:ascii="Times New Roman" w:hAnsi="Times New Roman"/>
          <w:b w:val="false"/>
          <w:i w:val="false"/>
          <w:color w:val="000000"/>
          <w:sz w:val="22"/>
        </w:rPr>
        <w:t>Answer or appearance. An answer or appearance may be filed by the respondent within 20 days of service of the statement of charges. The answer or appearance shall state the name, address and telephone number of the person filing the answer, the person or entity on whose behalf it is filed, and the attorney representing that person, if any. If the attorney is not licensed to practice law in Iowa, the attorney must fully comply with Iowa Court Rule 31.14.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25.10(3)</w:t>
      </w:r>
      <w:r>
        <w:rPr>
          <w:rFonts w:ascii="Times New Roman" w:hAnsi="Times New Roman"/>
          <w:b w:val="false"/>
          <w:i w:val="false"/>
          <w:color w:val="000000"/>
          <w:sz w:val="22"/>
        </w:rPr>
        <w:t> </w:t>
      </w:r>
      <w:r>
        <w:rPr>
          <w:rFonts w:ascii="Times New Roman" w:hAnsi="Times New Roman"/>
          <w:b w:val="false"/>
          <w:i w:val="false"/>
          <w:color w:val="000000"/>
          <w:sz w:val="22"/>
        </w:rPr>
        <w:t>Amendment. Amendments to the statement of charges and to an answer may be allowed with the consent of the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653—25.11</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prosecutor for the state, simultaneously with its filing. Except for the original statement of charges and an application for rehearing as provided in Iowa Code section </w:t>
      </w:r>
      <w:hyperlink r:id="rId21">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statement of charges, all documents in a contested case proceeding shall be filed with the board. 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of Medicine, 400 S.W. 8th Street, Suite C, Des Moines, Iowa 50309-4686,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Board of Medicine, 400 S.W. 8th Street, Suite C, Des Moines, Iowa 50309-4686,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ind w:left="120"/>
        <w:jc w:val="both"/>
      </w:pPr>
      <w:r>
        <w:rPr>
          <w:rFonts w:ascii="Times New Roman" w:hAnsi="Times New Roman"/>
          <w:b/>
          <w:i w:val="false"/>
          <w:color w:val="000000"/>
          <w:sz w:val="22"/>
        </w:rPr>
        <w:t>653—25.12</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or by agreement of the parties,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22">
        <w:r>
          <w:rPr>
            <w:rStyle w:val="Hyperlink"/>
            <w:rFonts w:ascii="Times New Roman" w:hAnsi="Times New Roman"/>
            <w:b w:val="false"/>
            <w:i w:val="false"/>
            <w:color w:val="000000"/>
            <w:sz w:val="22"/>
          </w:rPr>
          <w:t>25.12(1)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i w:val="false"/>
          <w:color w:val="000000"/>
          <w:sz w:val="22"/>
        </w:rPr>
        <w:t>653—25.13</w:t>
      </w:r>
      <w:r>
        <w:rPr>
          <w:rFonts w:ascii="Times New Roman" w:hAnsi="Times New Roman"/>
          <w:b/>
          <w:i w:val="false"/>
          <w:color w:val="000000"/>
          <w:sz w:val="22"/>
        </w:rPr>
        <w:t xml:space="preserve">(17A,272C) </w:t>
      </w:r>
      <w:r>
        <w:rPr>
          <w:rFonts w:ascii="Times New Roman" w:hAnsi="Times New Roman"/>
          <w:b/>
          <w:i w:val="false"/>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25.13(1)</w:t>
      </w:r>
      <w:r>
        <w:rPr>
          <w:rFonts w:ascii="Times New Roman" w:hAnsi="Times New Roman"/>
          <w:b w:val="false"/>
          <w:i w:val="false"/>
          <w:color w:val="000000"/>
          <w:sz w:val="22"/>
        </w:rPr>
        <w:t> </w:t>
      </w:r>
      <w:r>
        <w:rPr>
          <w:rFonts w:ascii="Times New Roman" w:hAnsi="Times New Roman"/>
          <w:b w:val="false"/>
          <w:i w:val="false"/>
          <w:color w:val="000000"/>
          <w:sz w:val="22"/>
        </w:rPr>
        <w:t xml:space="preserve">Subpoenas issued in a contested case may compel the attendance of witnesses at depositions or hearing and may compel the production of books, papers, records, or other real evidence. A command to produce evidence or to permit inspection may be joined with a command to appear at deposition or hearing or may be issued separately. Subpoenas shall be issued by the executive director or designee upon written request. A request for a subpoena of mental health records must confirm the conditions described in 653—paragraph </w:t>
      </w:r>
      <w:hyperlink r:id="rId23">
        <w:r>
          <w:rPr>
            <w:rStyle w:val="Hyperlink"/>
            <w:rFonts w:ascii="Times New Roman" w:hAnsi="Times New Roman"/>
            <w:b w:val="false"/>
            <w:i w:val="false"/>
            <w:color w:val="000000"/>
            <w:sz w:val="22"/>
          </w:rPr>
          <w:t>24.2(6)</w:t>
        </w:r>
        <w:r>
          <w:rPr>
            <w:rFonts w:ascii="Times New Roman" w:hAnsi="Times New Roman"/>
            <w:b w:val="false"/>
            <w:i/>
            <w:color w:val="000000"/>
            <w:sz w:val="22"/>
          </w:rPr>
          <w:t>“d”</w:t>
        </w:r>
      </w:hyperlink>
      <w:r>
        <w:rPr>
          <w:rFonts w:ascii="Times New Roman" w:hAnsi="Times New Roman"/>
          <w:b w:val="false"/>
          <w:i w:val="false"/>
          <w:color w:val="000000"/>
          <w:sz w:val="22"/>
        </w:rPr>
        <w:t xml:space="preserve"> have been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25.13(2)</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 unless the subpoena is requested in order to compel testimony or documents for rebuttal or impeachment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subpoena request for mental health records, confirmation that the conditions described in 653—paragraph </w:t>
      </w:r>
      <w:hyperlink r:id="rId24">
        <w:r>
          <w:rPr>
            <w:rStyle w:val="Hyperlink"/>
            <w:rFonts w:ascii="Times New Roman" w:hAnsi="Times New Roman"/>
            <w:b w:val="false"/>
            <w:i w:val="false"/>
            <w:color w:val="000000"/>
            <w:sz w:val="22"/>
          </w:rPr>
          <w:t>24.2(6)</w:t>
        </w:r>
        <w:r>
          <w:rPr>
            <w:rFonts w:ascii="Times New Roman" w:hAnsi="Times New Roman"/>
            <w:b w:val="false"/>
            <w:i/>
            <w:color w:val="000000"/>
            <w:sz w:val="22"/>
          </w:rPr>
          <w:t>“d”</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25.13(3)</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issuance;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25.13(4)</w:t>
      </w:r>
      <w:r>
        <w:rPr>
          <w:rFonts w:ascii="Times New Roman" w:hAnsi="Times New Roman"/>
          <w:b w:val="false"/>
          <w:i w:val="false"/>
          <w:color w:val="000000"/>
          <w:sz w:val="22"/>
        </w:rPr>
        <w:t> </w:t>
      </w:r>
      <w:r>
        <w:rPr>
          <w:rFonts w:ascii="Times New Roman" w:hAnsi="Times New Roman"/>
          <w:b w:val="false"/>
          <w:i w:val="false"/>
          <w:color w:val="000000"/>
          <w:sz w:val="22"/>
        </w:rPr>
        <w:t>Unless a subpoena is requested in order to compel testimony or documents for rebuttal or impeachment purposes, the executive director or designee shall mail the subpoena to the requesting party, with a copy to the opposing party. The person who requested the subpoena is responsible for serving the subpoena upon the subject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25.13(5)</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25.13(6)</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may request an administrative law judge to hold a hearing and issue a decision, or the board may conduct the hearing and issue a decision. Oral argument may be scheduled at the discretion of the board or the administrative law judge. The administrative law judge or the board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25.13(7)</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on the board’s executive director, either in person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25.13(8)</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a party to the contested case, the board’s decision is final for purposes of judicial review. If the person contesting the subpoena is a party to the contested case, the board’s decision is not final for purposes of judicial review until there is a final decision in the contested case.</w:t>
      </w:r>
    </w:p>
    <w:p>
      <w:pPr>
        <w:spacing w:before="0" w:after="0"/>
        <w:ind w:left="120"/>
        <w:jc w:val="both"/>
      </w:pPr>
      <w:r>
        <w:rPr>
          <w:rFonts w:ascii="Times New Roman" w:hAnsi="Times New Roman"/>
          <w:b/>
          <w:i w:val="false"/>
          <w:color w:val="000000"/>
          <w:sz w:val="22"/>
        </w:rPr>
        <w:t>653—25.14</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must be filed and served at least ten days prior to the date of hearing unless there is good cause for permitting later action or the time for such action is lengthened or shortened by rule of the board or an order of the presiding officer.</w:t>
      </w:r>
    </w:p>
    <w:p>
      <w:pPr>
        <w:spacing w:before="0" w:after="0"/>
        <w:ind w:left="120"/>
        <w:jc w:val="both"/>
      </w:pPr>
      <w:r>
        <w:rPr>
          <w:rFonts w:ascii="Times New Roman" w:hAnsi="Times New Roman"/>
          <w:b/>
          <w:i w:val="false"/>
          <w:color w:val="000000"/>
          <w:sz w:val="22"/>
        </w:rPr>
        <w:t>653—25.15</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Prehearing conferences shall be conducted by the executive director or designee, who may request the assistance of an administrative law judge. A written request for prehearing conference or an order for prehearing conference on the executive director’s own motion shall be filed prior to the contested case hearing, but no later than 20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25.15(2)</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shall be prepared to discuss the following subjects, and the executive director or administrative law judge may issue appropriate orders concerning: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possibility of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entry of a scheduling order to include deadlines for completion of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Submission of expert and other witness lists. Witness lists may be amended subsequent to the prehearing conference within the time limits established by the executive director or administrative law judge at the prehearing conference. Any such amendments must be served on all parties. Witnesses not listed on the final witness list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Submission of exhibit lists. Exhibit lists may be amended subsequent to the prehearing conference within the time limits established by the executive director or administrative law judge at the prehearing conference. Other than rebuttal exhibits, exhibits that are not listed on the final exhibit list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Stipulations for waiver of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Consideration of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25.15(3)</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may be conducted by telephone unless otherwise ordered.</w:t>
      </w:r>
    </w:p>
    <w:p>
      <w:pPr>
        <w:spacing w:before="0" w:after="0"/>
        <w:ind w:left="120"/>
        <w:jc w:val="both"/>
      </w:pPr>
      <w:r>
        <w:rPr>
          <w:rFonts w:ascii="Times New Roman" w:hAnsi="Times New Roman"/>
          <w:b/>
          <w:i w:val="false"/>
          <w:color w:val="000000"/>
          <w:sz w:val="22"/>
        </w:rPr>
        <w:t>653—25.16</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filed with the board at least seven days before the date scheduled for hearing. If the application for continuance is not contested, the executive director or designee shall issue the appropriate order. If the application for continuance is contested, the matter shall be heard by the board as presiding officer or may be delegated by the board to an administrative law judge. No continuance shall be granted within seven days of the date of hearing except for extraordinary, extenuating or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for continuance;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board or the presiding officer waives the requirement for a written motion. However, a party making such an oral application for a continuance must confirm that request by written application within two days after the oral request unless that requirement is waived by the board or the presiding officer.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25.16(2)</w:t>
      </w:r>
      <w:r>
        <w:rPr>
          <w:rFonts w:ascii="Times New Roman" w:hAnsi="Times New Roman"/>
          <w:b w:val="false"/>
          <w:i w:val="false"/>
          <w:color w:val="000000"/>
          <w:sz w:val="22"/>
        </w:rPr>
        <w:t> </w:t>
      </w:r>
      <w:r>
        <w:rPr>
          <w:rFonts w:ascii="Times New Roman" w:hAnsi="Times New Roman"/>
          <w:b w:val="false"/>
          <w:i w:val="false"/>
          <w:color w:val="000000"/>
          <w:sz w:val="22"/>
        </w:rPr>
        <w:t>The board or presiding officer may require documentation of any grounds for continuance. 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i w:val="false"/>
          <w:color w:val="000000"/>
          <w:sz w:val="22"/>
        </w:rPr>
        <w:t>653—25.17</w:t>
      </w:r>
      <w:r>
        <w:rPr>
          <w:rFonts w:ascii="Times New Roman" w:hAnsi="Times New Roman"/>
          <w:b/>
          <w:i w:val="false"/>
          <w:color w:val="000000"/>
          <w:sz w:val="22"/>
        </w:rPr>
        <w:t xml:space="preserve">(272C) </w:t>
      </w:r>
      <w:r>
        <w:rPr>
          <w:rFonts w:ascii="Times New Roman" w:hAnsi="Times New Roman"/>
          <w:b/>
          <w:i w:val="false"/>
          <w:color w:val="000000"/>
          <w:sz w:val="22"/>
        </w:rPr>
        <w:t xml:space="preserve">Settlement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25.17(1)</w:t>
      </w:r>
      <w:r>
        <w:rPr>
          <w:rFonts w:ascii="Times New Roman" w:hAnsi="Times New Roman"/>
          <w:b w:val="false"/>
          <w:i w:val="false"/>
          <w:color w:val="000000"/>
          <w:sz w:val="22"/>
        </w:rPr>
        <w:t> </w:t>
      </w:r>
      <w:r>
        <w:rPr>
          <w:rFonts w:ascii="Times New Roman" w:hAnsi="Times New Roman"/>
          <w:b w:val="false"/>
          <w:i w:val="false"/>
          <w:color w:val="000000"/>
          <w:sz w:val="22"/>
        </w:rPr>
        <w:t>A contested case may be resolved by settlement agreement. Settlement negotiations may be initiated by any party at any stage of a contested case. No party is required to participate in the settlement process. The executive director, director of legal affairs, or prosecuting attorney shall have authority to negotiate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25.17(2)</w:t>
      </w:r>
      <w:r>
        <w:rPr>
          <w:rFonts w:ascii="Times New Roman" w:hAnsi="Times New Roman"/>
          <w:b w:val="false"/>
          <w:i w:val="false"/>
          <w:color w:val="000000"/>
          <w:sz w:val="22"/>
        </w:rPr>
        <w:t> </w:t>
      </w:r>
      <w:r>
        <w:rPr>
          <w:rFonts w:ascii="Times New Roman" w:hAnsi="Times New Roman"/>
          <w:b w:val="false"/>
          <w:i w:val="false"/>
          <w:color w:val="000000"/>
          <w:sz w:val="22"/>
        </w:rPr>
        <w:t>The full board shall not be involved in negotiations until a written proposed settlement is submitted to the full board for approval, unless both parties waive this prohibition.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25.17(3)</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 to negotiation by the respondent during settlement negotiation constitutes a waiver of notice and opportunity to be heard pursuant to Iowa Code section </w:t>
      </w:r>
      <w:hyperlink r:id="rId2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Thereafter, the prosecuting attorney is authorized to discuss settlement with the board chairperson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25.17(4)</w:t>
      </w:r>
      <w:r>
        <w:rPr>
          <w:rFonts w:ascii="Times New Roman" w:hAnsi="Times New Roman"/>
          <w:b w:val="false"/>
          <w:i w:val="false"/>
          <w:color w:val="000000"/>
          <w:sz w:val="22"/>
        </w:rPr>
        <w:t> </w:t>
      </w:r>
      <w:r>
        <w:rPr>
          <w:rFonts w:ascii="Times New Roman" w:hAnsi="Times New Roman"/>
          <w:b w:val="false"/>
          <w:i w:val="false"/>
          <w:color w:val="000000"/>
          <w:sz w:val="22"/>
        </w:rPr>
        <w:t>Settlement negotiations shall be completed at least seven days prior to the date scheduled for hearing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25.17(5)</w:t>
      </w:r>
      <w:r>
        <w:rPr>
          <w:rFonts w:ascii="Times New Roman" w:hAnsi="Times New Roman"/>
          <w:b w:val="false"/>
          <w:i w:val="false"/>
          <w:color w:val="000000"/>
          <w:sz w:val="22"/>
        </w:rPr>
        <w:t> </w:t>
      </w:r>
      <w:r>
        <w:rPr>
          <w:rFonts w:ascii="Times New Roman" w:hAnsi="Times New Roman"/>
          <w:b w:val="false"/>
          <w:i w:val="false"/>
          <w:color w:val="000000"/>
          <w:sz w:val="22"/>
        </w:rPr>
        <w:t>A settlement agreement is an open record.</w:t>
      </w:r>
    </w:p>
    <w:p>
      <w:pPr>
        <w:spacing w:before="0" w:after="0"/>
        <w:ind w:left="120"/>
        <w:jc w:val="both"/>
      </w:pPr>
      <w:r>
        <w:rPr>
          <w:rFonts w:ascii="Times New Roman" w:hAnsi="Times New Roman"/>
          <w:b/>
          <w:i w:val="false"/>
          <w:color w:val="000000"/>
          <w:sz w:val="22"/>
        </w:rPr>
        <w:t>653—25.18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are conducted before a quorum of the board. When a sufficient number of board members are unavailable to hear a contested case, the executive director, or the executive director’s designee, may request alternate members, as defined in rule </w:t>
      </w:r>
      <w:hyperlink r:id="rId26">
        <w:r>
          <w:rPr>
            <w:rStyle w:val="Hyperlink"/>
            <w:rFonts w:ascii="Times New Roman" w:hAnsi="Times New Roman"/>
            <w:b w:val="false"/>
            <w:i w:val="false"/>
            <w:color w:val="000000"/>
            <w:sz w:val="22"/>
          </w:rPr>
          <w:t>653—1.1</w:t>
        </w:r>
      </w:hyperlink>
      <w:r>
        <w:rPr>
          <w:rFonts w:ascii="Times New Roman" w:hAnsi="Times New Roman"/>
          <w:b w:val="false"/>
          <w:i w:val="false"/>
          <w:color w:val="000000"/>
          <w:sz w:val="22"/>
        </w:rPr>
        <w:t xml:space="preserve">(17A,147) and Iowa Code sections </w:t>
      </w:r>
      <w:hyperlink r:id="rId27">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148.7(4)</w:t>
        </w:r>
      </w:hyperlink>
      <w:r>
        <w:rPr>
          <w:rFonts w:ascii="Times New Roman" w:hAnsi="Times New Roman"/>
          <w:b w:val="false"/>
          <w:i w:val="false"/>
          <w:color w:val="000000"/>
          <w:sz w:val="22"/>
        </w:rPr>
        <w:t xml:space="preserve">, to serve on the hearing panel. A hearing panel must include at least six members, at least half of whom must be current board members, and at least half of whom must be licensed to practice medicine under Iowa Code chapter </w:t>
      </w:r>
      <w:hyperlink r:id="rId2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25.18(2)</w:t>
      </w:r>
      <w:r>
        <w:rPr>
          <w:rFonts w:ascii="Times New Roman" w:hAnsi="Times New Roman"/>
          <w:b w:val="false"/>
          <w:i w:val="false"/>
          <w:color w:val="000000"/>
          <w:sz w:val="22"/>
        </w:rPr>
        <w:t> </w:t>
      </w:r>
      <w:r>
        <w:rPr>
          <w:rFonts w:ascii="Times New Roman" w:hAnsi="Times New Roman"/>
          <w:b w:val="false"/>
          <w:i w:val="false"/>
          <w:color w:val="000000"/>
          <w:sz w:val="22"/>
        </w:rPr>
        <w:t>When, in the opinion of a majority of the board, it is desirable to obtain specialists within an area of practice when holding disciplinary hearings, the board may appoint a panel of three specialists who are not board members to make findings of fact and to report to the board. Such findings shall not include any recommendation for or against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administer oaths, to admit or exclude testimony or other evidence, and to rule on all motions and objections. The presiding officer may request that an administrative law judge perform any of these functions and may be assisted and advised by an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25.18(4)</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25.18(5)</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appear personally and to be represented in all hearings or prehearing conferences related to their case. Any party may be represented by an attorney at the party’s own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25.18(6)</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 Subject to terms and conditions prescribed by the presiding officer, parties may present the testimony of witnesses by affidavit, by written or video deposition, in person, by telephone, or by videoconference.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25.18(8)</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shall have authority to grant immunity from disciplinary action to a witness as provided by Iowa Code section </w:t>
      </w:r>
      <w:hyperlink r:id="rId30">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the parties may be given the opportunity to present final arguments.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25.18(11)</w:t>
      </w:r>
      <w:r>
        <w:rPr>
          <w:rFonts w:ascii="Times New Roman" w:hAnsi="Times New Roman"/>
          <w:b w:val="false"/>
          <w:i w:val="false"/>
          <w:color w:val="000000"/>
          <w:sz w:val="22"/>
        </w:rPr>
        <w:t> </w:t>
      </w:r>
      <w:r>
        <w:rPr>
          <w:rFonts w:ascii="Times New Roman" w:hAnsi="Times New Roman"/>
          <w:b w:val="false"/>
          <w:i w:val="false"/>
          <w:color w:val="000000"/>
          <w:sz w:val="22"/>
        </w:rPr>
        <w:t>The board members and administrative law judge have the right to question a witness. Examination of witnesses by board members is subject to properly raised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25.18(12)</w:t>
      </w:r>
      <w:r>
        <w:rPr>
          <w:rFonts w:ascii="Times New Roman" w:hAnsi="Times New Roman"/>
          <w:b w:val="false"/>
          <w:i w:val="false"/>
          <w:color w:val="000000"/>
          <w:sz w:val="22"/>
        </w:rPr>
        <w:t> </w:t>
      </w:r>
      <w:r>
        <w:rPr>
          <w:rFonts w:ascii="Times New Roman" w:hAnsi="Times New Roman"/>
          <w:b w:val="false"/>
          <w:i w:val="false"/>
          <w:color w:val="000000"/>
          <w:sz w:val="22"/>
        </w:rPr>
        <w:t>The hearing shall be open to the public unless the licensee requests that the hearing be closed. At the request of either party, or on the board’s own motion, the presiding officer may issue a protective order to protect documents which are privileged or confidential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2706C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653—25.19</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25.19(6)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653—25.20</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agency action unless, within 15 days after the date of notification or mailing of the decision, a motion to vacate is filed and served on all parties or an appeal of a decision on the merits is timely initiated within the time provided by subrule </w:t>
      </w:r>
      <w:hyperlink r:id="rId31">
        <w:r>
          <w:rPr>
            <w:rStyle w:val="Hyperlink"/>
            <w:rFonts w:ascii="Times New Roman" w:hAnsi="Times New Roman"/>
            <w:b w:val="false"/>
            <w:i w:val="false"/>
            <w:color w:val="000000"/>
            <w:sz w:val="22"/>
          </w:rPr>
          <w:t>25.24(2)</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25.20(6)</w:t>
      </w:r>
      <w:r>
        <w:rPr>
          <w:rFonts w:ascii="Times New Roman" w:hAnsi="Times New Roman"/>
          <w:b w:val="false"/>
          <w:i w:val="false"/>
          <w:color w:val="000000"/>
          <w:sz w:val="22"/>
        </w:rPr>
        <w:t> </w:t>
      </w:r>
      <w:r>
        <w:rPr>
          <w:rFonts w:ascii="Times New Roman" w:hAnsi="Times New Roman"/>
          <w:b w:val="false"/>
          <w:i w:val="false"/>
          <w:color w:val="000000"/>
          <w:sz w:val="22"/>
        </w:rPr>
        <w:t>“Good cause” for purposes of this rule shall have the same meaning as “good cause” for setting aside a default judgment under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32">
        <w:r>
          <w:rPr>
            <w:rStyle w:val="Hyperlink"/>
            <w:rFonts w:ascii="Times New Roman" w:hAnsi="Times New Roman"/>
            <w:b w:val="false"/>
            <w:i w:val="false"/>
            <w:color w:val="000000"/>
            <w:sz w:val="22"/>
          </w:rPr>
          <w:t>653—25.23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statement of charges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25.20(9)</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33">
        <w:r>
          <w:rPr>
            <w:rStyle w:val="Hyperlink"/>
            <w:rFonts w:ascii="Times New Roman" w:hAnsi="Times New Roman"/>
            <w:b w:val="false"/>
            <w:i w:val="false"/>
            <w:color w:val="000000"/>
            <w:sz w:val="22"/>
          </w:rPr>
          <w:t>653—25.27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653—25.21</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statement of charges,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Nothing in this provision is intended to preclude board members from communicating with other board members or members of the board staff, other than those with a personal interest in, or those engaged in personally investigating as defined in subrule </w:t>
      </w:r>
      <w:hyperlink r:id="rId34">
        <w:r>
          <w:rPr>
            <w:rStyle w:val="Hyperlink"/>
            <w:rFonts w:ascii="Times New Roman" w:hAnsi="Times New Roman"/>
            <w:b w:val="false"/>
            <w:i w:val="false"/>
            <w:color w:val="000000"/>
            <w:sz w:val="22"/>
          </w:rPr>
          <w:t>25.8(2)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statement of charges in a contested case and continue for as long as the case is pending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communications shall be provided in compliance with rule </w:t>
      </w:r>
      <w:hyperlink r:id="rId35">
        <w:r>
          <w:rPr>
            <w:rStyle w:val="Hyperlink"/>
            <w:rFonts w:ascii="Times New Roman" w:hAnsi="Times New Roman"/>
            <w:b w:val="false"/>
            <w:i w:val="false"/>
            <w:color w:val="000000"/>
            <w:sz w:val="22"/>
          </w:rPr>
          <w:t>653—25.11</w:t>
        </w:r>
      </w:hyperlink>
      <w:r>
        <w:rPr>
          <w:rFonts w:ascii="Times New Roman" w:hAnsi="Times New Roman"/>
          <w:b w:val="false"/>
          <w:i w:val="false"/>
          <w:color w:val="000000"/>
          <w:sz w:val="22"/>
        </w:rPr>
        <w:t>(17A) and may be supplemented by telephone, facsimile, electronic 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 to the extent necessary to carry out their function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executive director or director of legal affairs may be present during deliberations as long as that person is not disqualified from participating under rule </w:t>
      </w:r>
      <w:hyperlink r:id="rId36">
        <w:r>
          <w:rPr>
            <w:rStyle w:val="Hyperlink"/>
            <w:rFonts w:ascii="Times New Roman" w:hAnsi="Times New Roman"/>
            <w:b w:val="false"/>
            <w:i w:val="false"/>
            <w:color w:val="000000"/>
            <w:sz w:val="22"/>
          </w:rPr>
          <w:t>653—25.8</w:t>
        </w:r>
      </w:hyperlink>
      <w:r>
        <w:rPr>
          <w:rFonts w:ascii="Times New Roman" w:hAnsi="Times New Roman"/>
          <w:b w:val="false"/>
          <w:i w:val="false"/>
          <w:color w:val="000000"/>
          <w:sz w:val="22"/>
        </w:rPr>
        <w:t>(17A). The executive director or director of legal affairs shall not attempt to influence the board’s decision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uncontested scheduling or procedural matters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37">
        <w:r>
          <w:rPr>
            <w:rStyle w:val="Hyperlink"/>
            <w:rFonts w:ascii="Times New Roman" w:hAnsi="Times New Roman"/>
            <w:b w:val="false"/>
            <w:i w:val="false"/>
            <w:color w:val="000000"/>
            <w:sz w:val="22"/>
          </w:rPr>
          <w:t>653—25.16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contested case process must initially determine if the effect of the communication is so prejudicial that the presiding officer should be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shall disclose to all parties material factual information received through ex parte communication prior to such assignment, unless the factual information has already been or shortly will be disclosed pursuant to Iowa Code section </w:t>
      </w:r>
      <w:hyperlink r:id="rId3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board. Violation of ex parte communication prohibitions by board personnel shall be reported to the board and its executive director for possible sanctions including censure, suspension, dismissal, or other disciplinary action.</w:t>
      </w:r>
    </w:p>
    <w:p>
      <w:pPr>
        <w:spacing w:before="210" w:after="0"/>
        <w:ind w:left="120"/>
        <w:jc w:val="both"/>
      </w:pPr>
      <w:r>
        <w:rPr>
          <w:rFonts w:ascii="Times New Roman" w:hAnsi="Times New Roman"/>
          <w:b/>
          <w:i w:val="false"/>
          <w:color w:val="000000"/>
          <w:sz w:val="22"/>
        </w:rPr>
        <w:t>653—25.22</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board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i w:val="false"/>
          <w:color w:val="000000"/>
          <w:sz w:val="22"/>
        </w:rPr>
        <w:t>653—25.23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board may review an interlocutory order of the executive director, administrative law judge, or hearing panel. Any request for interlocutory review must be filed within 14 days of issuance of the challenged order, but no later than the time for compliance with the order or the date of hearing, whichever is first. In determining whether to do so, the board shall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extent to which its granting the interlocutory appeal would expedite final resolution of the case;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extent to which review of that interlocutory order by the board at the time it reviews the proposed decision of the presiding officer would provide an adequate remedy.</w:t>
      </w:r>
    </w:p>
    <w:p>
      <w:pPr>
        <w:spacing w:before="0" w:after="0"/>
        <w:ind w:left="120"/>
        <w:jc w:val="both"/>
      </w:pPr>
      <w:r>
        <w:rPr>
          <w:rFonts w:ascii="Times New Roman" w:hAnsi="Times New Roman"/>
          <w:b/>
          <w:i w:val="false"/>
          <w:color w:val="000000"/>
          <w:sz w:val="22"/>
        </w:rPr>
        <w:t>653—25.24</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quorum of the board presides over the reception of the evidence at the hearing, its decision is a final decision. A majority of the members of the board shall constitute a quorum. A final decision of the board is an open record. Final decisions shall be served on the parties in accordance with subrule </w:t>
      </w:r>
      <w:hyperlink r:id="rId39">
        <w:r>
          <w:rPr>
            <w:rStyle w:val="Hyperlink"/>
            <w:rFonts w:ascii="Times New Roman" w:hAnsi="Times New Roman"/>
            <w:b w:val="false"/>
            <w:i w:val="false"/>
            <w:color w:val="000000"/>
            <w:sz w:val="22"/>
          </w:rPr>
          <w:t>25.11(2)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of a hearing panel containing alternate members is considered a final decision of the board, in accordance with Iowa Code section </w:t>
      </w:r>
      <w:hyperlink r:id="rId40">
        <w:r>
          <w:rPr>
            <w:rStyle w:val="Hyperlink"/>
            <w:rFonts w:ascii="Times New Roman" w:hAnsi="Times New Roman"/>
            <w:b w:val="false"/>
            <w:i w:val="false"/>
            <w:color w:val="000000"/>
            <w:sz w:val="22"/>
          </w:rPr>
          <w:t>148.2A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shall issue a proposed panel decision which shall include findings of fact but shall not include conclusions of law. A proposed decision of a panel of specialists, together with a transcript of the proceedings and the exhibits presented, shall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shall issue a proposed panel decision which shall include proposed findings of fact, conclusions of law, and order. A proposed panel decision shall be reviewed by the board within 30 days of the date the proposed panel decision was issued. A proposed panel decision becomes a final decision without further proceedings unless appealed in accordance with paragraph </w:t>
      </w:r>
      <w:hyperlink r:id="rId41">
        <w:r>
          <w:rPr>
            <w:rStyle w:val="Hyperlink"/>
            <w:rFonts w:ascii="Times New Roman" w:hAnsi="Times New Roman"/>
            <w:b w:val="false"/>
            <w:i w:val="false"/>
            <w:color w:val="000000"/>
            <w:sz w:val="22"/>
          </w:rPr>
          <w:t>25.24(2)</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42">
        <w:r>
          <w:rPr>
            <w:rStyle w:val="Hyperlink"/>
            <w:rFonts w:ascii="Times New Roman" w:hAnsi="Times New Roman"/>
            <w:b w:val="false"/>
            <w:i w:val="false"/>
            <w:color w:val="000000"/>
            <w:sz w:val="22"/>
          </w:rPr>
          <w:t>25.24(2)</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may be appealed to the full board by either party by serving on the executive director, either in person or by certified mail, a notice of appeal within 30 days after service of the proposed decision on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shall enter an order establishing a schedule for submission of briefs and oral argument. The parties shall serve their briefs on the board and shall furnish an additional copy to each party by first-class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shall be heard by the board unless waived by both parties. The time granted each party for oral argument shall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shall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ind w:left="120"/>
        <w:jc w:val="both"/>
      </w:pPr>
      <w:r>
        <w:rPr>
          <w:rFonts w:ascii="Times New Roman" w:hAnsi="Times New Roman"/>
          <w:b/>
          <w:i w:val="false"/>
          <w:color w:val="000000"/>
          <w:sz w:val="22"/>
        </w:rPr>
        <w:t>653—25.25</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25.25(1)</w:t>
      </w:r>
      <w:r>
        <w:rPr>
          <w:rFonts w:ascii="Times New Roman" w:hAnsi="Times New Roman"/>
          <w:b w:val="false"/>
          <w:i w:val="false"/>
          <w:color w:val="000000"/>
          <w:sz w:val="22"/>
        </w:rPr>
        <w:t> </w:t>
      </w:r>
      <w:r>
        <w:rPr>
          <w:rFonts w:ascii="Times New Roman" w:hAnsi="Times New Roman"/>
          <w:b w:val="false"/>
          <w:i w:val="false"/>
          <w:color w:val="000000"/>
          <w:sz w:val="22"/>
        </w:rPr>
        <w:t>If the board concludes following a contested case hearing that discipline is warranted, the board has authority to impose any of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Additional education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Physical or mental evaluation or substance abuse evaluation, or alcohol or drug screening or clinical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Civil penalties not to exceed $10,000.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Imposition of such other sanctions allowed by law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board, 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extenuating circumstances or other countervailing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prior complaints, informal letters or disciplinary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Seriousness of prior complaints, informal letters or disciplinary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licensee has taken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43">
        <w:r>
          <w:rPr>
            <w:rStyle w:val="Hyperlink"/>
            <w:rFonts w:ascii="Times New Roman" w:hAnsi="Times New Roman"/>
            <w:b w:val="false"/>
            <w:i w:val="false"/>
            <w:color w:val="000000"/>
            <w:sz w:val="22"/>
          </w:rPr>
          <w:t>subrule 25.25(1)</w:t>
        </w:r>
      </w:hyperlink>
      <w:r>
        <w:rPr>
          <w:rFonts w:ascii="Times New Roman" w:hAnsi="Times New Roman"/>
          <w:b w:val="false"/>
          <w:i w:val="false"/>
          <w:color w:val="000000"/>
          <w:sz w:val="22"/>
        </w:rPr>
        <w:t xml:space="preserve">, pursuant to Iowa Code section </w:t>
      </w:r>
      <w:hyperlink r:id="rId44">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the board may only revoke or suspend a license for the commission of a crime if the offense directly relates to the duties and responsibilities of the profession, as defined in </w:t>
      </w:r>
      <w:hyperlink r:id="rId45">
        <w:r>
          <w:rPr>
            <w:rStyle w:val="Hyperlink"/>
            <w:rFonts w:ascii="Times New Roman" w:hAnsi="Times New Roman"/>
            <w:b w:val="false"/>
            <w:i w:val="false"/>
            <w:color w:val="000000"/>
            <w:sz w:val="22"/>
          </w:rPr>
          <w:t>653—paragraph 9.3(3)</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5749C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653—25.26</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paragraph </w:t>
      </w:r>
      <w:hyperlink r:id="rId46">
        <w:r>
          <w:rPr>
            <w:rStyle w:val="Hyperlink"/>
            <w:rFonts w:ascii="Times New Roman" w:hAnsi="Times New Roman"/>
            <w:b w:val="false"/>
            <w:i w:val="false"/>
            <w:color w:val="000000"/>
            <w:sz w:val="22"/>
          </w:rPr>
          <w:t>25.24(2)</w:t>
        </w:r>
        <w:r>
          <w:rPr>
            <w:rFonts w:ascii="Times New Roman" w:hAnsi="Times New Roman"/>
            <w:b w:val="false"/>
            <w:i/>
            <w:color w:val="000000"/>
            <w:sz w:val="22"/>
          </w:rPr>
          <w:t>“e”</w:t>
        </w:r>
      </w:hyperlink>
      <w:r>
        <w:rPr>
          <w:rFonts w:ascii="Times New Roman" w:hAnsi="Times New Roman"/>
          <w:b w:val="false"/>
          <w:i w:val="false"/>
          <w:color w:val="000000"/>
          <w:sz w:val="22"/>
        </w:rPr>
        <w:t xml:space="preserve"> and subrule </w:t>
      </w:r>
      <w:hyperlink r:id="rId47">
        <w:r>
          <w:rPr>
            <w:rStyle w:val="Hyperlink"/>
            <w:rFonts w:ascii="Times New Roman" w:hAnsi="Times New Roman"/>
            <w:b w:val="false"/>
            <w:i w:val="false"/>
            <w:color w:val="000000"/>
            <w:sz w:val="22"/>
          </w:rPr>
          <w:t>25.26(5)</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25.26(3)</w:t>
      </w:r>
      <w:r>
        <w:rPr>
          <w:rFonts w:ascii="Times New Roman" w:hAnsi="Times New Roman"/>
          <w:b w:val="false"/>
          <w:i w:val="false"/>
          <w:color w:val="000000"/>
          <w:sz w:val="22"/>
        </w:rPr>
        <w:t> </w:t>
      </w:r>
      <w:r>
        <w:rPr>
          <w:rFonts w:ascii="Times New Roman" w:hAnsi="Times New Roman"/>
          <w:b w:val="false"/>
          <w:i/>
          <w:color w:val="000000"/>
          <w:sz w:val="22"/>
        </w:rPr>
        <w:t xml:space="preserve">Filing deadline.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25.26(5)</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 xml:space="preserve">A request that additional evidence be considered on rehearing shall be governed by paragraph </w:t>
      </w:r>
      <w:hyperlink r:id="rId48">
        <w:r>
          <w:rPr>
            <w:rStyle w:val="Hyperlink"/>
            <w:rFonts w:ascii="Times New Roman" w:hAnsi="Times New Roman"/>
            <w:b w:val="false"/>
            <w:i w:val="false"/>
            <w:color w:val="000000"/>
            <w:sz w:val="22"/>
          </w:rPr>
          <w:t>25.24(2)</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agency grants the application within 20 days after its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25.26(7)</w:t>
      </w:r>
      <w:r>
        <w:rPr>
          <w:rFonts w:ascii="Times New Roman" w:hAnsi="Times New Roman"/>
          <w:b w:val="false"/>
          <w:i w:val="false"/>
          <w:color w:val="000000"/>
          <w:sz w:val="22"/>
        </w:rPr>
        <w:t> </w:t>
      </w:r>
      <w:r>
        <w:rPr>
          <w:rFonts w:ascii="Times New Roman" w:hAnsi="Times New Roman"/>
          <w:b w:val="false"/>
          <w:i/>
          <w:color w:val="000000"/>
          <w:sz w:val="22"/>
        </w:rPr>
        <w:t xml:space="preserve">Only remedy. </w:t>
      </w:r>
      <w:r>
        <w:rPr>
          <w:rFonts w:ascii="Times New Roman" w:hAnsi="Times New Roman"/>
          <w:b w:val="false"/>
          <w:i w:val="false"/>
          <w:color w:val="000000"/>
          <w:sz w:val="22"/>
        </w:rPr>
        <w:t>Application for rehearing is the only procedure by which a party may request that the board reconsider a final board decision.</w:t>
      </w:r>
    </w:p>
    <w:p>
      <w:pPr>
        <w:spacing w:before="0" w:after="0"/>
        <w:ind w:left="120"/>
        <w:jc w:val="both"/>
      </w:pPr>
      <w:r>
        <w:rPr>
          <w:rFonts w:ascii="Times New Roman" w:hAnsi="Times New Roman"/>
          <w:b/>
          <w:i w:val="false"/>
          <w:color w:val="000000"/>
          <w:sz w:val="22"/>
        </w:rPr>
        <w:t>653—25.27</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r>
        <w:rPr>
          <w:rFonts w:ascii="Times New Roman" w:hAnsi="Times New Roman"/>
          <w:b w:val="false"/>
          <w:i w:val="false"/>
          <w:color w:val="000000"/>
          <w:sz w:val="22"/>
        </w:rPr>
        <w:t>Any party to a contested case proceeding may petition the board for a stay of an order issued in that proceeding or for other temporary remedies, pending review by the board or pending judicial review. The petition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25.27(2)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board shall consider the factors listed in Iowa Code section </w:t>
      </w:r>
      <w:hyperlink r:id="rId49">
        <w:r>
          <w:rPr>
            <w:rStyle w:val="Hyperlink"/>
            <w:rFonts w:ascii="Times New Roman" w:hAnsi="Times New Roman"/>
            <w:b w:val="false"/>
            <w:i w:val="false"/>
            <w:color w:val="000000"/>
            <w:sz w:val="22"/>
          </w:rPr>
          <w:t>17A.19(5)</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board shall not grant a stay in any case in which the district court would be expressly prohibited by statute from granting a stay.</w:t>
      </w:r>
    </w:p>
    <w:p>
      <w:pPr>
        <w:spacing w:before="210" w:after="0"/>
        <w:ind w:left="120"/>
        <w:jc w:val="both"/>
      </w:pPr>
      <w:r>
        <w:rPr>
          <w:rFonts w:ascii="Times New Roman" w:hAnsi="Times New Roman"/>
          <w:b/>
          <w:i w:val="false"/>
          <w:color w:val="000000"/>
          <w:sz w:val="22"/>
        </w:rPr>
        <w:t>653—25.28</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w:t>
      </w:r>
    </w:p>
    <w:p>
      <w:pPr>
        <w:spacing w:before="0" w:after="0"/>
        <w:ind w:left="120"/>
        <w:jc w:val="both"/>
      </w:pPr>
      <w:r>
        <w:rPr>
          <w:rFonts w:ascii="Times New Roman" w:hAnsi="Times New Roman"/>
          <w:b/>
          <w:i w:val="false"/>
          <w:color w:val="000000"/>
          <w:sz w:val="22"/>
        </w:rPr>
        <w:t>653—25.29</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board may issue a written order in compliance with Iowa Code section </w:t>
      </w:r>
      <w:hyperlink r:id="rId5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board by emergency adjudicative order. Before issuing an emergency adjudicative order, the board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board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board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shall contain findings of fact, conclusions of law, and policy reasons to justify the determination of an immediate danger and the board’s decision to take immediate action. The order is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the person who is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Fax, which may be used as the sole method of delivery if the person required to comply with the order has filed a written request that board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board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 issued, the board shall make reasonable immediate efforts to contact by telephone the person who is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25.29(4)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After the issuance of an emergency adjudicative order, the board shall proceed as quickly as feasible to complete any proceedings that would be required if the matter did not involve an immediate danger.</w:t>
      </w:r>
    </w:p>
    <w:p>
      <w:pPr>
        <w:spacing w:before="0" w:after="0"/>
        <w:ind w:left="120"/>
        <w:jc w:val="both"/>
      </w:pPr>
      <w:r>
        <w:rPr>
          <w:rFonts w:ascii="Times New Roman" w:hAnsi="Times New Roman"/>
          <w:b w:val="false"/>
          <w:i w:val="false"/>
          <w:color w:val="000000"/>
          <w:sz w:val="22"/>
        </w:rPr>
        <w:t>Issuance of a written emergency adjudicative order shall include notification of the date on which board proceedings are scheduled for hearing. The licensee subject to the emergency adjudicative order may request a continuance of the hearing at any time upon written application to the board. The board will be granted a continuance only in compelling circumstances upon written application.</w:t>
      </w:r>
    </w:p>
    <w:p>
      <w:pPr>
        <w:spacing w:before="210" w:after="0"/>
        <w:ind w:left="120"/>
        <w:jc w:val="both"/>
      </w:pPr>
      <w:r>
        <w:rPr>
          <w:rFonts w:ascii="Times New Roman" w:hAnsi="Times New Roman"/>
          <w:b/>
          <w:i w:val="false"/>
          <w:color w:val="000000"/>
          <w:sz w:val="22"/>
        </w:rPr>
        <w:t>653—25.30</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 of license denial. </w:t>
      </w:r>
      <w:r>
        <w:rPr>
          <w:rFonts w:ascii="Times New Roman" w:hAnsi="Times New Roman"/>
          <w:b w:val="false"/>
          <w:i w:val="false"/>
          <w:color w:val="000000"/>
          <w:sz w:val="22"/>
        </w:rPr>
        <w:t>An applicant may appeal a preliminary notice of denial of license by filing a written notice of appeal and request for hearing with the board within 30 days of the date that the preliminary notice of denial of license was mailed by the board. The hearing shall be a contested case and shall be conducted in accordance with this chapter.</w:t>
      </w:r>
    </w:p>
    <w:p>
      <w:pPr>
        <w:spacing w:before="210" w:after="0"/>
        <w:ind w:left="120"/>
        <w:jc w:val="both"/>
      </w:pPr>
      <w:r>
        <w:rPr>
          <w:rFonts w:ascii="Times New Roman" w:hAnsi="Times New Roman"/>
          <w:b/>
          <w:i w:val="false"/>
          <w:color w:val="000000"/>
          <w:sz w:val="22"/>
        </w:rPr>
        <w:t>653—25.31</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and appeal. </w:t>
      </w:r>
      <w:r>
        <w:rPr>
          <w:rFonts w:ascii="Times New Roman" w:hAnsi="Times New Roman"/>
          <w:b w:val="false"/>
          <w:i w:val="false"/>
          <w:color w:val="000000"/>
          <w:sz w:val="22"/>
        </w:rPr>
        <w:t>Judicial review of the board’s action may be sought in accordance with the terms of the Iowa administrative procedure Act, from and after the date of the board’s order.</w:t>
      </w:r>
    </w:p>
    <w:p>
      <w:pPr>
        <w:spacing w:before="210" w:after="0"/>
        <w:ind w:left="120"/>
        <w:jc w:val="both"/>
      </w:pPr>
      <w:r>
        <w:rPr>
          <w:rFonts w:ascii="Times New Roman" w:hAnsi="Times New Roman"/>
          <w:b/>
          <w:i w:val="false"/>
          <w:color w:val="000000"/>
          <w:sz w:val="22"/>
        </w:rPr>
        <w:t>653—25.32</w:t>
      </w:r>
      <w:r>
        <w:rPr>
          <w:rFonts w:ascii="Times New Roman" w:hAnsi="Times New Roman"/>
          <w:b/>
          <w:i w:val="false"/>
          <w:color w:val="000000"/>
          <w:sz w:val="22"/>
        </w:rPr>
        <w:t xml:space="preserve">(17A) </w:t>
      </w:r>
      <w:r>
        <w:rPr>
          <w:rFonts w:ascii="Times New Roman" w:hAnsi="Times New Roman"/>
          <w:b/>
          <w:i w:val="false"/>
          <w:color w:val="000000"/>
          <w:sz w:val="22"/>
        </w:rPr>
        <w:t xml:space="preserve">Open record. </w:t>
      </w:r>
      <w:r>
        <w:rPr>
          <w:rFonts w:ascii="Times New Roman" w:hAnsi="Times New Roman"/>
          <w:b w:val="false"/>
          <w:i w:val="false"/>
          <w:color w:val="000000"/>
          <w:sz w:val="22"/>
        </w:rPr>
        <w:t>The final decision of the board is an open record. The board shall report final decisions to the appropriate organizations, including but not limited to the National Practitioner Data Bank, the Federation of State Medical Boards and all media and other organizations that have filed a request for public information.</w:t>
      </w:r>
    </w:p>
    <w:p>
      <w:pPr>
        <w:spacing w:before="0" w:after="0"/>
        <w:ind w:left="120"/>
        <w:jc w:val="both"/>
      </w:pPr>
      <w:r>
        <w:rPr>
          <w:rFonts w:ascii="Times New Roman" w:hAnsi="Times New Roman"/>
          <w:b/>
          <w:i w:val="false"/>
          <w:color w:val="000000"/>
          <w:sz w:val="22"/>
        </w:rPr>
        <w:t>653—25.33</w:t>
      </w:r>
      <w:r>
        <w:rPr>
          <w:rFonts w:ascii="Times New Roman" w:hAnsi="Times New Roman"/>
          <w:b/>
          <w:i w:val="false"/>
          <w:color w:val="000000"/>
          <w:sz w:val="22"/>
        </w:rPr>
        <w:t xml:space="preserve">(272C) </w:t>
      </w:r>
      <w:r>
        <w:rPr>
          <w:rFonts w:ascii="Times New Roman" w:hAnsi="Times New Roman"/>
          <w:b/>
          <w:i w:val="false"/>
          <w:color w:val="000000"/>
          <w:sz w:val="22"/>
        </w:rPr>
        <w:t xml:space="preserve">Disciplinary hearings—fees and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in relation to a formal disciplinary action filed by the board against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“Deposition” </w:t>
      </w:r>
      <w:r>
        <w:rPr>
          <w:rFonts w:ascii="Times New Roman" w:hAnsi="Times New Roman"/>
          <w:b w:val="false"/>
          <w:i w:val="false"/>
          <w:color w:val="000000"/>
          <w:sz w:val="22"/>
        </w:rPr>
        <w:t>means the testimony of a person taken pursuant to subpoena or at the request of the state of Iowa taken in a setting other than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fees” </w:t>
      </w:r>
      <w:r>
        <w:rPr>
          <w:rFonts w:ascii="Times New Roman" w:hAnsi="Times New Roman"/>
          <w:b w:val="false"/>
          <w:i w:val="false"/>
          <w:color w:val="000000"/>
          <w:sz w:val="22"/>
        </w:rPr>
        <w:t>means actual costs incurred by the board in a physical, mental, chemical abuse, other impairment-related examination or evaluation or clinical competency evaluation of a licensee when the examination or evaluation is conducted pursuant to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 xml:space="preserve">means costs incurred by persons appearing pursuant to subpoena or at the request of the state of Iowa for purposes of providing testimony on the part of the state of Iowa in a hearing or other official proceeding and shall include mileage reimbursement at the rate specified in Iowa Code section </w:t>
      </w:r>
      <w:hyperlink r:id="rId51">
        <w:r>
          <w:rPr>
            <w:rStyle w:val="Hyperlink"/>
            <w:rFonts w:ascii="Times New Roman" w:hAnsi="Times New Roman"/>
            <w:b w:val="false"/>
            <w:i w:val="false"/>
            <w:color w:val="000000"/>
            <w:sz w:val="22"/>
          </w:rPr>
          <w:t>70A.9</w:t>
        </w:r>
      </w:hyperlink>
      <w:r>
        <w:rPr>
          <w:rFonts w:ascii="Times New Roman" w:hAnsi="Times New Roman"/>
          <w:b w:val="false"/>
          <w:i w:val="false"/>
          <w:color w:val="000000"/>
          <w:sz w:val="22"/>
        </w:rPr>
        <w:t xml:space="preserve"> or, if commercial air or ground transportation is used, the actual cost of transportation to and from the proceeding. Also included are actual costs incurred for meals and necessary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“Transcript” </w:t>
      </w:r>
      <w:r>
        <w:rPr>
          <w:rFonts w:ascii="Times New Roman" w:hAnsi="Times New Roman"/>
          <w:b w:val="false"/>
          <w:i w:val="false"/>
          <w:color w:val="000000"/>
          <w:sz w:val="22"/>
        </w:rPr>
        <w:t>means a printed verbatim reproduction of everything said on the record during a hearing or other official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“Witness fees” </w:t>
      </w:r>
      <w:r>
        <w:rPr>
          <w:rFonts w:ascii="Times New Roman" w:hAnsi="Times New Roman"/>
          <w:b w:val="false"/>
          <w:i w:val="false"/>
          <w:color w:val="000000"/>
          <w:sz w:val="22"/>
        </w:rPr>
        <w:t xml:space="preserve">means compensation paid by the board to persons appearing pursuant to subpoena or at the request of the state of Iowa for purposes of providing testimony on the part of the state of Iowa. For the purpose of this rule, compensation shall be the same as outlined in Iowa Code section </w:t>
      </w:r>
      <w:hyperlink r:id="rId52">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or </w:t>
      </w:r>
      <w:hyperlink r:id="rId53">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25.33(2)</w:t>
      </w:r>
      <w:r>
        <w:rPr>
          <w:rFonts w:ascii="Times New Roman" w:hAnsi="Times New Roman"/>
          <w:b w:val="false"/>
          <w:i w:val="false"/>
          <w:color w:val="000000"/>
          <w:sz w:val="22"/>
        </w:rPr>
        <w:t> </w:t>
      </w:r>
      <w:r>
        <w:rPr>
          <w:rFonts w:ascii="Times New Roman" w:hAnsi="Times New Roman"/>
          <w:b w:val="false"/>
          <w:i/>
          <w:color w:val="000000"/>
          <w:sz w:val="22"/>
        </w:rPr>
        <w:t xml:space="preserve">Disciplinary hearing fee. </w:t>
      </w:r>
      <w:r>
        <w:rPr>
          <w:rFonts w:ascii="Times New Roman" w:hAnsi="Times New Roman"/>
          <w:b w:val="false"/>
          <w:i w:val="false"/>
          <w:color w:val="000000"/>
          <w:sz w:val="22"/>
        </w:rPr>
        <w:t>The board may charge a fee not to exceed $75 for conducting a disciplinary hearing which results in disciplinary action taken against the licensee by the board.</w:t>
      </w:r>
    </w:p>
    <w:p>
      <w:pPr>
        <w:spacing w:before="0" w:after="0"/>
        <w:ind w:left="120"/>
        <w:jc w:val="both"/>
      </w:pPr>
      <w:r>
        <w:rPr>
          <w:rFonts w:ascii="Times New Roman" w:hAnsi="Times New Roman"/>
          <w:b w:val="false"/>
          <w:i w:val="false"/>
          <w:color w:val="000000"/>
          <w:sz w:val="22"/>
        </w:rPr>
        <w:t xml:space="preserve">An order assessing a fee shall be included as part of the board’s final decision. The order shall direct the licensee to deliver payment directly to the board as provided in subrule </w:t>
      </w:r>
      <w:hyperlink r:id="rId54">
        <w:r>
          <w:rPr>
            <w:rStyle w:val="Hyperlink"/>
            <w:rFonts w:ascii="Times New Roman" w:hAnsi="Times New Roman"/>
            <w:b w:val="false"/>
            <w:i w:val="false"/>
            <w:color w:val="000000"/>
            <w:sz w:val="22"/>
          </w:rPr>
          <w:t>25.33(6)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25.33(3)</w:t>
      </w:r>
      <w:r>
        <w:rPr>
          <w:rFonts w:ascii="Times New Roman" w:hAnsi="Times New Roman"/>
          <w:b w:val="false"/>
          <w:i w:val="false"/>
          <w:color w:val="000000"/>
          <w:sz w:val="22"/>
        </w:rPr>
        <w:t> </w:t>
      </w:r>
      <w:r>
        <w:rPr>
          <w:rFonts w:ascii="Times New Roman" w:hAnsi="Times New Roman"/>
          <w:b w:val="false"/>
          <w:i/>
          <w:color w:val="000000"/>
          <w:sz w:val="22"/>
        </w:rPr>
        <w:t xml:space="preserve">Recovery of related hearing costs. </w:t>
      </w:r>
      <w:r>
        <w:rPr>
          <w:rFonts w:ascii="Times New Roman" w:hAnsi="Times New Roman"/>
          <w:b w:val="false"/>
          <w:i w:val="false"/>
          <w:color w:val="000000"/>
          <w:sz w:val="22"/>
        </w:rPr>
        <w:t>The board may also recover from the licensee the costs for transcripts, witness fees and expenses, depositions, and medical examination fees. The board may assess these costs in the manner it deems most equitable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Transcript costs. </w:t>
      </w:r>
      <w:r>
        <w:rPr>
          <w:rFonts w:ascii="Times New Roman" w:hAnsi="Times New Roman"/>
          <w:b w:val="false"/>
          <w:i w:val="false"/>
          <w:color w:val="000000"/>
          <w:sz w:val="22"/>
        </w:rPr>
        <w:t xml:space="preserve">The board may recover the costs for the court reporter and assess the transcript costs against the licensee pursuant to Iowa Code section </w:t>
      </w:r>
      <w:hyperlink r:id="rId55">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 xml:space="preserve"> or against the requesting party pursuant to Iowa Code section </w:t>
      </w:r>
      <w:hyperlink r:id="rId56">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 of the transcript includes the transcript of the original contested case hearing before the board, as well as transcripts of any other formal proceedings before the board which occur after the notice of the contested case hearing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an appeal to the full board from a proposed decision, the appealing party shall timely request and pay for the transcript necessary for use in the agency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Witness fees and expenses. </w:t>
      </w:r>
      <w:r>
        <w:rPr>
          <w:rFonts w:ascii="Times New Roman" w:hAnsi="Times New Roman"/>
          <w:b w:val="false"/>
          <w:i w:val="false"/>
          <w:color w:val="000000"/>
          <w:sz w:val="22"/>
        </w:rPr>
        <w:t>The parties in a contested case shall be responsible for any witness fees and expenses incurred by witnesses appearing at the contested case hearing. In addition, the board may assess a licensee the witness fees and expenses incurred by witnesses called to testify on behalf of the state of Iowa, provided that the costs are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lay witnesses shall be determined in accordance with Iowa Code section </w:t>
      </w:r>
      <w:hyperlink r:id="rId57">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58">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expert witnesses shall be determined in accordance with Iowa Code section </w:t>
      </w:r>
      <w:hyperlink r:id="rId59">
        <w:r>
          <w:rPr>
            <w:rStyle w:val="Hyperlink"/>
            <w:rFonts w:ascii="Times New Roman" w:hAnsi="Times New Roman"/>
            <w:b w:val="false"/>
            <w:i w:val="false"/>
            <w:color w:val="000000"/>
            <w:sz w:val="22"/>
          </w:rPr>
          <w:t>622.72</w:t>
        </w:r>
      </w:hyperlink>
      <w:r>
        <w:rPr>
          <w:rFonts w:ascii="Times New Roman" w:hAnsi="Times New Roman"/>
          <w:b w:val="false"/>
          <w:i w:val="false"/>
          <w:color w:val="000000"/>
          <w:sz w:val="22"/>
        </w:rPr>
        <w:t xml:space="preserve">. For purposes of calculating the mileage expenses allowed under that section, the provisions of Iowa Code section </w:t>
      </w:r>
      <w:hyperlink r:id="rId60">
        <w:r>
          <w:rPr>
            <w:rStyle w:val="Hyperlink"/>
            <w:rFonts w:ascii="Times New Roman" w:hAnsi="Times New Roman"/>
            <w:b w:val="false"/>
            <w:i w:val="false"/>
            <w:color w:val="000000"/>
            <w:sz w:val="22"/>
          </w:rPr>
          <w:t>625.2</w:t>
        </w:r>
      </w:hyperlink>
      <w:r>
        <w:rPr>
          <w:rFonts w:ascii="Times New Roman" w:hAnsi="Times New Roman"/>
          <w:b w:val="false"/>
          <w:i w:val="false"/>
          <w:color w:val="000000"/>
          <w:sz w:val="22"/>
        </w:rPr>
        <w:t xml:space="preserve"> do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 </w:t>
      </w:r>
      <w:hyperlink r:id="rId61">
        <w:r>
          <w:rPr>
            <w:rStyle w:val="Hyperlink"/>
            <w:rFonts w:ascii="Times New Roman" w:hAnsi="Times New Roman"/>
            <w:b w:val="false"/>
            <w:i w:val="false"/>
            <w:color w:val="000000"/>
            <w:sz w:val="22"/>
          </w:rPr>
          <w:t>622.74</w:t>
        </w:r>
      </w:hyperlink>
      <w:r>
        <w:rPr>
          <w:rFonts w:ascii="Times New Roman" w:hAnsi="Times New Roman"/>
          <w:b w:val="false"/>
          <w:i w:val="false"/>
          <w:color w:val="000000"/>
          <w:sz w:val="22"/>
        </w:rPr>
        <w:t xml:space="preserve"> regarding advance payment of witness fees and the consequences of failure to make such payment are applicable with regard to witnesses who are subpoenaed by either party to testify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may assess as costs the meal and lodging expenses necessarily incurred by witnesses testifying at the request of the state of Iowa. Meal and lodging costs shall not exceed the reimbursement employees of the state of Iowa receive for these expenses under the department of revenue guidelines in effect on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Deposition costs. </w:t>
      </w:r>
      <w:r>
        <w:rPr>
          <w:rFonts w:ascii="Times New Roman" w:hAnsi="Times New Roman"/>
          <w:b w:val="false"/>
          <w:i w:val="false"/>
          <w:color w:val="000000"/>
          <w:sz w:val="22"/>
        </w:rPr>
        <w:t>Deposition costs for purposes of allocating costs against a licensee include only those deposition costs incurred by the state of Iowa. The licensee is directly responsible for the payment of deposition costs incurred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costs for depositions include the cost of transcripts, the daily charge of the court reporter for attending and transcribing the deposition, and all mileage and travel time charges of the court reporter for traveling to and from the deposition which are charged in the ordinary course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deposition is of an expert witness, the deposition cost includes a reasonable fee for an expert witness. This fee shall not exceed the expert’s customary hourly or daily fee, and shall include the time reasonably and necessarily spent in connection with such deposition, including the time spent in travel to and from the deposition, but excluding time spent in preparation for that deposition.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examination fees. </w:t>
      </w:r>
      <w:r>
        <w:rPr>
          <w:rFonts w:ascii="Times New Roman" w:hAnsi="Times New Roman"/>
          <w:b w:val="false"/>
          <w:i w:val="false"/>
          <w:color w:val="000000"/>
          <w:sz w:val="22"/>
        </w:rPr>
        <w:t xml:space="preserve">All costs of physical or mental examinations or substance abuse evaluations or drug screening or clinical competency evaluations ordered by the board pursuant to Iowa Code section </w:t>
      </w:r>
      <w:hyperlink r:id="rId62">
        <w:r>
          <w:rPr>
            <w:rStyle w:val="Hyperlink"/>
            <w:rFonts w:ascii="Times New Roman" w:hAnsi="Times New Roman"/>
            <w:b w:val="false"/>
            <w:i w:val="false"/>
            <w:color w:val="000000"/>
            <w:sz w:val="22"/>
          </w:rPr>
          <w:t>272C.9(1)</w:t>
        </w:r>
      </w:hyperlink>
      <w:r>
        <w:rPr>
          <w:rFonts w:ascii="Times New Roman" w:hAnsi="Times New Roman"/>
          <w:b w:val="false"/>
          <w:i w:val="false"/>
          <w:color w:val="000000"/>
          <w:sz w:val="22"/>
        </w:rPr>
        <w:t xml:space="preserve"> as part of an investigation of a pending complaint or as a sanction following a contested case shall be paid directly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25.33(4)</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reimbursable costs. </w:t>
      </w:r>
      <w:r>
        <w:rPr>
          <w:rFonts w:ascii="Times New Roman" w:hAnsi="Times New Roman"/>
          <w:b w:val="false"/>
          <w:i w:val="false"/>
          <w:color w:val="000000"/>
          <w:sz w:val="22"/>
        </w:rPr>
        <w:t>The executive director or designee shall certify any reimbursable costs incurred by the board. The executive director shall calculate the specific costs, certify the cost calculated, and file the certification as part of the record in the contested case. A copy of the certification shall be served on the party responsible for payment of the certified costs at the time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25.33(5)</w:t>
      </w:r>
      <w:r>
        <w:rPr>
          <w:rFonts w:ascii="Times New Roman" w:hAnsi="Times New Roman"/>
          <w:b w:val="false"/>
          <w:i w:val="false"/>
          <w:color w:val="000000"/>
          <w:sz w:val="22"/>
        </w:rPr>
        <w:t> </w:t>
      </w:r>
      <w:r>
        <w:rPr>
          <w:rFonts w:ascii="Times New Roman" w:hAnsi="Times New Roman"/>
          <w:b w:val="false"/>
          <w:i/>
          <w:color w:val="000000"/>
          <w:sz w:val="22"/>
        </w:rPr>
        <w:t xml:space="preserve">Assessment of fees and costs. </w:t>
      </w:r>
      <w:r>
        <w:rPr>
          <w:rFonts w:ascii="Times New Roman" w:hAnsi="Times New Roman"/>
          <w:b w:val="false"/>
          <w:i w:val="false"/>
          <w:color w:val="000000"/>
          <w:sz w:val="22"/>
        </w:rPr>
        <w:t>A final decision of the board imposing disciplinary action against a licensee shall include the amount of any disciplinary hearing fee assessed, which shall not exceed $75. If the board also assesses reimbursable costs against the licensee, the board shall file a Certification of Reimbursable Costs which includes a statement of costs delineating each category of costs and the amount assessed. The board shall specify the time period in which the fees and costs must be paid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seeking judicial review, a party shall file an objection to any fees or costs imposed by the board in order to exhaust administrative remedies. An objection shall be filed in the form of an application for rehearing pursuant to Iowa Code section </w:t>
      </w:r>
      <w:hyperlink r:id="rId63">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resolved by the board consistent with the procedures for ruling on an application for rehearing. Any dispute regarding the calculations of any fees or costs to be assessed may be resolved by the board upon receipt of the parties’ written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25.33(6)</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and costs. </w:t>
      </w:r>
      <w:r>
        <w:rPr>
          <w:rFonts w:ascii="Times New Roman" w:hAnsi="Times New Roman"/>
          <w:b w:val="false"/>
          <w:i w:val="false"/>
          <w:color w:val="000000"/>
          <w:sz w:val="22"/>
        </w:rPr>
        <w:t>All fees and costs assessed pursuant to this rule shall be made in the form of a check or money order made payable to Iowa Board of Medicine and delivered by the licensee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25.33(7)</w:t>
      </w:r>
      <w:r>
        <w:rPr>
          <w:rFonts w:ascii="Times New Roman" w:hAnsi="Times New Roman"/>
          <w:b w:val="false"/>
          <w:i w:val="false"/>
          <w:color w:val="000000"/>
          <w:sz w:val="22"/>
        </w:rPr>
        <w:t> </w:t>
      </w:r>
      <w:r>
        <w:rPr>
          <w:rFonts w:ascii="Times New Roman" w:hAnsi="Times New Roman"/>
          <w:b w:val="false"/>
          <w:i/>
          <w:color w:val="000000"/>
          <w:sz w:val="22"/>
        </w:rPr>
        <w:t xml:space="preserve">Failure to make payment. </w:t>
      </w:r>
      <w:r>
        <w:rPr>
          <w:rFonts w:ascii="Times New Roman" w:hAnsi="Times New Roman"/>
          <w:b w:val="false"/>
          <w:i w:val="false"/>
          <w:color w:val="000000"/>
          <w:sz w:val="22"/>
        </w:rPr>
        <w:t>Failure of a licensee to pay any fees and costs within the time specified in the board’s decision shall constitute a violation of an order of the board and shall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25.33(8)</w:t>
      </w:r>
      <w:r>
        <w:rPr>
          <w:rFonts w:ascii="Times New Roman" w:hAnsi="Times New Roman"/>
          <w:b w:val="false"/>
          <w:i w:val="false"/>
          <w:color w:val="000000"/>
          <w:sz w:val="22"/>
        </w:rPr>
        <w:t> </w:t>
      </w:r>
      <w:r>
        <w:rPr>
          <w:rFonts w:ascii="Times New Roman" w:hAnsi="Times New Roman"/>
          <w:b w:val="false"/>
          <w:i/>
          <w:color w:val="000000"/>
          <w:sz w:val="22"/>
        </w:rPr>
        <w:t xml:space="preserve">Repayment receipts. </w:t>
      </w:r>
      <w:r>
        <w:rPr>
          <w:rFonts w:ascii="Times New Roman" w:hAnsi="Times New Roman"/>
          <w:b w:val="false"/>
          <w:i w:val="false"/>
          <w:color w:val="000000"/>
          <w:sz w:val="22"/>
        </w:rPr>
        <w:t xml:space="preserve">Fees and costs collected by the board pursuant to this rule shall be considered repayment receipts as defined in Iowa Code section </w:t>
      </w:r>
      <w:hyperlink r:id="rId64">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2/5/79, Notice 11/29/78—published 2/21/79, effective 3/29/79]</w:t>
      </w:r>
    </w:p>
    <w:p>
      <w:pPr>
        <w:spacing w:before="0" w:after="0"/>
        <w:ind w:left="120"/>
        <w:jc w:val="center"/>
      </w:pPr>
      <w:r>
        <w:rPr>
          <w:rFonts w:ascii="Times New Roman" w:hAnsi="Times New Roman"/>
          <w:b w:val="false"/>
          <w:i w:val="false"/>
          <w:color w:val="000000"/>
          <w:sz w:val="21"/>
        </w:rPr>
        <w:t>[Filed without Notice 2/14/80—published 3/5/80, effective 4/9/80]</w:t>
      </w:r>
    </w:p>
    <w:p>
      <w:pPr>
        <w:spacing w:before="0" w:after="0"/>
        <w:ind w:left="120"/>
        <w:jc w:val="center"/>
      </w:pPr>
      <w:r>
        <w:rPr>
          <w:rFonts w:ascii="Times New Roman" w:hAnsi="Times New Roman"/>
          <w:b w:val="false"/>
          <w:i w:val="false"/>
          <w:color w:val="000000"/>
          <w:sz w:val="21"/>
        </w:rPr>
        <w:t>[Filed 10/10/80, Notice 8/20/80—published 10/29/80, effective 12/3/80]</w:t>
      </w:r>
    </w:p>
    <w:p>
      <w:pPr>
        <w:spacing w:before="0" w:after="0"/>
        <w:ind w:left="120"/>
        <w:jc w:val="center"/>
      </w:pPr>
      <w:r>
        <w:rPr>
          <w:rFonts w:ascii="Times New Roman" w:hAnsi="Times New Roman"/>
          <w:b w:val="false"/>
          <w:i w:val="false"/>
          <w:color w:val="000000"/>
          <w:sz w:val="21"/>
        </w:rPr>
        <w:t>[Filed 6/14/82, Notice 4/28/82—published 7/7/82, effective 8/11/82]</w:t>
      </w:r>
    </w:p>
    <w:p>
      <w:pPr>
        <w:spacing w:before="0" w:after="0"/>
        <w:ind w:left="120"/>
        <w:jc w:val="center"/>
      </w:pPr>
      <w:r>
        <w:rPr>
          <w:rFonts w:ascii="Times New Roman" w:hAnsi="Times New Roman"/>
          <w:b w:val="false"/>
          <w:i w:val="false"/>
          <w:color w:val="000000"/>
          <w:sz w:val="21"/>
        </w:rPr>
        <w:t>[Filed 9/9/83, Notice 8/3/83—published 9/28/83, effective 11/2/83]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3/9/84, Notice 1/18/84—published 3/28/84, effective 5/2/84]</w:t>
      </w:r>
    </w:p>
    <w:p>
      <w:pPr>
        <w:spacing w:before="0" w:after="0"/>
        <w:ind w:left="120"/>
        <w:jc w:val="center"/>
      </w:pPr>
      <w:r>
        <w:rPr>
          <w:rFonts w:ascii="Times New Roman" w:hAnsi="Times New Roman"/>
          <w:b w:val="false"/>
          <w:i w:val="false"/>
          <w:color w:val="000000"/>
          <w:sz w:val="21"/>
        </w:rPr>
        <w:t>[Filed 10/19/84, Notice 8/29/84—published 11/7/84, effective 12/12/84]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10/28/88, Notice 6/15/88—published 11/16/88, effective 12/21/88]</w:t>
      </w:r>
    </w:p>
    <w:p>
      <w:pPr>
        <w:spacing w:before="0" w:after="0"/>
        <w:ind w:left="120"/>
        <w:jc w:val="center"/>
      </w:pPr>
      <w:r>
        <w:rPr>
          <w:rFonts w:ascii="Times New Roman" w:hAnsi="Times New Roman"/>
          <w:b w:val="false"/>
          <w:i w:val="false"/>
          <w:color w:val="000000"/>
          <w:sz w:val="21"/>
        </w:rPr>
        <w:t>[Filed 7/21/89, Notice 5/17/89—published 8/9/89, effective 9/13/89]</w:t>
      </w:r>
    </w:p>
    <w:p>
      <w:pPr>
        <w:spacing w:before="0" w:after="0"/>
        <w:ind w:left="120"/>
        <w:jc w:val="center"/>
      </w:pPr>
      <w:r>
        <w:rPr>
          <w:rFonts w:ascii="Times New Roman" w:hAnsi="Times New Roman"/>
          <w:b w:val="false"/>
          <w:i w:val="false"/>
          <w:color w:val="000000"/>
          <w:sz w:val="21"/>
        </w:rPr>
        <w:t>[Filed 8/2/90, Notice 5/30/90—published 8/22/90, effective 9/26/90]</w:t>
      </w:r>
    </w:p>
    <w:p>
      <w:pPr>
        <w:spacing w:before="0" w:after="0"/>
        <w:ind w:left="120"/>
        <w:jc w:val="center"/>
      </w:pPr>
      <w:r>
        <w:rPr>
          <w:rFonts w:ascii="Times New Roman" w:hAnsi="Times New Roman"/>
          <w:b w:val="false"/>
          <w:i w:val="false"/>
          <w:color w:val="000000"/>
          <w:sz w:val="21"/>
        </w:rPr>
        <w:t>[Filed 4/1/94, Notice 2/2/94—published 4/27/94, effective 6/1/94]</w:t>
      </w:r>
    </w:p>
    <w:p>
      <w:pPr>
        <w:spacing w:before="0" w:after="0"/>
        <w:ind w:left="120"/>
        <w:jc w:val="center"/>
      </w:pPr>
      <w:r>
        <w:rPr>
          <w:rFonts w:ascii="Times New Roman" w:hAnsi="Times New Roman"/>
          <w:b w:val="false"/>
          <w:i w:val="false"/>
          <w:color w:val="000000"/>
          <w:sz w:val="21"/>
        </w:rPr>
        <w:t>[Filed 11/3/94, Notice 9/28/94—published 11/23/94, effective 12/28/94]</w:t>
      </w:r>
    </w:p>
    <w:p>
      <w:pPr>
        <w:spacing w:before="0" w:after="0"/>
        <w:ind w:left="120"/>
        <w:jc w:val="center"/>
      </w:pPr>
      <w:r>
        <w:rPr>
          <w:rFonts w:ascii="Times New Roman" w:hAnsi="Times New Roman"/>
          <w:b w:val="false"/>
          <w:i w:val="false"/>
          <w:color w:val="000000"/>
          <w:sz w:val="21"/>
        </w:rPr>
        <w:t>[Filed 12/14/95, Notice 8/30/95—published 1/3/96, effective 2/7/96]</w:t>
      </w:r>
    </w:p>
    <w:p>
      <w:pPr>
        <w:spacing w:before="0" w:after="0"/>
        <w:ind w:left="120"/>
        <w:jc w:val="center"/>
      </w:pPr>
      <w:r>
        <w:rPr>
          <w:rFonts w:ascii="Times New Roman" w:hAnsi="Times New Roman"/>
          <w:b w:val="false"/>
          <w:i w:val="false"/>
          <w:color w:val="000000"/>
          <w:sz w:val="21"/>
        </w:rPr>
        <w:t>[Filed 2/23/96, Notice 9/27/95—published 3/13/96, effective 4/17/96]</w:t>
      </w:r>
    </w:p>
    <w:p>
      <w:pPr>
        <w:spacing w:before="0" w:after="0"/>
        <w:ind w:left="120"/>
        <w:jc w:val="center"/>
      </w:pPr>
      <w:r>
        <w:rPr>
          <w:rFonts w:ascii="Times New Roman" w:hAnsi="Times New Roman"/>
          <w:b w:val="false"/>
          <w:i w:val="false"/>
          <w:color w:val="000000"/>
          <w:sz w:val="21"/>
        </w:rPr>
        <w:t>[Filed 2/23/96, Notice 1/3/96—published 3/13/96, effective 4/17/96]</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5/2/97, Notice 3/26/97—published 5/21/97, effective 6/25/97]</w:t>
      </w:r>
    </w:p>
    <w:p>
      <w:pPr>
        <w:spacing w:before="0" w:after="0"/>
        <w:ind w:left="120"/>
        <w:jc w:val="center"/>
      </w:pPr>
      <w:r>
        <w:rPr>
          <w:rFonts w:ascii="Times New Roman" w:hAnsi="Times New Roman"/>
          <w:b w:val="false"/>
          <w:i w:val="false"/>
          <w:color w:val="000000"/>
          <w:sz w:val="21"/>
        </w:rPr>
        <w:t>[Filed 2/2/98, Notice 11/5/97—published 2/25/98, effective 4/1/98]</w:t>
      </w:r>
    </w:p>
    <w:p>
      <w:pPr>
        <w:spacing w:before="0" w:after="0"/>
        <w:ind w:left="120"/>
        <w:jc w:val="center"/>
      </w:pPr>
      <w:r>
        <w:rPr>
          <w:rFonts w:ascii="Times New Roman" w:hAnsi="Times New Roman"/>
          <w:b w:val="false"/>
          <w:i w:val="false"/>
          <w:color w:val="000000"/>
          <w:sz w:val="21"/>
        </w:rPr>
        <w:t>[Filed 6/12/98, Notice 4/22/98—published 7/1/98, effective 8/5/98]</w:t>
      </w:r>
    </w:p>
    <w:p>
      <w:pPr>
        <w:spacing w:before="0" w:after="0"/>
        <w:ind w:left="120"/>
        <w:jc w:val="center"/>
      </w:pPr>
      <w:r>
        <w:rPr>
          <w:rFonts w:ascii="Times New Roman" w:hAnsi="Times New Roman"/>
          <w:b w:val="false"/>
          <w:i w:val="false"/>
          <w:color w:val="000000"/>
          <w:sz w:val="21"/>
        </w:rPr>
        <w:t>[Filed 2/5/99, Notice 12/2/98—published 2/24/99, effective 3/31/99]</w:t>
      </w:r>
    </w:p>
    <w:p>
      <w:pPr>
        <w:spacing w:before="0" w:after="0"/>
        <w:ind w:left="120"/>
        <w:jc w:val="center"/>
      </w:pPr>
      <w:r>
        <w:rPr>
          <w:rFonts w:ascii="Times New Roman" w:hAnsi="Times New Roman"/>
          <w:b w:val="false"/>
          <w:i w:val="false"/>
          <w:color w:val="000000"/>
          <w:sz w:val="21"/>
        </w:rPr>
        <w:t>[Filed 4/30/99, Notice 3/24/99—published 5/19/99, effective 7/1/99]</w:t>
      </w:r>
    </w:p>
    <w:p>
      <w:pPr>
        <w:spacing w:before="0" w:after="0"/>
        <w:ind w:left="120"/>
        <w:jc w:val="center"/>
      </w:pPr>
      <w:r>
        <w:rPr>
          <w:rFonts w:ascii="Times New Roman" w:hAnsi="Times New Roman"/>
          <w:b w:val="false"/>
          <w:i w:val="false"/>
          <w:color w:val="000000"/>
          <w:sz w:val="21"/>
        </w:rPr>
        <w:t>[Filed 11/10/99, Notice 9/22/99—published 12/1/99, effective 1/5/00]</w:t>
      </w:r>
    </w:p>
    <w:p>
      <w:pPr>
        <w:spacing w:before="0" w:after="0"/>
        <w:ind w:left="120"/>
        <w:jc w:val="center"/>
      </w:pPr>
      <w:r>
        <w:rPr>
          <w:rFonts w:ascii="Times New Roman" w:hAnsi="Times New Roman"/>
          <w:b w:val="false"/>
          <w:i w:val="false"/>
          <w:color w:val="000000"/>
          <w:sz w:val="21"/>
        </w:rPr>
        <w:t>[Filed 12/1/00, Notice 10/18/00—published 12/27/00, effective 1/31/01]</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6/6/02, Notice 3/6/02—published 6/26/02, effective 7/31/02]</w:t>
      </w:r>
    </w:p>
    <w:p>
      <w:pPr>
        <w:spacing w:before="0" w:after="0"/>
        <w:ind w:left="120"/>
        <w:jc w:val="center"/>
      </w:pPr>
      <w:r>
        <w:rPr>
          <w:rFonts w:ascii="Times New Roman" w:hAnsi="Times New Roman"/>
          <w:b w:val="false"/>
          <w:i w:val="false"/>
          <w:color w:val="000000"/>
          <w:sz w:val="21"/>
        </w:rPr>
        <w:t>[Filed 5/20/04, Notice 4/14/04—published 6/9/04, effective 7/14/04]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7/29/05, Notice 6/22/05—published 8/17/05, effective 9/21/05]</w:t>
      </w:r>
    </w:p>
    <w:p>
      <w:pPr>
        <w:spacing w:before="0" w:after="0"/>
        <w:ind w:left="120"/>
        <w:jc w:val="center"/>
      </w:pPr>
      <w:r>
        <w:rPr>
          <w:rFonts w:ascii="Times New Roman" w:hAnsi="Times New Roman"/>
          <w:b w:val="false"/>
          <w:i w:val="false"/>
          <w:color w:val="000000"/>
          <w:sz w:val="21"/>
        </w:rPr>
        <w:t>[Filed 6/27/06, Notice 2/15/06—published 7/19/06, effective 8/23/06]</w:t>
      </w:r>
    </w:p>
    <w:p>
      <w:pPr>
        <w:spacing w:before="0" w:after="0"/>
        <w:ind w:left="120"/>
        <w:jc w:val="center"/>
      </w:pPr>
      <w:r>
        <w:rPr>
          <w:rFonts w:ascii="Times New Roman" w:hAnsi="Times New Roman"/>
          <w:b w:val="false"/>
          <w:i w:val="false"/>
          <w:color w:val="000000"/>
          <w:sz w:val="21"/>
        </w:rPr>
        <w:t>[Filed emergency 8/17/06—published 9/13/06, effective 8/23/06]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9952B</w:t>
      </w:r>
      <w:r>
        <w:rPr>
          <w:rFonts w:ascii="Times New Roman" w:hAnsi="Times New Roman"/>
          <w:b w:val="false"/>
          <w:i w:val="false"/>
          <w:color w:val="000000"/>
          <w:sz w:val="21"/>
        </w:rPr>
        <w:t xml:space="preserve"> (Notice ARC 9807B, IAB 10/19/11)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2706C</w:t>
      </w:r>
      <w:r>
        <w:rPr>
          <w:rFonts w:ascii="Times New Roman" w:hAnsi="Times New Roman"/>
          <w:b w:val="false"/>
          <w:i w:val="false"/>
          <w:color w:val="000000"/>
          <w:sz w:val="21"/>
        </w:rPr>
        <w:t xml:space="preserve"> (Notice ARC 2610C, IAB 7/6/16)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135.204(10) [renumbered 12/4(10), IAC 5/4/88] delayed by the Administrative Rules Review Committee 70 days from November 2, 1983.</w:t>
      </w:r>
    </w:p>
    <w:p>
      <w:pPr>
        <w:pBdr>
          <w:bottom w:space="2"/>
        </w:pBdr>
        <w:spacing w:before="0" w:after="0"/>
        <w:ind w:left="120"/>
        <w:jc w:val="both"/>
      </w:pPr>
      <w:r>
        <w:rPr>
          <w:rFonts w:ascii="Times New Roman" w:hAnsi="Times New Roman"/>
          <w:b w:val="false"/>
          <w:i w:val="false"/>
          <w:color w:val="000000"/>
          <w:sz w:val="22"/>
        </w:rPr>
        <w:t>Effective date of rules 135.206, 135.207 and 135.208 [renumbered 12.6, 12.7 and 12.8, IAC 5/4/88] delayed by the Administrative Rules Review Committee 70 days from December 12, 1984. Delay lifted by committee on January 9, 1985.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ac/rule/653.25.10.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653.25.7.pdf" Type="http://schemas.openxmlformats.org/officeDocument/2006/relationships/hyperlink" Id="rId10"/>
    <Relationship TargetMode="External" Target="https://www.legis.iowa.gov/docs/iac/rule/653.25.23.pdf" Type="http://schemas.openxmlformats.org/officeDocument/2006/relationships/hyperlink" Id="rId11"/>
    <Relationship TargetMode="External" Target="https://www.legis.iowa.gov/docs/iac/rule/653.25.7.pdf" Type="http://schemas.openxmlformats.org/officeDocument/2006/relationships/hyperlink" Id="rId12"/>
    <Relationship TargetMode="External" Target="https://www.legis.iowa.gov/docs/iac/rule/653.25.7.pdf" Type="http://schemas.openxmlformats.org/officeDocument/2006/relationships/hyperlink" Id="rId13"/>
    <Relationship TargetMode="External" Target="https://www.legis.iowa.gov/docs/iac/rule/653.24.2.pdf" Type="http://schemas.openxmlformats.org/officeDocument/2006/relationships/hyperlink" Id="rId14"/>
    <Relationship TargetMode="External" Target="https://www.legis.iowa.gov/docs/ico/chapter/17A.17.pdf" Type="http://schemas.openxmlformats.org/officeDocument/2006/relationships/hyperlink" Id="rId15"/>
    <Relationship TargetMode="External" Target="https://www.legis.iowa.gov/docs/iac/rule/653.25.8.pdf" Type="http://schemas.openxmlformats.org/officeDocument/2006/relationships/hyperlink" Id="rId16"/>
    <Relationship TargetMode="External" Target="https://www.legis.iowa.gov/docs/iac/rule/653.25.21.pdf" Type="http://schemas.openxmlformats.org/officeDocument/2006/relationships/hyperlink" Id="rId17"/>
    <Relationship TargetMode="External" Target="https://www.legis.iowa.gov/docs/iac/rule/653.24.2.pdf" Type="http://schemas.openxmlformats.org/officeDocument/2006/relationships/hyperlink" Id="rId18"/>
    <Relationship TargetMode="External" Target="https://www.legis.iowa.gov/docs/iac/rule/653.25.8.pdf" Type="http://schemas.openxmlformats.org/officeDocument/2006/relationships/hyperlink" Id="rId19"/>
    <Relationship TargetMode="External" Target="https://www.legis.iowa.gov/docs/ico/chapter/17A.17.pdf" Type="http://schemas.openxmlformats.org/officeDocument/2006/relationships/hyperlink" Id="rId20"/>
    <Relationship TargetMode="External" Target="https://www.legis.iowa.gov/docs/ico/chapter/17A.16.pdf" Type="http://schemas.openxmlformats.org/officeDocument/2006/relationships/hyperlink" Id="rId21"/>
    <Relationship TargetMode="External" Target="https://www.legis.iowa.gov/docs/iac/rule/653.25.12.pdf" Type="http://schemas.openxmlformats.org/officeDocument/2006/relationships/hyperlink" Id="rId22"/>
    <Relationship TargetMode="External" Target="https://www.legis.iowa.gov/docs/iac/rule/653.24.2.pdf" Type="http://schemas.openxmlformats.org/officeDocument/2006/relationships/hyperlink" Id="rId23"/>
    <Relationship TargetMode="External" Target="https://www.legis.iowa.gov/docs/iac/rule/653.24.2.pdf" Type="http://schemas.openxmlformats.org/officeDocument/2006/relationships/hyperlink" Id="rId24"/>
    <Relationship TargetMode="External" Target="https://www.legis.iowa.gov/docs/ico/chapter/17A.17.pdf" Type="http://schemas.openxmlformats.org/officeDocument/2006/relationships/hyperlink" Id="rId25"/>
    <Relationship TargetMode="External" Target="https://www.legis.iowa.gov/docs/iac/rule/653.1.1.pdf" Type="http://schemas.openxmlformats.org/officeDocument/2006/relationships/hyperlink" Id="rId26"/>
    <Relationship TargetMode="External" Target="https://www.legis.iowa.gov/docs/ico/chapter/148.2A.pdf" Type="http://schemas.openxmlformats.org/officeDocument/2006/relationships/hyperlink" Id="rId27"/>
    <Relationship TargetMode="External" Target="https://www.legis.iowa.gov/docs/ico/chapter/148.7.pdf" Type="http://schemas.openxmlformats.org/officeDocument/2006/relationships/hyperlink" Id="rId28"/>
    <Relationship TargetMode="External" Target="https://www.legis.iowa.gov/docs/ico/chapter/148.pdf" Type="http://schemas.openxmlformats.org/officeDocument/2006/relationships/hyperlink" Id="rId29"/>
    <Relationship TargetMode="External" Target="https://www.legis.iowa.gov/docs/ico/chapter/272C.6.pdf" Type="http://schemas.openxmlformats.org/officeDocument/2006/relationships/hyperlink" Id="rId30"/>
    <Relationship TargetMode="External" Target="https://www.legis.iowa.gov/docs/iac/rule/653.25.24.pdf" Type="http://schemas.openxmlformats.org/officeDocument/2006/relationships/hyperlink" Id="rId31"/>
    <Relationship TargetMode="External" Target="https://www.legis.iowa.gov/docs/iac/rule/653.25.23.pdf" Type="http://schemas.openxmlformats.org/officeDocument/2006/relationships/hyperlink" Id="rId32"/>
    <Relationship TargetMode="External" Target="https://www.legis.iowa.gov/docs/iac/rule/653.25.27.pdf" Type="http://schemas.openxmlformats.org/officeDocument/2006/relationships/hyperlink" Id="rId33"/>
    <Relationship TargetMode="External" Target="https://www.legis.iowa.gov/docs/iac/rule/653.25.8.pdf" Type="http://schemas.openxmlformats.org/officeDocument/2006/relationships/hyperlink" Id="rId34"/>
    <Relationship TargetMode="External" Target="https://www.legis.iowa.gov/docs/iac/rule/653.25.11.pdf" Type="http://schemas.openxmlformats.org/officeDocument/2006/relationships/hyperlink" Id="rId35"/>
    <Relationship TargetMode="External" Target="https://www.legis.iowa.gov/docs/iac/rule/653.25.8.pdf" Type="http://schemas.openxmlformats.org/officeDocument/2006/relationships/hyperlink" Id="rId36"/>
    <Relationship TargetMode="External" Target="https://www.legis.iowa.gov/docs/iac/rule/653.25.16.pdf" Type="http://schemas.openxmlformats.org/officeDocument/2006/relationships/hyperlink" Id="rId37"/>
    <Relationship TargetMode="External" Target="https://www.legis.iowa.gov/docs/ico/chapter/17A.13.pdf" Type="http://schemas.openxmlformats.org/officeDocument/2006/relationships/hyperlink" Id="rId38"/>
    <Relationship TargetMode="External" Target="https://www.legis.iowa.gov/docs/iac/rule/653.25.11.pdf" Type="http://schemas.openxmlformats.org/officeDocument/2006/relationships/hyperlink" Id="rId39"/>
    <Relationship TargetMode="External" Target="https://www.legis.iowa.gov/docs/ico/chapter/148.2A.pdf" Type="http://schemas.openxmlformats.org/officeDocument/2006/relationships/hyperlink" Id="rId40"/>
    <Relationship TargetMode="External" Target="https://www.legis.iowa.gov/docs/iac/rule/653.25.24.pdf" Type="http://schemas.openxmlformats.org/officeDocument/2006/relationships/hyperlink" Id="rId41"/>
    <Relationship TargetMode="External" Target="https://www.legis.iowa.gov/docs/iac/rule/653.25.24.pdf" Type="http://schemas.openxmlformats.org/officeDocument/2006/relationships/hyperlink" Id="rId42"/>
    <Relationship TargetMode="External" Target="https://www.legis.iowa.gov/docs/iac/rule/653.25.25.pdf" Type="http://schemas.openxmlformats.org/officeDocument/2006/relationships/hyperlink" Id="rId43"/>
    <Relationship TargetMode="External" Target="https://www.legis.iowa.gov/docs/ico/chapter/272C.15.pdf" Type="http://schemas.openxmlformats.org/officeDocument/2006/relationships/hyperlink" Id="rId44"/>
    <Relationship TargetMode="External" Target="https://www.legis.iowa.gov/docs/iac/rule/653.9.3.pdf" Type="http://schemas.openxmlformats.org/officeDocument/2006/relationships/hyperlink" Id="rId45"/>
    <Relationship TargetMode="External" Target="https://www.legis.iowa.gov/docs/iac/rule/653.25.24.pdf" Type="http://schemas.openxmlformats.org/officeDocument/2006/relationships/hyperlink" Id="rId46"/>
    <Relationship TargetMode="External" Target="https://www.legis.iowa.gov/docs/iac/rule/653.25.26.pdf" Type="http://schemas.openxmlformats.org/officeDocument/2006/relationships/hyperlink" Id="rId47"/>
    <Relationship TargetMode="External" Target="https://www.legis.iowa.gov/docs/iac/rule/653.25.24.pdf" Type="http://schemas.openxmlformats.org/officeDocument/2006/relationships/hyperlink" Id="rId48"/>
    <Relationship TargetMode="External" Target="https://www.legis.iowa.gov/docs/ico/chapter/17A.19.pdf" Type="http://schemas.openxmlformats.org/officeDocument/2006/relationships/hyperlink" Id="rId49"/>
    <Relationship TargetMode="External" Target="https://www.legis.iowa.gov/docs/ico/chapter/17A.18A.pdf" Type="http://schemas.openxmlformats.org/officeDocument/2006/relationships/hyperlink" Id="rId50"/>
    <Relationship TargetMode="External" Target="https://www.legis.iowa.gov/docs/ico/chapter/70A.9.pdf" Type="http://schemas.openxmlformats.org/officeDocument/2006/relationships/hyperlink" Id="rId51"/>
    <Relationship TargetMode="External" Target="https://www.legis.iowa.gov/docs/ico/chapter/622.69.pdf" Type="http://schemas.openxmlformats.org/officeDocument/2006/relationships/hyperlink" Id="rId52"/>
    <Relationship TargetMode="External" Target="https://www.legis.iowa.gov/docs/ico/chapter/622.72.pdf" Type="http://schemas.openxmlformats.org/officeDocument/2006/relationships/hyperlink" Id="rId53"/>
    <Relationship TargetMode="External" Target="https://www.legis.iowa.gov/docs/iac/rule/653.25.33.pdf" Type="http://schemas.openxmlformats.org/officeDocument/2006/relationships/hyperlink" Id="rId54"/>
    <Relationship TargetMode="External" Target="https://www.legis.iowa.gov/docs/ico/chapter/272C.6.pdf" Type="http://schemas.openxmlformats.org/officeDocument/2006/relationships/hyperlink" Id="rId55"/>
    <Relationship TargetMode="External" Target="https://www.legis.iowa.gov/docs/ico/chapter/17A.12.pdf" Type="http://schemas.openxmlformats.org/officeDocument/2006/relationships/hyperlink" Id="rId56"/>
    <Relationship TargetMode="External" Target="https://www.legis.iowa.gov/docs/ico/chapter/622.69.pdf" Type="http://schemas.openxmlformats.org/officeDocument/2006/relationships/hyperlink" Id="rId57"/>
    <Relationship TargetMode="External" Target="https://www.legis.iowa.gov/docs/ico/chapter/625.2.pdf" Type="http://schemas.openxmlformats.org/officeDocument/2006/relationships/hyperlink" Id="rId58"/>
    <Relationship TargetMode="External" Target="https://www.legis.iowa.gov/docs/ico/chapter/622.72.pdf" Type="http://schemas.openxmlformats.org/officeDocument/2006/relationships/hyperlink" Id="rId59"/>
    <Relationship TargetMode="External" Target="https://www.legis.iowa.gov/docs/ico/chapter/625.2.pdf" Type="http://schemas.openxmlformats.org/officeDocument/2006/relationships/hyperlink" Id="rId60"/>
    <Relationship TargetMode="External" Target="https://www.legis.iowa.gov/docs/ico/chapter/622.74.pdf" Type="http://schemas.openxmlformats.org/officeDocument/2006/relationships/hyperlink" Id="rId61"/>
    <Relationship TargetMode="External" Target="https://www.legis.iowa.gov/docs/ico/chapter/272C.9.pdf" Type="http://schemas.openxmlformats.org/officeDocument/2006/relationships/hyperlink" Id="rId62"/>
    <Relationship TargetMode="External" Target="https://www.legis.iowa.gov/docs/ico/chapter/17A.16.pdf" Type="http://schemas.openxmlformats.org/officeDocument/2006/relationships/hyperlink" Id="rId63"/>
    <Relationship TargetMode="External" Target="https://www.legis.iowa.gov/docs/ico/chapter/8.2.pdf" Type="http://schemas.openxmlformats.org/officeDocument/2006/relationships/hyperlink" Id="rId64"/>
    <Relationship TargetMode="External" Target="https://www.legis.iowa.gov/docs/ico/chapter/17A.pdf" Type="http://schemas.openxmlformats.org/officeDocument/2006/relationships/hyperlink" Id="rId65"/>
    <Relationship TargetMode="External" Target="https://www.legis.iowa.gov/docs/ico/chapter/147.pdf" Type="http://schemas.openxmlformats.org/officeDocument/2006/relationships/hyperlink" Id="rId66"/>
    <Relationship TargetMode="External" Target="https://www.legis.iowa.gov/docs/ico/chapter/148.pdf" Type="http://schemas.openxmlformats.org/officeDocument/2006/relationships/hyperlink" Id="rId67"/>
    <Relationship TargetMode="External" Target="https://www.legis.iowa.gov/docs/ico/chapter/272C.pdf" Type="http://schemas.openxmlformats.org/officeDocument/2006/relationships/hyperlink" Id="rId6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