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LICENSURE OF GENETIC COUNSELORS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653—20.1</w:t>
      </w:r>
      <w:r>
        <w:rPr>
          <w:rFonts w:ascii="Times New Roman" w:hAnsi="Times New Roman"/>
          <w:b/>
          <w:i w:val="false"/>
          <w:color w:val="000000"/>
          <w:sz w:val="22"/>
        </w:rPr>
        <w:t xml:space="preserve">(148H)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licensure of genetic counselors is established to ensure that practitioners are qualified to provide to Iowans genetic counseling with reasonable skill and safety. The provisions of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authorize the board of medicine to establish eligibility requirements for licensure, evaluate the credentials of applicants for licensure, issue licenses to qualified applicants, institute continuing education requirements, investigate complaints and reports alleging that licensed genetic counselors have violated statutes and rules governing the practice of genetic counseling, make available participation in the Iowa physician health program, and discipline licensed genetic counselors found guilty of infractions as provided in state law and board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653—20.2</w:t>
      </w:r>
      <w:r>
        <w:rPr>
          <w:rFonts w:ascii="Times New Roman" w:hAnsi="Times New Roman"/>
          <w:b/>
          <w:i w:val="false"/>
          <w:color w:val="000000"/>
          <w:sz w:val="22"/>
        </w:rPr>
        <w:t xml:space="preserve">(148H)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This chapter shall not be construed to apply to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physician or surgeon or an osteopathic physician or surgeon licensed under Iowa Code chapter </w:t>
      </w:r>
      <w:hyperlink r:id="rId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 registered nurse or an advanced registered nurse practitioner licensed under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 physician assistant licensed under Iowa Code chapter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other persons licensed under Iowa Code chapter </w:t>
      </w:r>
      <w:hyperlink r:id="rId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when acting within the scope of the person’s profession and doing work of a nature consistent with the person’s education and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person who is certified by the American Board of Medical Genetics and Genomics as a doctor of philosophy and is not a genetic counselor licensed pursuant to Iowa Code chapter </w:t>
      </w:r>
      <w:hyperlink r:id="rId12">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employed as a genetic counselor by the federal government or an agency thereof if the person provides genetic counseling services solely under the direction and control of the entity by which the person is employed.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genetic counseling 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653—20.3</w:t>
      </w:r>
      <w:r>
        <w:rPr>
          <w:rFonts w:ascii="Times New Roman" w:hAnsi="Times New Roman"/>
          <w:b/>
          <w:i w:val="false"/>
          <w:color w:val="000000"/>
          <w:sz w:val="22"/>
        </w:rPr>
        <w:t xml:space="preserve">(148H)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candidate status” </w:t>
      </w:r>
      <w:r>
        <w:rPr>
          <w:rFonts w:ascii="Times New Roman" w:hAnsi="Times New Roman"/>
          <w:b w:val="false"/>
          <w:i w:val="false"/>
          <w:color w:val="000000"/>
          <w:sz w:val="22"/>
        </w:rPr>
        <w:t>means a person has met the requirements established by the American Board of Genetic Counseling to take the American Board of Genetic Counseling certification examination in general genetics and genetic counseling and has been granted this designation by the American Board of Genetic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 Board of Genetic Counseling”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“ABGC” </w:t>
      </w:r>
      <w:r>
        <w:rPr>
          <w:rFonts w:ascii="Times New Roman" w:hAnsi="Times New Roman"/>
          <w:b w:val="false"/>
          <w:i w:val="false"/>
          <w:color w:val="000000"/>
          <w:sz w:val="22"/>
        </w:rPr>
        <w:t>means the United States-based commission, or its equivalent or successor organization, that validates entry-level competency in the practice of genetic counseling through professional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“American Board of Medical Genetics and Genomics”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“ABMGG” </w:t>
      </w:r>
      <w:r>
        <w:rPr>
          <w:rFonts w:ascii="Times New Roman" w:hAnsi="Times New Roman"/>
          <w:b w:val="false"/>
          <w:i w:val="false"/>
          <w:color w:val="000000"/>
          <w:sz w:val="22"/>
        </w:rPr>
        <w:t>means the United States-based commission, or its equivalent or successor organization, that validates entry-level competency in the practice of genetic counseling through professional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“Genetic counseling” </w:t>
      </w:r>
      <w:r>
        <w:rPr>
          <w:rFonts w:ascii="Times New Roman" w:hAnsi="Times New Roman"/>
          <w:b w:val="false"/>
          <w:i w:val="false"/>
          <w:color w:val="000000"/>
          <w:sz w:val="22"/>
        </w:rPr>
        <w:t xml:space="preserve">means the provision of services by a person who qualifies for a license under Iowa Code chapter </w:t>
      </w:r>
      <w:hyperlink r:id="rId13">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“Genetic counseling intern” </w:t>
      </w:r>
      <w:r>
        <w:rPr>
          <w:rFonts w:ascii="Times New Roman" w:hAnsi="Times New Roman"/>
          <w:b w:val="false"/>
          <w:i w:val="false"/>
          <w:color w:val="000000"/>
          <w:sz w:val="22"/>
        </w:rPr>
        <w:t>means a student enrolled in a genetic counseling program accredited by the accreditation council for genetic counseling or the American Board of Medical Genetics and Genomics.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“Genetic counselor” </w:t>
      </w:r>
      <w:r>
        <w:rPr>
          <w:rFonts w:ascii="Times New Roman" w:hAnsi="Times New Roman"/>
          <w:b w:val="false"/>
          <w:i w:val="false"/>
          <w:color w:val="000000"/>
          <w:sz w:val="22"/>
        </w:rPr>
        <w:t xml:space="preserve">means a person who is licensed under Iowa Code chapter </w:t>
      </w:r>
      <w:hyperlink r:id="rId14">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to engage in the practice of genetic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supervisor” </w:t>
      </w:r>
      <w:r>
        <w:rPr>
          <w:rFonts w:ascii="Times New Roman" w:hAnsi="Times New Roman"/>
          <w:b w:val="false"/>
          <w:i w:val="false"/>
          <w:color w:val="000000"/>
          <w:sz w:val="22"/>
        </w:rPr>
        <w:t xml:space="preserve">means any person who is a genetic counselor licensed under Iowa Code chapter </w:t>
      </w:r>
      <w:hyperlink r:id="rId15">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a physician licensed under Iowa Code chapter </w:t>
      </w:r>
      <w:hyperlink r:id="rId1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or an advanced registered nurse practitioner licensed under Iowa Code chapter </w:t>
      </w:r>
      <w:hyperlink r:id="rId1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supervision by a qualified supervisor who has the overall responsibility of assessing the work of a provisional licensee, provided that an annual supervision contract signed by the qualified supervisor and the provisional licensee is on file with both parties. “Supervision” does not require the qualified supervisor’s presence during the performance of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653—20.4</w:t>
      </w:r>
      <w:r>
        <w:rPr>
          <w:rFonts w:ascii="Times New Roman" w:hAnsi="Times New Roman"/>
          <w:b/>
          <w:i w:val="false"/>
          <w:color w:val="000000"/>
          <w:sz w:val="22"/>
        </w:rPr>
        <w:t xml:space="preserve">(148H) </w:t>
      </w:r>
      <w:r>
        <w:rPr>
          <w:rFonts w:ascii="Times New Roman" w:hAnsi="Times New Roman"/>
          <w:b/>
          <w:i w:val="false"/>
          <w:color w:val="000000"/>
          <w:sz w:val="22"/>
        </w:rPr>
        <w:t xml:space="preserve">Scope of practice. </w:t>
      </w:r>
      <w:r>
        <w:rPr>
          <w:rFonts w:ascii="Times New Roman" w:hAnsi="Times New Roman"/>
          <w:b w:val="false"/>
          <w:i w:val="false"/>
          <w:color w:val="000000"/>
          <w:sz w:val="22"/>
        </w:rPr>
        <w:t xml:space="preserve">A person licensed pursuant to Iowa Code chapter </w:t>
      </w:r>
      <w:hyperlink r:id="rId18">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may do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Obtain and evaluate individual, family, and medical histories to determine genetic risk for genetic and medical conditions and diseases in a patient, the patient’s offspring, and other family members.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Discuss the features, history, means of diagnosis, genetic and environmental factors, and management of risk for genetic and medical conditions and diseases.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Identify, order, and coordinate genetic laboratory tests and other diagnostic studies as appropriate for the genetic assessment of a patient.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Refer a patient to a specialty or subspecialty department as necessary for the purpose of collaborating on diagnosis and treatment involving multiple body systems and general medical management.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Integrate genetic laboratory test results and other diagnostic studies with personal and family medical history to assess and communicate risk factors for genetic and medical conditions and diseases.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Explain the clinical implications of genetic laboratory tests and other diagnostic studies and their results.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Evaluate the responses of a patient or patient’s family to the condition or risk of recurrence and provide patient-centered genetic counseling and anticipatory guidance.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Identify and utilize community resources that provide medical, educational, financial, and psychosocial support and advocacy.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Provide written documentation of medical, genetic, and counseling information for families and health care professionals.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653—20.5</w:t>
      </w:r>
      <w:r>
        <w:rPr>
          <w:rFonts w:ascii="Times New Roman" w:hAnsi="Times New Roman"/>
          <w:b/>
          <w:i w:val="false"/>
          <w:color w:val="000000"/>
          <w:sz w:val="22"/>
        </w:rPr>
        <w:t xml:space="preserve">(148H) </w:t>
      </w:r>
      <w:r>
        <w:rPr>
          <w:rFonts w:ascii="Times New Roman" w:hAnsi="Times New Roman"/>
          <w:b/>
          <w:i w:val="false"/>
          <w:color w:val="000000"/>
          <w:sz w:val="22"/>
        </w:rPr>
        <w:t xml:space="preserve">Titles used. </w:t>
      </w:r>
      <w:r>
        <w:rPr>
          <w:rFonts w:ascii="Times New Roman" w:hAnsi="Times New Roman"/>
          <w:b w:val="false"/>
          <w:i w:val="false"/>
          <w:color w:val="000000"/>
          <w:sz w:val="22"/>
        </w:rPr>
        <w:t xml:space="preserve">A genetic counselor licensed under Iowa Code chapter </w:t>
      </w:r>
      <w:hyperlink r:id="rId19">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may use the words “genetic counselor” or “licensed genetic counselor” or the corresponding abbreviation “LGC” after the person’s name. Persons who possess a provisional license shall add the designation “provisional licensed genetic counselor.”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653—20.6</w:t>
      </w:r>
      <w:r>
        <w:rPr>
          <w:rFonts w:ascii="Times New Roman" w:hAnsi="Times New Roman"/>
          <w:b/>
          <w:i w:val="false"/>
          <w:color w:val="000000"/>
          <w:sz w:val="22"/>
        </w:rPr>
        <w:t xml:space="preserve">(148H) </w:t>
      </w:r>
      <w:r>
        <w:rPr>
          <w:rFonts w:ascii="Times New Roman" w:hAnsi="Times New Roman"/>
          <w:b/>
          <w:i w:val="false"/>
          <w:color w:val="000000"/>
          <w:sz w:val="22"/>
        </w:rPr>
        <w:t xml:space="preserve">Qualifications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for licensure under Iowa Code chapter </w:t>
      </w:r>
      <w:hyperlink r:id="rId20">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form and supporting documentation as prescribed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active certification as a genetic counselor by the American Board of Genetic Counseling, as a genetic counselor by the American Board of Medical Genetics and Genomics, or as a medical geneticist by the American Board of Medical Genetics and Genomics, or the successor to any of the aforementioned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active certification as a genetic counselor by the American Board of Genetic Counseling, as a genetic counselor by the American Board of Medical Genetics and Genomics, or as a medical geneticist by the American Board of Medical Genetics and Genomics, or the successor to any of the aforementioned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an applicant a license due to the commission of a disqualifying offense, as provided in </w:t>
      </w:r>
      <w:hyperlink r:id="rId21">
        <w:r>
          <w:rPr>
            <w:rStyle w:val="Hyperlink"/>
            <w:rFonts w:ascii="Times New Roman" w:hAnsi="Times New Roman"/>
            <w:b w:val="false"/>
            <w:i w:val="false"/>
            <w:color w:val="000000"/>
            <w:sz w:val="22"/>
          </w:rPr>
          <w:t>653—subrule 9.3(3)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5749C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653—20.7</w:t>
      </w:r>
      <w:r>
        <w:rPr>
          <w:rFonts w:ascii="Times New Roman" w:hAnsi="Times New Roman"/>
          <w:b/>
          <w:i w:val="false"/>
          <w:color w:val="000000"/>
          <w:sz w:val="22"/>
        </w:rPr>
        <w:t xml:space="preserve">(148H) </w:t>
      </w:r>
      <w:r>
        <w:rPr>
          <w:rFonts w:ascii="Times New Roman" w:hAnsi="Times New Roman"/>
          <w:b/>
          <w:i w:val="false"/>
          <w:color w:val="000000"/>
          <w:sz w:val="22"/>
        </w:rPr>
        <w:t xml:space="preserve">Qualifications for provisional licensure. </w:t>
      </w:r>
      <w:r>
        <w:rPr>
          <w:rFonts w:ascii="Times New Roman" w:hAnsi="Times New Roman"/>
          <w:b w:val="false"/>
          <w:i w:val="false"/>
          <w:color w:val="000000"/>
          <w:sz w:val="22"/>
        </w:rPr>
        <w:t>The board may issue a provisional license to an applicant who meets all of the requirements for licensure except for the certification component and who has been granted active candidate status by the American Board of Genetic Counseling or the American Board of Medical Genetics and Genomics.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provisional license application form, proof of active candidate status, and supporting documentation prescribed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val="false"/>
          <w:color w:val="000000"/>
          <w:sz w:val="22"/>
        </w:rPr>
        <w:t>A provisional license shall expire and become inactive upon the earliest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license as a genetic counselor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Loss of active candidate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holding a provisional license which is inactive due to loss of active candidate status may submit an application for reactivation of the provisional license upon demonstrating that active candidate status has been reestablished.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extension of a provisional license shall be signed by a qualified supervisor.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printed on the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20.7(3)</w:t>
      </w:r>
      <w:r>
        <w:rPr>
          <w:rFonts w:ascii="Times New Roman" w:hAnsi="Times New Roman"/>
          <w:b w:val="false"/>
          <w:i w:val="false"/>
          <w:color w:val="000000"/>
          <w:sz w:val="22"/>
        </w:rPr>
        <w:t> </w:t>
      </w:r>
      <w:r>
        <w:rPr>
          <w:rFonts w:ascii="Times New Roman" w:hAnsi="Times New Roman"/>
          <w:b w:val="false"/>
          <w:i w:val="false"/>
          <w:color w:val="000000"/>
          <w:sz w:val="22"/>
        </w:rPr>
        <w:t>A person with a provisional license shall work at all times under the supervision of a qualified supervisor.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653—20.8</w:t>
      </w:r>
      <w:r>
        <w:rPr>
          <w:rFonts w:ascii="Times New Roman" w:hAnsi="Times New Roman"/>
          <w:b/>
          <w:i w:val="false"/>
          <w:color w:val="000000"/>
          <w:sz w:val="22"/>
        </w:rPr>
        <w:t xml:space="preserve">(147,148H)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genetic counseling,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provided by the board,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nonrefundable initial application fee identified in 653—paragraph 8.14(2)</w:t>
      </w:r>
      <w:r>
        <w:rPr>
          <w:rFonts w:ascii="Times New Roman" w:hAnsi="Times New Roman"/>
          <w:b w:val="false"/>
          <w:i/>
          <w:color w:val="000000"/>
          <w:sz w:val="22"/>
        </w:rPr>
        <w:t>“a”</w:t>
      </w:r>
      <w:r>
        <w:rPr>
          <w:rFonts w:ascii="Times New Roman" w:hAnsi="Times New Roman"/>
          <w:b w:val="false"/>
          <w:i w:val="false"/>
          <w:color w:val="000000"/>
          <w:sz w:val="22"/>
        </w:rPr>
        <w:t xml:space="preserve"> and pay the fee identified in 653—paragraph 8.14(2)</w:t>
      </w:r>
      <w:r>
        <w:rPr>
          <w:rFonts w:ascii="Times New Roman" w:hAnsi="Times New Roman"/>
          <w:b w:val="false"/>
          <w:i/>
          <w:color w:val="000000"/>
          <w:sz w:val="22"/>
        </w:rPr>
        <w:t>“f”</w:t>
      </w:r>
      <w:r>
        <w:rPr>
          <w:rFonts w:ascii="Times New Roman" w:hAnsi="Times New Roman"/>
          <w:b w:val="false"/>
          <w:i w:val="false"/>
          <w:color w:val="000000"/>
          <w:sz w:val="22"/>
        </w:rPr>
        <w:t xml:space="preserve"> for the evaluation of the fingerprint packet and the national criminal history background checks by the Iowa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photograph of the applicant suitable for positive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 genetic counseling training program or educational institution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genetic counseling, including license, certificate of registration or certification number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such as letters of warning, letters of education, any confidential retraining, or any kind of confidential action taken toward a genetic counselor’s certification or license which is not public discipline;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physical and mental health, including full disclosure and a written explanation of any dysfunction or impairment which may affect the ability of the applicant to engage in the practice of genetic counseling and provide patients with safe and healthful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If the applicant does not submit all materials, including a completed fingerprint packet, within 90 days of the board’s initial request for further information, the application shall be considered inactive. The board office shall notify the applicant of this change in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reactivate the application, an applicant shall submit a nonrefundable reactivation of application fee identified in 653—paragraph 8.14(2)</w:t>
      </w:r>
      <w:r>
        <w:rPr>
          <w:rFonts w:ascii="Times New Roman" w:hAnsi="Times New Roman"/>
          <w:b w:val="false"/>
          <w:i/>
          <w:color w:val="000000"/>
          <w:sz w:val="22"/>
        </w:rPr>
        <w:t>“b”</w:t>
      </w:r>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an applicant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genetic counseling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Paying all fees charged by regulatory authorities, national certifying organizations, health facilities, and educational institutions providing the information specified in subrule 20.8(2);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accurate, up-to-date, and truthful information on the application form including, but not limited to, that specified under subrule 20.8(2) related to prior professional experience, education, training, active certification, licensure, and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20.8(5)</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A process established by the board shall be utilized to review each application. Priority shall be given to processing a licensure application when a written request is received in the board office from an applicant whose practice will primarily involve provision of services to underserved populations, including but not limited to persons who are minorities or low-income or who live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licensure shall be considered open from the date the application form is received in the board office with the nonrefundable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about how to resolve any problems identified by the reviewer. An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that the application is complete and that the application does not raise any questions or concerns regarding the applicant’s qualifications for licensure, staff may administratively issue the license. Staff may issue the license without having received a report on the applicant from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the director of licensure and the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issue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are questions or concerns, an Iowa-licensed genetic counselor may be consulted.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any concern exists, staff shall refer the application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which include, but are not limited to, falsification of information on the application, criminal record, malpractice, substance abuse, competency, physical or mental illness, or 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issue the license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and after consultation with an Iowa-licensed genetic counselor,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the field of genetic counseling or precision medicine in the past three years in any jurisdiction of the United States, the board may, after consultation with an Iowa-licensed genetic counselor,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board-approved continuing education or remediation;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board-approved employment-based monitoring program developed by the genetic counselor’s employer, an Iowa-licensed genetic counselor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If the genetic counselor is employed or has an offer of employment, successfully complete any other pathway as agreed upon by the board and the genetic counselor’s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the field of genetic counseling or precision medicine in the past three years in any jurisdiction of the United States, the board may, after consultation with an Iowa-licensed genetic counselor,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board-approved continuing education or remediation;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board-approved employment-based monitoring program developed by the genetic counselor’s employer, an Iowa-licensed genetic counselor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If the genetic counselor is employed or has an offer of employment, successfully complete any other pathway as agreed upon by the board and the genetic counselor’s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 The board may deny a license for any grounds on which the board may discipline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20.8(6)</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and after consultation with an Iowa-licensed genetic counselor,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this chapter pursuant to Iowa Code section </w:t>
      </w:r>
      <w:hyperlink r:id="rId22">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24">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 xml:space="preserve"> or in rule 653—20.20(147,148H,272C).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20.8(7)</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shall issue a preliminary notice of denial that shall be sent to the applicant by regular, first-class mail at the address provided by the applicant. The preliminary notice of denial is a public record and shall cite the factual and legal basis for denying the application, notify the applicant of the appeal process, and specify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20.8(8)</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 xml:space="preserve">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shall consider the postmark date as the date the request is filed. The request shall specify the factual or legal errors and that the applicant desires an evidentiary hearing and may provide additional written information or documents in support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20.8(9)</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If an applicant appeals the preliminary notice of denial and requests a hearing, the hearing shall be a contested case and subsequent proceedings shall be conducted in accordance with rule 653—25.30(17A).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denial hearings are contested cases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party may request issuance of a protective order in the event privileged or confidential information is submitted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supporting the denial of the license may be presented by an assistant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While each party shall have the burden of establishing the affirmative of matters asserted, the applicant shall have the ultimate burden of persuasion as to the applicant’s qualification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after a hearing on license denial, may issue or deny the license. The board shall state the reasons for its decision and may issue the license, issue the license with restrictions, or deny the license. The final decision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denying licensure, or issuing a license with restrictions, may be sought in accordance with the provisions of Iowa Code section </w:t>
      </w:r>
      <w:hyperlink r:id="rId2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any agency’s final decision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20.8(10)</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If an applicant does not appeal a preliminary notice of denial in accordance with subrule 20.8(8),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20.8(11)</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If an applicant appeals a preliminary notice of denial in accordance with subrule 20.8(8)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shall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27">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4468C</w:t>
      </w:r>
      <w:r>
        <w:rPr>
          <w:rFonts w:ascii="Times New Roman" w:hAnsi="Times New Roman"/>
          <w:b w:val="false"/>
          <w:i w:val="false"/>
          <w:color w:val="000000"/>
          <w:sz w:val="16"/>
        </w:rPr>
        <w:t>, IAB 6/5/19,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4728C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653—20.9</w:t>
      </w:r>
      <w:r>
        <w:rPr>
          <w:rFonts w:ascii="Times New Roman" w:hAnsi="Times New Roman"/>
          <w:b/>
          <w:i w:val="false"/>
          <w:color w:val="000000"/>
          <w:sz w:val="22"/>
        </w:rPr>
        <w:t xml:space="preserve">(147,148H) </w:t>
      </w:r>
      <w:r>
        <w:rPr>
          <w:rFonts w:ascii="Times New Roman" w:hAnsi="Times New Roman"/>
          <w:b/>
          <w:i w:val="false"/>
          <w:color w:val="000000"/>
          <w:sz w:val="22"/>
        </w:rPr>
        <w:t xml:space="preserve">Display of license and notification required to change the board’s data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Display of license. </w:t>
      </w:r>
      <w:r>
        <w:rPr>
          <w:rFonts w:ascii="Times New Roman" w:hAnsi="Times New Roman"/>
          <w:b w:val="false"/>
          <w:i w:val="false"/>
          <w:color w:val="000000"/>
          <w:sz w:val="22"/>
        </w:rPr>
        <w:t>Licensed genetic counselors shall display the license issued by the board in a conspicuous place in their primary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Licensees shall notify the board within one month of a change in home address, address of the place of practice, home or practice telephone number, or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Change of full legal name. </w:t>
      </w:r>
      <w:r>
        <w:rPr>
          <w:rFonts w:ascii="Times New Roman" w:hAnsi="Times New Roman"/>
          <w:b w:val="false"/>
          <w:i w:val="false"/>
          <w:color w:val="000000"/>
          <w:sz w:val="22"/>
        </w:rPr>
        <w:t>A licensee shall notify the board of any change in the licensee’s full legal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licensee’s file shall be closed and labeled “deceased” when the board receives a copy of the licensee’s death certificate or other reliable information of the licensee’s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653—20.10</w:t>
      </w:r>
      <w:r>
        <w:rPr>
          <w:rFonts w:ascii="Times New Roman" w:hAnsi="Times New Roman"/>
          <w:b/>
          <w:i w:val="false"/>
          <w:color w:val="000000"/>
          <w:sz w:val="22"/>
        </w:rPr>
        <w:t xml:space="preserve">(147,148H,272C) </w:t>
      </w:r>
      <w:r>
        <w:rPr>
          <w:rFonts w:ascii="Times New Roman" w:hAnsi="Times New Roman"/>
          <w:b/>
          <w:i w:val="false"/>
          <w:color w:val="000000"/>
          <w:sz w:val="22"/>
        </w:rPr>
        <w:t xml:space="preserve">Biennial renewal of license required. </w:t>
      </w: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148H.3</w:t>
        </w:r>
      </w:hyperlink>
      <w:r>
        <w:rPr>
          <w:rFonts w:ascii="Times New Roman" w:hAnsi="Times New Roman"/>
          <w:b w:val="false"/>
          <w:i w:val="false"/>
          <w:color w:val="000000"/>
          <w:sz w:val="22"/>
        </w:rPr>
        <w:t>, a license expires on October 31 of odd-numbered years and can be renewed for the fee identified in 653—paragraph 8.14(2)</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w:t>
      </w:r>
      <w:r>
        <w:rPr>
          <w:rFonts w:ascii="Times New Roman" w:hAnsi="Times New Roman"/>
          <w:b w:val="false"/>
          <w:i w:val="false"/>
          <w:color w:val="000000"/>
          <w:sz w:val="22"/>
        </w:rPr>
        <w:t> </w:t>
      </w:r>
      <w:r>
        <w:rPr>
          <w:rFonts w:ascii="Times New Roman" w:hAnsi="Times New Roman"/>
          <w:b w:val="false"/>
          <w:i w:val="false"/>
          <w:color w:val="000000"/>
          <w:sz w:val="22"/>
        </w:rPr>
        <w:t>The applicant for renewal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renewal application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that the applicant holds active certification in genetic counseling by the ABGC or ABMGG for genetic counselor licensure or a letter sent directly from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to the board that in the period since the license was issued or last renewed, the applicant has completed 30 hours of National Society of Genetic Counselors or ABMGG continuing education units 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20.10(2)</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Certificates of licensure to practice genetic counseling shall expire on October 31 in odd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w:t>
      </w:r>
      <w:r>
        <w:rPr>
          <w:rFonts w:ascii="Times New Roman" w:hAnsi="Times New Roman"/>
          <w:b w:val="false"/>
          <w:i w:val="false"/>
          <w:color w:val="000000"/>
          <w:sz w:val="22"/>
        </w:rPr>
        <w:t> </w:t>
      </w:r>
      <w:r>
        <w:rPr>
          <w:rFonts w:ascii="Times New Roman" w:hAnsi="Times New Roman"/>
          <w:b w:val="false"/>
          <w:i/>
          <w:color w:val="000000"/>
          <w:sz w:val="22"/>
        </w:rPr>
        <w:t xml:space="preserve">Prorated fees. </w:t>
      </w:r>
      <w:r>
        <w:rPr>
          <w:rFonts w:ascii="Times New Roman" w:hAnsi="Times New Roman"/>
          <w:b w:val="false"/>
          <w:i w:val="false"/>
          <w:color w:val="000000"/>
          <w:sz w:val="22"/>
        </w:rPr>
        <w:t>The first renewal fee for a license shall be prorated on a monthly basis according to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20.10(4)</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and penalties for late renewal. </w:t>
      </w:r>
      <w:r>
        <w:rPr>
          <w:rFonts w:ascii="Times New Roman" w:hAnsi="Times New Roman"/>
          <w:b w:val="false"/>
          <w:i w:val="false"/>
          <w:color w:val="000000"/>
          <w:sz w:val="22"/>
        </w:rPr>
        <w:t>Each licensee shall be sent a renewal notice at least 60 days prior to the expiration date. The licensee is responsible for renewing the license prior to its expiration. Failure of the licensee to receive the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online renewal is used, the licensee must complete the online renewal prior to midnight on December 31 in order to ensure that the license will not become inactive. The license becomes inactive and invalid at 12:01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completed renewal application, staff shall administratively issue a license that expires on October 31 of odd-numbered years. In the event the board receives adverse information on the renewal application, the board shall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renewal shall be displayed in connection with the original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licensee fails to submit the renewal application and renewal fee prior to the expiration date on the current license, a penalty fee identified in 653—paragraph 8.14(2)</w:t>
      </w:r>
      <w:r>
        <w:rPr>
          <w:rFonts w:ascii="Times New Roman" w:hAnsi="Times New Roman"/>
          <w:b w:val="false"/>
          <w:i/>
          <w:color w:val="000000"/>
          <w:sz w:val="22"/>
        </w:rPr>
        <w:t>“d”</w:t>
      </w:r>
      <w:r>
        <w:rPr>
          <w:rFonts w:ascii="Times New Roman" w:hAnsi="Times New Roman"/>
          <w:b w:val="false"/>
          <w:i w:val="false"/>
          <w:color w:val="000000"/>
          <w:sz w:val="22"/>
        </w:rPr>
        <w:t xml:space="preserve"> shall be assessed for renewal in the grace period, a period up until January 1 when the license becomes inactive if not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20.10(5)</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Failure of a licensee to renew by January 1 will result in invalidation of the license, and the license will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are prohibited from engaging in the practice of genetic counseling once the license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genetic counselor license in inactive status does not preclude the board from taking disciplinary actions authorized in Iowa Code section </w:t>
      </w:r>
      <w:hyperlink r:id="rId29">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4468C</w:t>
      </w:r>
      <w:r>
        <w:rPr>
          <w:rFonts w:ascii="Times New Roman" w:hAnsi="Times New Roman"/>
          <w:b w:val="false"/>
          <w:i w:val="false"/>
          <w:color w:val="000000"/>
          <w:sz w:val="16"/>
        </w:rPr>
        <w:t>, IAB 6/5/19,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4728C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653—20.11</w:t>
      </w:r>
      <w:r>
        <w:rPr>
          <w:rFonts w:ascii="Times New Roman" w:hAnsi="Times New Roman"/>
          <w:b/>
          <w:i w:val="false"/>
          <w:color w:val="000000"/>
          <w:sz w:val="22"/>
        </w:rPr>
        <w:t xml:space="preserve">(147,272C) </w:t>
      </w:r>
      <w:r>
        <w:rPr>
          <w:rFonts w:ascii="Times New Roman" w:hAnsi="Times New Roman"/>
          <w:b/>
          <w:i w:val="false"/>
          <w:color w:val="000000"/>
          <w:sz w:val="22"/>
        </w:rPr>
        <w:t xml:space="preserve">Reinstatement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color w:val="000000"/>
          <w:sz w:val="22"/>
        </w:rPr>
        <w:t xml:space="preserve">Reinstatement requirements. </w:t>
      </w:r>
      <w:r>
        <w:rPr>
          <w:rFonts w:ascii="Times New Roman" w:hAnsi="Times New Roman"/>
          <w:b w:val="false"/>
          <w:i w:val="false"/>
          <w:color w:val="000000"/>
          <w:sz w:val="22"/>
        </w:rPr>
        <w:t xml:space="preserve">Licensees who allow their licenses to go inactive by failing to renew may apply for reinstatement of a license. Pursuant to Iowa Code section </w:t>
      </w:r>
      <w:hyperlink r:id="rId31">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reinstatement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upon forms provided by the board a completed application for reinstatement of a license to practice genetic counseling.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genetic counseling in any jurisdiction of the United States or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genetic counseling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of the applicant’s physical and mental health, including full disclosure and a written explanation of any dysfunction or impairment which may affect the ability of the applicant to engage in practice and provide patients with safe and healthful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completed fingerprint packet to facilitate a national criminal history background check. The fee identified in 653—paragraph 8.14(2)</w:t>
      </w:r>
      <w:r>
        <w:rPr>
          <w:rFonts w:ascii="Times New Roman" w:hAnsi="Times New Roman"/>
          <w:b w:val="false"/>
          <w:i/>
          <w:color w:val="000000"/>
          <w:sz w:val="22"/>
        </w:rPr>
        <w:t>“f”</w:t>
      </w:r>
      <w:r>
        <w:rPr>
          <w:rFonts w:ascii="Times New Roman" w:hAnsi="Times New Roman"/>
          <w:b w:val="false"/>
          <w:i w:val="false"/>
          <w:color w:val="000000"/>
          <w:sz w:val="22"/>
        </w:rPr>
        <w:t xml:space="preserv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identified in 653—paragraph 8.14(2)</w:t>
      </w:r>
      <w:r>
        <w:rPr>
          <w:rFonts w:ascii="Times New Roman" w:hAnsi="Times New Roman"/>
          <w:b w:val="false"/>
          <w:i/>
          <w:color w:val="000000"/>
          <w:sz w:val="22"/>
        </w:rPr>
        <w:t>“g”</w:t>
      </w:r>
      <w:r>
        <w:rPr>
          <w:rFonts w:ascii="Times New Roman" w:hAnsi="Times New Roman"/>
          <w:b w:val="false"/>
          <w:i w:val="false"/>
          <w:color w:val="000000"/>
          <w:sz w:val="22"/>
        </w:rPr>
        <w:t xml:space="preserve"> plus the fee identified in 653—paragraph 8.14(2)</w:t>
      </w:r>
      <w:r>
        <w:rPr>
          <w:rFonts w:ascii="Times New Roman" w:hAnsi="Times New Roman"/>
          <w:b w:val="false"/>
          <w:i/>
          <w:color w:val="000000"/>
          <w:sz w:val="22"/>
        </w:rPr>
        <w:t>“f”</w:t>
      </w:r>
      <w:r>
        <w:rPr>
          <w:rFonts w:ascii="Times New Roman" w:hAnsi="Times New Roman"/>
          <w:b w:val="false"/>
          <w:i w:val="false"/>
          <w:color w:val="000000"/>
          <w:sz w:val="22"/>
        </w:rPr>
        <w:t xml:space="preserv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letter sent directly from the ABGC or ABMGG to the board verifying the applicant holds active certification in genetic counseling by the ABGC or ABMGG for genetic counselor licensure or a letter sent directly from the ABGC or ABMGG to the board verifying the applicant has been granted active candidate status for provisional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any new requirements instituted since the license 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for an applicant who has been out of practice for three years. </w:t>
      </w:r>
      <w:r>
        <w:rPr>
          <w:rFonts w:ascii="Times New Roman" w:hAnsi="Times New Roman"/>
          <w:b w:val="false"/>
          <w:i w:val="false"/>
          <w:color w:val="000000"/>
          <w:sz w:val="22"/>
        </w:rPr>
        <w:t>If an applicant for reinstatement has not engaged in the field of genetic counseling or precision medicine in the past three years in any jurisdiction of the United States, the board may, after consultation with an Iowa-licensed genetic counselor,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Successfully complete board-approved continuing education or remediation.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board-approved employment-based monitoring program developed by the genetic counselor’s employer, an Iowa-licensed genetic counselor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any other pathway as agreed upon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4468C</w:t>
      </w:r>
      <w:r>
        <w:rPr>
          <w:rFonts w:ascii="Times New Roman" w:hAnsi="Times New Roman"/>
          <w:b w:val="false"/>
          <w:i w:val="false"/>
          <w:color w:val="000000"/>
          <w:sz w:val="16"/>
        </w:rPr>
        <w:t>, IAB 6/5/19,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4728C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653—20.12</w:t>
      </w:r>
      <w:r>
        <w:rPr>
          <w:rFonts w:ascii="Times New Roman" w:hAnsi="Times New Roman"/>
          <w:b/>
          <w:i w:val="false"/>
          <w:color w:val="000000"/>
          <w:sz w:val="22"/>
        </w:rPr>
        <w:t xml:space="preserve">(272C) </w:t>
      </w:r>
      <w:r>
        <w:rPr>
          <w:rFonts w:ascii="Times New Roman" w:hAnsi="Times New Roman"/>
          <w:b/>
          <w:i w:val="false"/>
          <w:color w:val="000000"/>
          <w:sz w:val="22"/>
        </w:rPr>
        <w:t xml:space="preserve">Code of ethics. </w:t>
      </w:r>
      <w:r>
        <w:rPr>
          <w:rFonts w:ascii="Times New Roman" w:hAnsi="Times New Roman"/>
          <w:b w:val="false"/>
          <w:i w:val="false"/>
          <w:color w:val="000000"/>
          <w:sz w:val="22"/>
        </w:rPr>
        <w:t>The NSGC Code of Ethics prepared and approved by the National Society of Genetic Counselors shall be utilized by the board as guiding principles in the practice of genetic counseling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653—20.13</w:t>
      </w:r>
      <w:r>
        <w:rPr>
          <w:rFonts w:ascii="Times New Roman" w:hAnsi="Times New Roman"/>
          <w:b/>
          <w:i w:val="false"/>
          <w:color w:val="000000"/>
          <w:sz w:val="22"/>
        </w:rPr>
        <w:t xml:space="preserve">(272C) </w:t>
      </w:r>
      <w:r>
        <w:rPr>
          <w:rFonts w:ascii="Times New Roman" w:hAnsi="Times New Roman"/>
          <w:b/>
          <w:i w:val="false"/>
          <w:color w:val="000000"/>
          <w:sz w:val="22"/>
        </w:rPr>
        <w:t xml:space="preserve">Nonpayment of state debt. </w:t>
      </w:r>
      <w:r>
        <w:rPr>
          <w:rFonts w:ascii="Times New Roman" w:hAnsi="Times New Roman"/>
          <w:b w:val="false"/>
          <w:i w:val="false"/>
          <w:color w:val="000000"/>
          <w:sz w:val="22"/>
        </w:rPr>
        <w:t>653—Chapter 12 shall apply to licensed genetic counselors.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653—20.14</w:t>
      </w:r>
      <w:r>
        <w:rPr>
          <w:rFonts w:ascii="Times New Roman" w:hAnsi="Times New Roman"/>
          <w:b/>
          <w:i w:val="false"/>
          <w:color w:val="000000"/>
          <w:sz w:val="22"/>
        </w:rPr>
        <w:t xml:space="preserve">(272C) </w:t>
      </w:r>
      <w:r>
        <w:rPr>
          <w:rFonts w:ascii="Times New Roman" w:hAnsi="Times New Roman"/>
          <w:b/>
          <w:i w:val="false"/>
          <w:color w:val="000000"/>
          <w:sz w:val="22"/>
        </w:rPr>
        <w:t xml:space="preserve">Standards of practice—office practices. </w:t>
      </w:r>
      <w:r>
        <w:rPr>
          <w:rFonts w:ascii="Times New Roman" w:hAnsi="Times New Roman"/>
          <w:b w:val="false"/>
          <w:i w:val="false"/>
          <w:color w:val="000000"/>
          <w:sz w:val="22"/>
        </w:rPr>
        <w:t>Rule 653—13.7(147,148,272C) shall apply to licensed genetic counselors.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653—20.15</w:t>
      </w:r>
      <w:r>
        <w:rPr>
          <w:rFonts w:ascii="Times New Roman" w:hAnsi="Times New Roman"/>
          <w:b/>
          <w:i w:val="false"/>
          <w:color w:val="000000"/>
          <w:sz w:val="22"/>
        </w:rPr>
        <w:t xml:space="preserve">(272C) </w:t>
      </w:r>
      <w:r>
        <w:rPr>
          <w:rFonts w:ascii="Times New Roman" w:hAnsi="Times New Roman"/>
          <w:b/>
          <w:i w:val="false"/>
          <w:color w:val="000000"/>
          <w:sz w:val="22"/>
        </w:rPr>
        <w:t xml:space="preserve">Iowa physician health committee. </w:t>
      </w:r>
      <w:r>
        <w:rPr>
          <w:rFonts w:ascii="Times New Roman" w:hAnsi="Times New Roman"/>
          <w:b w:val="false"/>
          <w:i w:val="false"/>
          <w:color w:val="000000"/>
          <w:sz w:val="22"/>
        </w:rPr>
        <w:t xml:space="preserve">653—Chapter 14 shall apply to licensed genetic counselors.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653—20.16</w:t>
      </w:r>
      <w:r>
        <w:rPr>
          <w:rFonts w:ascii="Times New Roman" w:hAnsi="Times New Roman"/>
          <w:b/>
          <w:i w:val="false"/>
          <w:color w:val="000000"/>
          <w:sz w:val="22"/>
        </w:rPr>
        <w:t xml:space="preserve">(272C) </w:t>
      </w:r>
      <w:r>
        <w:rPr>
          <w:rFonts w:ascii="Times New Roman" w:hAnsi="Times New Roman"/>
          <w:b/>
          <w:i w:val="false"/>
          <w:color w:val="000000"/>
          <w:sz w:val="22"/>
        </w:rPr>
        <w:t xml:space="preserve">Child support noncompliance. </w:t>
      </w:r>
      <w:r>
        <w:rPr>
          <w:rFonts w:ascii="Times New Roman" w:hAnsi="Times New Roman"/>
          <w:b w:val="false"/>
          <w:i w:val="false"/>
          <w:color w:val="000000"/>
          <w:sz w:val="22"/>
        </w:rPr>
        <w:t>653—Chapter 15 shall apply to licensed genetic counselors.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653—20.17</w:t>
      </w:r>
      <w:r>
        <w:rPr>
          <w:rFonts w:ascii="Times New Roman" w:hAnsi="Times New Roman"/>
          <w:b/>
          <w:i w:val="false"/>
          <w:color w:val="000000"/>
          <w:sz w:val="22"/>
        </w:rPr>
        <w:t xml:space="preserve">(272C) </w:t>
      </w:r>
      <w:r>
        <w:rPr>
          <w:rFonts w:ascii="Times New Roman" w:hAnsi="Times New Roman"/>
          <w:b/>
          <w:i w:val="false"/>
          <w:color w:val="000000"/>
          <w:sz w:val="22"/>
        </w:rPr>
        <w:t xml:space="preserve">Student loan default or delinquency—prohibited grounds for discipline. </w:t>
      </w:r>
      <w:r>
        <w:rPr>
          <w:rFonts w:ascii="Times New Roman" w:hAnsi="Times New Roman"/>
          <w:b w:val="false"/>
          <w:i w:val="false"/>
          <w:color w:val="000000"/>
          <w:sz w:val="22"/>
        </w:rPr>
        <w:t>The board shall not suspend or revoke a license issued by the board to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4979C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653—20.18</w:t>
      </w:r>
      <w:r>
        <w:rPr>
          <w:rFonts w:ascii="Times New Roman" w:hAnsi="Times New Roman"/>
          <w:b/>
          <w:i w:val="false"/>
          <w:color w:val="000000"/>
          <w:sz w:val="22"/>
        </w:rPr>
        <w:t xml:space="preserve">(272C) </w:t>
      </w:r>
      <w:r>
        <w:rPr>
          <w:rFonts w:ascii="Times New Roman" w:hAnsi="Times New Roman"/>
          <w:b/>
          <w:i w:val="false"/>
          <w:color w:val="000000"/>
          <w:sz w:val="22"/>
        </w:rPr>
        <w:t xml:space="preserve">Military service and veteran reciprocity. </w:t>
      </w:r>
      <w:r>
        <w:rPr>
          <w:rFonts w:ascii="Times New Roman" w:hAnsi="Times New Roman"/>
          <w:b w:val="false"/>
          <w:i w:val="false"/>
          <w:color w:val="000000"/>
          <w:sz w:val="22"/>
        </w:rPr>
        <w:t>653—Chapter 18 shall apply to licensed genetic counselors.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653—20.19</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 </w:t>
      </w:r>
      <w:r>
        <w:rPr>
          <w:rFonts w:ascii="Times New Roman" w:hAnsi="Times New Roman"/>
          <w:b w:val="false"/>
          <w:i w:val="false"/>
          <w:color w:val="000000"/>
          <w:sz w:val="22"/>
        </w:rPr>
        <w:t>653—Chapter 22 shall apply to licensed genetic counselors.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653—20.20</w:t>
      </w:r>
      <w:r>
        <w:rPr>
          <w:rFonts w:ascii="Times New Roman" w:hAnsi="Times New Roman"/>
          <w:b/>
          <w:i w:val="false"/>
          <w:color w:val="000000"/>
          <w:sz w:val="22"/>
        </w:rPr>
        <w:t xml:space="preserve">(147,148H,272C) </w:t>
      </w:r>
      <w:r>
        <w:rPr>
          <w:rFonts w:ascii="Times New Roman" w:hAnsi="Times New Roman"/>
          <w:b/>
          <w:i w:val="false"/>
          <w:color w:val="000000"/>
          <w:sz w:val="22"/>
        </w:rPr>
        <w:t xml:space="preserve">Grounds for discipline of genetic counselors. </w:t>
      </w:r>
      <w:r>
        <w:rPr>
          <w:rFonts w:ascii="Times New Roman" w:hAnsi="Times New Roman"/>
          <w:b w:val="false"/>
          <w:i w:val="false"/>
          <w:color w:val="000000"/>
          <w:sz w:val="22"/>
        </w:rPr>
        <w:t xml:space="preserve">The board has authority to impose discipline for any violation of Iowa Code chapter </w:t>
      </w:r>
      <w:hyperlink r:id="rId3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the rules promulgated thereunder. These grounds for discipline apply to genetic counselors. This rule is not subject to waiver pursuant to </w:t>
      </w:r>
      <w:hyperlink r:id="rId35">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 The board may impose any of the disciplinary sanctions set forth in </w:t>
      </w:r>
      <w:hyperlink r:id="rId36">
        <w:r>
          <w:rPr>
            <w:rStyle w:val="Hyperlink"/>
            <w:rFonts w:ascii="Times New Roman" w:hAnsi="Times New Roman"/>
            <w:b w:val="false"/>
            <w:i w:val="false"/>
            <w:color w:val="000000"/>
            <w:sz w:val="22"/>
          </w:rPr>
          <w:t>653—subrule 25.25(1)</w:t>
        </w:r>
      </w:hyperlink>
      <w:r>
        <w:rPr>
          <w:rFonts w:ascii="Times New Roman" w:hAnsi="Times New Roman"/>
          <w:b w:val="false"/>
          <w:i w:val="false"/>
          <w:color w:val="000000"/>
          <w:sz w:val="22"/>
        </w:rPr>
        <w:t xml:space="preserve"> when the board determines that the licensee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revocation or suspension of a license as listed in Iowa Code section </w:t>
      </w:r>
      <w:hyperlink r:id="rId37">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or </w:t>
      </w:r>
      <w:hyperlink r:id="rId40">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 or repeated gross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Willful or gross negligence;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genetic counselor’s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by the genetic counselor from the standards of learning or skill ordinarily possessed and applied by other genetic counselors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failure by a genetic counselor to exercise in a substantial respect that degree of care which is ordinarily exercised by an average genetic counselor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willful or repeated departure from or failure to conform to the minimal standard of acceptable and prevailing practice of genetic counseling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w:t>
      </w:r>
      <w:r>
        <w:rPr>
          <w:rFonts w:ascii="Times New Roman" w:hAnsi="Times New Roman"/>
          <w:b w:val="false"/>
          <w:i w:val="false"/>
          <w:color w:val="000000"/>
          <w:sz w:val="22"/>
        </w:rPr>
        <w:t> </w:t>
      </w:r>
      <w:r>
        <w:rPr>
          <w:rFonts w:ascii="Times New Roman" w:hAnsi="Times New Roman"/>
          <w:b w:val="false"/>
          <w:i w:val="false"/>
          <w:color w:val="000000"/>
          <w:sz w:val="22"/>
        </w:rPr>
        <w:t>Practice harmful or detrimental to the public. Practice harmful or detrimental to the public includes, but is not limited to, the failure of the genetic counselor to possess and exercise that degree of skill, learning, and care expected of a reasonable, prudent genetic counselor acting in the same or similar circumstances in this state, or when a genetic counselor is unable to practice genetic counseling with reasonable skill and safety as a result of mental or physical impairment, or chemical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20.20(4)</w:t>
      </w:r>
      <w:r>
        <w:rPr>
          <w:rFonts w:ascii="Times New Roman" w:hAnsi="Times New Roman"/>
          <w:b w:val="false"/>
          <w:i w:val="false"/>
          <w:color w:val="000000"/>
          <w:sz w:val="22"/>
        </w:rPr>
        <w:t> </w:t>
      </w:r>
      <w:r>
        <w:rPr>
          <w:rFonts w:ascii="Times New Roman" w:hAnsi="Times New Roman"/>
          <w:b w:val="false"/>
          <w:i w:val="false"/>
          <w:color w:val="000000"/>
          <w:sz w:val="22"/>
        </w:rPr>
        <w:t>Unprofessional conduct. Engaging in unprofessional conduct includes, but is not limited to, the committing by a licensee of an act contrary to honesty, justice, or good morals, whether the act is committed in the scope of the licensee’s practice or otherwise, and whether the act is committed in this state or elsewhere; or a violation of the principles of ethics applicable to genetic counselors.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20.20(5)</w:t>
      </w:r>
      <w:r>
        <w:rPr>
          <w:rFonts w:ascii="Times New Roman" w:hAnsi="Times New Roman"/>
          <w:b w:val="false"/>
          <w:i w:val="false"/>
          <w:color w:val="000000"/>
          <w:sz w:val="22"/>
        </w:rPr>
        <w:t> </w:t>
      </w:r>
      <w:r>
        <w:rPr>
          <w:rFonts w:ascii="Times New Roman" w:hAnsi="Times New Roman"/>
          <w:b w:val="false"/>
          <w:i w:val="false"/>
          <w:color w:val="000000"/>
          <w:sz w:val="22"/>
        </w:rPr>
        <w:t>Sexual misconduct. Engaging in sexual misconduct includes, but is not limited to, a genetic counselor engaging in conduct set forth in 653—subrule 13.7(4) (sexual conduct) or 13.7(6) (sexual harassment) as interpreted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20.20(6)</w:t>
      </w:r>
      <w:r>
        <w:rPr>
          <w:rFonts w:ascii="Times New Roman" w:hAnsi="Times New Roman"/>
          <w:b w:val="false"/>
          <w:i w:val="false"/>
          <w:color w:val="000000"/>
          <w:sz w:val="22"/>
        </w:rPr>
        <w:t> </w:t>
      </w:r>
      <w:r>
        <w:rPr>
          <w:rFonts w:ascii="Times New Roman" w:hAnsi="Times New Roman"/>
          <w:b w:val="false"/>
          <w:i w:val="false"/>
          <w:color w:val="000000"/>
          <w:sz w:val="22"/>
        </w:rPr>
        <w:t>Substance abuse. Substance abuse includes, but is not limited to, excessive use of alcohol, drugs, narcotics, chemicals, or other substances in a manner which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20.20(7)</w:t>
      </w:r>
      <w:r>
        <w:rPr>
          <w:rFonts w:ascii="Times New Roman" w:hAnsi="Times New Roman"/>
          <w:b w:val="false"/>
          <w:i w:val="false"/>
          <w:color w:val="000000"/>
          <w:sz w:val="22"/>
        </w:rPr>
        <w:t> </w:t>
      </w:r>
      <w:r>
        <w:rPr>
          <w:rFonts w:ascii="Times New Roman" w:hAnsi="Times New Roman"/>
          <w:b w:val="false"/>
          <w:i w:val="false"/>
          <w:color w:val="000000"/>
          <w:sz w:val="22"/>
        </w:rPr>
        <w:t>Physical or mental impairment. Physical or mental impairment includes, but is not limited to, any physical, neurological, or mental condition which may impair a genetic counselor’s ability to practice the profession with reasonable skill and safety. Being adjudicated mentally incompetent by a court of competent jurisdiction shall automatically suspend a license for the duration of the license unless the board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20.20(8)</w:t>
      </w:r>
      <w:r>
        <w:rPr>
          <w:rFonts w:ascii="Times New Roman" w:hAnsi="Times New Roman"/>
          <w:b w:val="false"/>
          <w:i w:val="false"/>
          <w:color w:val="000000"/>
          <w:sz w:val="22"/>
        </w:rPr>
        <w:t> </w:t>
      </w:r>
      <w:r>
        <w:rPr>
          <w:rFonts w:ascii="Times New Roman" w:hAnsi="Times New Roman"/>
          <w:b w:val="false"/>
          <w:i w:val="false"/>
          <w:color w:val="000000"/>
          <w:sz w:val="22"/>
        </w:rPr>
        <w:t xml:space="preserve">Felony criminal conviction. Being convicted of a felony in the courts of this state, another state, the United States, or any country, territory, or jurisdiction, as defined in Iowa Code section </w:t>
      </w:r>
      <w:hyperlink r:id="rId41">
        <w:r>
          <w:rPr>
            <w:rStyle w:val="Hyperlink"/>
            <w:rFonts w:ascii="Times New Roman" w:hAnsi="Times New Roman"/>
            <w:b w:val="false"/>
            <w:i w:val="false"/>
            <w:color w:val="000000"/>
            <w:sz w:val="22"/>
          </w:rPr>
          <w:t>148.6(2)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20.20(9)</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laws or rules governing the practice of genetic counseling in this state, another state, the United States, or any country, territory, or jurisdiction. Violation of the laws or rules governing the practice of genetic counseling includes, but is not limited to, willful or repeated violation of the provisions of these rules or the provisions of Iowa Code chapter </w:t>
      </w:r>
      <w:hyperlink r:id="rId4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any other state or federal laws governing the practice of genetic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20.20(10)</w:t>
      </w:r>
      <w:r>
        <w:rPr>
          <w:rFonts w:ascii="Times New Roman" w:hAnsi="Times New Roman"/>
          <w:b w:val="false"/>
          <w:i w:val="false"/>
          <w:color w:val="000000"/>
          <w:sz w:val="22"/>
        </w:rPr>
        <w:t> </w:t>
      </w:r>
      <w:r>
        <w:rPr>
          <w:rFonts w:ascii="Times New Roman" w:hAnsi="Times New Roman"/>
          <w:b w:val="false"/>
          <w:i w:val="false"/>
          <w:color w:val="000000"/>
          <w:sz w:val="22"/>
        </w:rPr>
        <w:t>Violation of a lawful order of the board, previously entered by the board in a disciplinary or licensure hearing, or violation of the terms and provisions of a consent agreement or settlement agreement entered into between a licensee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20.20(11)</w:t>
      </w:r>
      <w:r>
        <w:rPr>
          <w:rFonts w:ascii="Times New Roman" w:hAnsi="Times New Roman"/>
          <w:b w:val="false"/>
          <w:i w:val="false"/>
          <w:color w:val="000000"/>
          <w:sz w:val="22"/>
        </w:rPr>
        <w:t> </w:t>
      </w:r>
      <w:r>
        <w:rPr>
          <w:rFonts w:ascii="Times New Roman" w:hAnsi="Times New Roman"/>
          <w:b w:val="false"/>
          <w:i w:val="false"/>
          <w:color w:val="000000"/>
          <w:sz w:val="22"/>
        </w:rPr>
        <w:t>Violation of an initial agreement or health contract entered into with the Iowa physician health program (IPHP).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 evaluation order under Iowa Code section </w:t>
      </w:r>
      <w:hyperlink r:id="rId45">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20.20(13)</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genetic counseling. Knowingly making misleading, deceptive, untrue or fraudulent representations in the practice of genetic counseling includes, but is not limited to, an intentional perversion of the truth, either orally or in writing, by a genetic counselor in the practice of genetic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20.20(14)</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genetic counseling in this state, and includes false representations of material fact, either by word or by conduct, by false or misleading allegations, or by concealment of that which should have been disclosed when making application for a license in this state, or attempting to file or filing with the board any false or forged document submitted with an application for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20.20(15)</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 Fraud in representations as to skill or ability includes, but is not limited to, a licensee’s having made misleading, deceptive, or untrue representations as to the genetic counselor’s competency to perform professional services for which the licensee is not qualified to perform by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20.20(16)</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known to the public information which is false, deceptive, misleading, or promoted through fraud or misrepresentation and includes statements which may consist of,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Inflated or unjustified claims which lead to expectations of favorable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Self-laudatory claims that imply that the licensee is skilled in a field or specialty for which the licensee is not 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Representations that are likely to cause an average person to misunderstand;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Extravagant claims or claims of extraordinary skill not recognized by the profession of genetic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20.20(17)</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20.20(18)</w:t>
      </w:r>
      <w:r>
        <w:rPr>
          <w:rFonts w:ascii="Times New Roman" w:hAnsi="Times New Roman"/>
          <w:b w:val="false"/>
          <w:i w:val="false"/>
          <w:color w:val="000000"/>
          <w:sz w:val="22"/>
        </w:rPr>
        <w:t> </w:t>
      </w:r>
      <w:r>
        <w:rPr>
          <w:rFonts w:ascii="Times New Roman" w:hAnsi="Times New Roman"/>
          <w:b w:val="false"/>
          <w:i w:val="false"/>
          <w:color w:val="000000"/>
          <w:sz w:val="22"/>
        </w:rPr>
        <w:t>Acceptance of remuneration for referral of a patient to other health professions in violation of the law or National Society of Genetic Counselors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20.20(19)</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 failure to submit the required reports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20.20(20)</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procuring, or advising a person in the unlawful practice of genetic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20.20(21)</w:t>
      </w:r>
      <w:r>
        <w:rPr>
          <w:rFonts w:ascii="Times New Roman" w:hAnsi="Times New Roman"/>
          <w:b w:val="false"/>
          <w:i w:val="false"/>
          <w:color w:val="000000"/>
          <w:sz w:val="22"/>
        </w:rPr>
        <w:t> </w:t>
      </w:r>
      <w:r>
        <w:rPr>
          <w:rFonts w:ascii="Times New Roman" w:hAnsi="Times New Roman"/>
          <w:b w:val="false"/>
          <w:i w:val="false"/>
          <w:color w:val="000000"/>
          <w:sz w:val="22"/>
        </w:rPr>
        <w:t>Failure to report disciplinary action. Failure to report a license revocation, suspension, or other disciplinary action taken against a licensee by a professional licensing authority of another state, an agency of the United States government, or any country, territory, or other jurisdiction, within 30 days of final action by such licensing authority. A stay by an appellate court shall not negate this requirement; however, if such disciplinary action is overturned or reversed by a court of last resort, the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20.20(22)</w:t>
      </w:r>
      <w:r>
        <w:rPr>
          <w:rFonts w:ascii="Times New Roman" w:hAnsi="Times New Roman"/>
          <w:b w:val="false"/>
          <w:i w:val="false"/>
          <w:color w:val="000000"/>
          <w:sz w:val="22"/>
        </w:rPr>
        <w:t> </w:t>
      </w:r>
      <w:r>
        <w:rPr>
          <w:rFonts w:ascii="Times New Roman" w:hAnsi="Times New Roman"/>
          <w:b w:val="false"/>
          <w:i w:val="false"/>
          <w:color w:val="000000"/>
          <w:sz w:val="22"/>
        </w:rPr>
        <w:t>Failure to report voluntary agreements. Failure to report any voluntary agreement to restrict the practice of genetic counseling entered into with this state, another state, the United States, an agency of the federal government, or any country, territory or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20.20(23)</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settlement or adverse judgment of a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 valid subpoena issued by the board pursuant to Iowa Code sections </w:t>
      </w:r>
      <w:hyperlink r:id="rId46">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20.20(25)</w:t>
      </w:r>
      <w:r>
        <w:rPr>
          <w:rFonts w:ascii="Times New Roman" w:hAnsi="Times New Roman"/>
          <w:b w:val="false"/>
          <w:i w:val="false"/>
          <w:color w:val="000000"/>
          <w:sz w:val="22"/>
        </w:rPr>
        <w:t> </w:t>
      </w:r>
      <w:r>
        <w:rPr>
          <w:rFonts w:ascii="Times New Roman" w:hAnsi="Times New Roman"/>
          <w:b w:val="false"/>
          <w:i w:val="false"/>
          <w:color w:val="000000"/>
          <w:sz w:val="22"/>
        </w:rPr>
        <w:t>Failure to submit to a board-ordered mental, physical, clinical competency, or substance abuse evaluation or a drug or alcohol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20.20(26)</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with a support order or with a written agreement for payment of support as evidenced by a certificate of noncompliance issued pursuant to Iowa Code chapter </w:t>
      </w:r>
      <w:hyperlink r:id="rId4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Disciplinary proceedings under this rule shall follow the procedures set forth in Iowa Code chapter </w:t>
      </w:r>
      <w:hyperlink r:id="rId4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653—Chapter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20.20(27)</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3/11/20</w:t>
      </w:r>
      <w:r>
        <w:rPr>
          <w:rFonts w:ascii="Times New Roman" w:hAnsi="Times New Roman"/>
          <w:b w:val="false"/>
          <w:i w:val="false"/>
          <w:color w:val="000000"/>
          <w:sz w:val="22"/>
        </w:rPr>
        <w:t>, effective 4/15/20.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20.20(28)</w:t>
      </w:r>
      <w:r>
        <w:rPr>
          <w:rFonts w:ascii="Times New Roman" w:hAnsi="Times New Roman"/>
          <w:b w:val="false"/>
          <w:i w:val="false"/>
          <w:color w:val="000000"/>
          <w:sz w:val="22"/>
        </w:rPr>
        <w:t> </w:t>
      </w:r>
      <w:r>
        <w:rPr>
          <w:rFonts w:ascii="Times New Roman" w:hAnsi="Times New Roman"/>
          <w:b w:val="false"/>
          <w:i w:val="false"/>
          <w:color w:val="000000"/>
          <w:sz w:val="22"/>
        </w:rPr>
        <w:t>Improper management of medical records. Improper management of medical records includes, but is not limited to, failure to maintain timely, accurate, and complete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20.20(29)</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respond to or comply with a board investigation initiated pursuant to Iowa Code section </w:t>
      </w:r>
      <w:hyperlink r:id="rId5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rule 653—24.2(17A,147,148,272C).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20.20(30)</w:t>
      </w:r>
      <w:r>
        <w:rPr>
          <w:rFonts w:ascii="Times New Roman" w:hAnsi="Times New Roman"/>
          <w:b w:val="false"/>
          <w:i w:val="false"/>
          <w:color w:val="000000"/>
          <w:sz w:val="22"/>
        </w:rPr>
        <w:t> </w:t>
      </w:r>
      <w:r>
        <w:rPr>
          <w:rFonts w:ascii="Times New Roman" w:hAnsi="Times New Roman"/>
          <w:b w:val="false"/>
          <w:i w:val="false"/>
          <w:color w:val="000000"/>
          <w:sz w:val="22"/>
        </w:rPr>
        <w:t>Failure to submit an additional completed fingerprint card and applicable fee, within 30 days of a request made by board staff, when a previous fingerprint submission has been determined to be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20.20(31)</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or submit continuing education materials during a board audit, within 30 days of a request made by board staff or within the extension of time if one has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20.20(32)</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or submit requested mandatory training for identifying and reporting abuse materials during a board audit, within 30 days of a request made by the board staff or within the extension of time if one has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20.20(33)</w:t>
      </w:r>
      <w:r>
        <w:rPr>
          <w:rFonts w:ascii="Times New Roman" w:hAnsi="Times New Roman"/>
          <w:b w:val="false"/>
          <w:i w:val="false"/>
          <w:color w:val="000000"/>
          <w:sz w:val="22"/>
        </w:rPr>
        <w:t> </w:t>
      </w:r>
      <w:r>
        <w:rPr>
          <w:rFonts w:ascii="Times New Roman" w:hAnsi="Times New Roman"/>
          <w:b w:val="false"/>
          <w:i w:val="false"/>
          <w:color w:val="000000"/>
          <w:sz w:val="22"/>
        </w:rPr>
        <w:t xml:space="preserve">Nonpayment of state debt as evidenced by a certificate of noncompliance issued pursuant to Iowa Code chapter </w:t>
      </w:r>
      <w:hyperlink r:id="rId5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653—Chapter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20.20(34)</w:t>
      </w:r>
      <w:r>
        <w:rPr>
          <w:rFonts w:ascii="Times New Roman" w:hAnsi="Times New Roman"/>
          <w:b w:val="false"/>
          <w:i w:val="false"/>
          <w:color w:val="000000"/>
          <w:sz w:val="22"/>
        </w:rPr>
        <w:t> </w:t>
      </w:r>
      <w:r>
        <w:rPr>
          <w:rFonts w:ascii="Times New Roman" w:hAnsi="Times New Roman"/>
          <w:b w:val="false"/>
          <w:i w:val="false"/>
          <w:color w:val="000000"/>
          <w:sz w:val="22"/>
        </w:rPr>
        <w:t>Failure to file with the board a written report and a copy of the hospital disciplinary action within 30 days of any hospital disciplinary action or the licensee’s voluntary action to avoid a hospital disciplinary action, as required by rule 653—22.5(272C).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4979C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 xml:space="preserve">; </w:t>
      </w:r>
      <w:r>
        <w:rPr>
          <w:rFonts w:ascii="Times New Roman" w:hAnsi="Times New Roman"/>
          <w:b/>
          <w:i w:val="false"/>
          <w:color w:val="000000"/>
          <w:sz w:val="16"/>
        </w:rPr>
        <w:t>ARC 5749C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653—20.21</w:t>
      </w:r>
      <w:r>
        <w:rPr>
          <w:rFonts w:ascii="Times New Roman" w:hAnsi="Times New Roman"/>
          <w:b/>
          <w:i w:val="false"/>
          <w:color w:val="000000"/>
          <w:sz w:val="22"/>
        </w:rPr>
        <w:t xml:space="preserve">(272C) </w:t>
      </w:r>
      <w:r>
        <w:rPr>
          <w:rFonts w:ascii="Times New Roman" w:hAnsi="Times New Roman"/>
          <w:b/>
          <w:i w:val="false"/>
          <w:color w:val="000000"/>
          <w:sz w:val="22"/>
        </w:rPr>
        <w:t xml:space="preserve">Complaints and investigations. </w:t>
      </w:r>
      <w:r>
        <w:rPr>
          <w:rFonts w:ascii="Times New Roman" w:hAnsi="Times New Roman"/>
          <w:b w:val="false"/>
          <w:i w:val="false"/>
          <w:color w:val="000000"/>
          <w:sz w:val="22"/>
        </w:rPr>
        <w:t>653—Chapter 24 shall apply to licensed genetic counselors.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653—20.22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Contested case proceedings. </w:t>
      </w:r>
      <w:r>
        <w:rPr>
          <w:rFonts w:ascii="Times New Roman" w:hAnsi="Times New Roman"/>
          <w:b w:val="false"/>
          <w:i w:val="false"/>
          <w:color w:val="000000"/>
          <w:sz w:val="22"/>
        </w:rPr>
        <w:t>653—Chapter 25 shall apply to licensed genetic counselors.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653—20.23</w:t>
      </w:r>
      <w:r>
        <w:rPr>
          <w:rFonts w:ascii="Times New Roman" w:hAnsi="Times New Roman"/>
          <w:b/>
          <w:i w:val="false"/>
          <w:color w:val="000000"/>
          <w:sz w:val="22"/>
        </w:rPr>
        <w:t xml:space="preserve">(272C) </w:t>
      </w:r>
      <w:r>
        <w:rPr>
          <w:rFonts w:ascii="Times New Roman" w:hAnsi="Times New Roman"/>
          <w:b/>
          <w:i w:val="false"/>
          <w:color w:val="000000"/>
          <w:sz w:val="22"/>
        </w:rPr>
        <w:t xml:space="preserve">Reinstatement after disciplinary action. </w:t>
      </w:r>
      <w:r>
        <w:rPr>
          <w:rFonts w:ascii="Times New Roman" w:hAnsi="Times New Roman"/>
          <w:b w:val="false"/>
          <w:i w:val="false"/>
          <w:color w:val="000000"/>
          <w:sz w:val="22"/>
        </w:rPr>
        <w:t>653—Chapter 26 shall apply to licensed genetic counselors.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653—20.24</w:t>
      </w:r>
      <w:r>
        <w:rPr>
          <w:rFonts w:ascii="Times New Roman" w:hAnsi="Times New Roman"/>
          <w:b/>
          <w:i w:val="false"/>
          <w:color w:val="000000"/>
          <w:sz w:val="22"/>
        </w:rPr>
        <w:t xml:space="preserve">(148H,272C) </w:t>
      </w:r>
      <w:r>
        <w:rPr>
          <w:rFonts w:ascii="Times New Roman" w:hAnsi="Times New Roman"/>
          <w:b/>
          <w:i w:val="false"/>
          <w:color w:val="000000"/>
          <w:sz w:val="22"/>
        </w:rPr>
        <w:t xml:space="preserve">Surrender of license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20.24(1)</w:t>
      </w:r>
      <w:r>
        <w:rPr>
          <w:rFonts w:ascii="Times New Roman" w:hAnsi="Times New Roman"/>
          <w:b w:val="false"/>
          <w:i w:val="false"/>
          <w:color w:val="000000"/>
          <w:sz w:val="22"/>
        </w:rPr>
        <w:t> </w:t>
      </w:r>
      <w:r>
        <w:rPr>
          <w:rFonts w:ascii="Times New Roman" w:hAnsi="Times New Roman"/>
          <w:b w:val="false"/>
          <w:i w:val="false"/>
          <w:color w:val="000000"/>
          <w:sz w:val="22"/>
        </w:rPr>
        <w:t>A genetic counselor whose license is suspended or revoked or whose surrender of license with or without prejudice has been accepted by the board shall promptly surrender the original license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20.24(2)</w:t>
      </w:r>
      <w:r>
        <w:rPr>
          <w:rFonts w:ascii="Times New Roman" w:hAnsi="Times New Roman"/>
          <w:b w:val="false"/>
          <w:i w:val="false"/>
          <w:color w:val="000000"/>
          <w:sz w:val="22"/>
        </w:rPr>
        <w:t> </w:t>
      </w:r>
      <w:r>
        <w:rPr>
          <w:rFonts w:ascii="Times New Roman" w:hAnsi="Times New Roman"/>
          <w:b w:val="false"/>
          <w:i w:val="false"/>
          <w:color w:val="000000"/>
          <w:sz w:val="22"/>
        </w:rPr>
        <w:t>A genetic counselor whose ABGC certification has lapsed or whose certification has been revoked by the ABGC shall surrender the genetic counselor’s license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20.24(3)</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who loses active candidate status with the ABGC must immediately cease the practice of genetic counseling until the provisional licensee obtains an extension of the provisional license or obtains a new provisional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653—20.25</w:t>
      </w:r>
      <w:r>
        <w:rPr>
          <w:rFonts w:ascii="Times New Roman" w:hAnsi="Times New Roman"/>
          <w:b/>
          <w:i w:val="false"/>
          <w:color w:val="000000"/>
          <w:sz w:val="22"/>
        </w:rPr>
        <w:t xml:space="preserve">(147,148H,272C)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Fees in this chapter are not subject to waiver pursuant to </w:t>
      </w:r>
      <w:hyperlink r:id="rId52">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4339C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4339C</w:t>
      </w:r>
      <w:r>
        <w:rPr>
          <w:rFonts w:ascii="Times New Roman" w:hAnsi="Times New Roman"/>
          <w:b w:val="false"/>
          <w:i w:val="false"/>
          <w:color w:val="000000"/>
          <w:sz w:val="21"/>
        </w:rPr>
        <w:t xml:space="preserve"> (Notice ARC 4095C, IAB 10/24/18)</w:t>
      </w:r>
      <w:r>
        <w:rPr>
          <w:rFonts w:ascii="Times New Roman" w:hAnsi="Times New Roman"/>
          <w:b w:val="false"/>
          <w:i w:val="false"/>
          <w:color w:val="000000"/>
          <w:sz w:val="21"/>
        </w:rPr>
        <w:t>, IAB 3/13/19, effective 4/17/19]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4468C, IAB 6/5/19, effective 5/15/19]</w:t>
      </w:r>
    </w:p>
    <w:p>
      <w:pPr>
        <w:spacing w:before="0" w:after="0"/>
        <w:ind w:left="120"/>
        <w:jc w:val="center"/>
      </w:pPr>
      <w:r>
        <w:rPr>
          <w:rFonts w:ascii="Times New Roman" w:hAnsi="Times New Roman"/>
          <w:b w:val="false"/>
          <w:i w:val="false"/>
          <w:color w:val="000000"/>
          <w:sz w:val="21"/>
        </w:rPr>
        <w:t>[Filed ARC 4728C</w:t>
      </w:r>
      <w:r>
        <w:rPr>
          <w:rFonts w:ascii="Times New Roman" w:hAnsi="Times New Roman"/>
          <w:b w:val="false"/>
          <w:i w:val="false"/>
          <w:color w:val="000000"/>
          <w:sz w:val="21"/>
        </w:rPr>
        <w:t xml:space="preserve"> (Notice ARC 4477C, IAB 6/5/19)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4979C</w:t>
      </w:r>
      <w:r>
        <w:rPr>
          <w:rFonts w:ascii="Times New Roman" w:hAnsi="Times New Roman"/>
          <w:b w:val="false"/>
          <w:i w:val="false"/>
          <w:color w:val="000000"/>
          <w:sz w:val="21"/>
        </w:rPr>
        <w:t xml:space="preserve"> (Notice ARC 4806C,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pBdr>
          <w:bottom w:space="2"/>
        </w:pBdr>
        <w:spacing w:before="0" w:after="0"/>
        <w:ind w:left="120"/>
        <w:jc w:val="both"/>
      </w:pPr>
      <w:r>
        <w:rPr>
          <w:rFonts w:ascii="Times New Roman" w:hAnsi="Times New Roman"/>
          <w:b w:val="false"/>
          <w:i w:val="false"/>
          <w:color w:val="000000"/>
          <w:sz w:val="22"/>
        </w:rPr>
        <w:t>April 17, 2019, effective date of Chapter 20 [ARC 4339C] delayed 70 days by the Administrative Rules Review Committee at its meeting held April 5, 2019; delay lifted at the meeting held May 14, 2019.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48H.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48.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co/chapter/148H.pdf" Type="http://schemas.openxmlformats.org/officeDocument/2006/relationships/hyperlink" Id="rId12"/>
    <Relationship TargetMode="External" Target="https://www.legis.iowa.gov/docs/ico/chapter/148H.pdf" Type="http://schemas.openxmlformats.org/officeDocument/2006/relationships/hyperlink" Id="rId13"/>
    <Relationship TargetMode="External" Target="https://www.legis.iowa.gov/docs/ico/chapter/148H.pdf" Type="http://schemas.openxmlformats.org/officeDocument/2006/relationships/hyperlink" Id="rId14"/>
    <Relationship TargetMode="External" Target="https://www.legis.iowa.gov/docs/ico/chapter/148H.pdf" Type="http://schemas.openxmlformats.org/officeDocument/2006/relationships/hyperlink" Id="rId15"/>
    <Relationship TargetMode="External" Target="https://www.legis.iowa.gov/docs/ico/chapter/148.pdf" Type="http://schemas.openxmlformats.org/officeDocument/2006/relationships/hyperlink" Id="rId16"/>
    <Relationship TargetMode="External" Target="https://www.legis.iowa.gov/docs/ico/chapter/152.pdf" Type="http://schemas.openxmlformats.org/officeDocument/2006/relationships/hyperlink" Id="rId17"/>
    <Relationship TargetMode="External" Target="https://www.legis.iowa.gov/docs/ico/chapter/148H.pdf" Type="http://schemas.openxmlformats.org/officeDocument/2006/relationships/hyperlink" Id="rId18"/>
    <Relationship TargetMode="External" Target="https://www.legis.iowa.gov/docs/ico/chapter/148H.pdf" Type="http://schemas.openxmlformats.org/officeDocument/2006/relationships/hyperlink" Id="rId19"/>
    <Relationship TargetMode="External" Target="https://www.legis.iowa.gov/docs/ico/chapter/148H.pdf" Type="http://schemas.openxmlformats.org/officeDocument/2006/relationships/hyperlink" Id="rId20"/>
    <Relationship TargetMode="External" Target="https://www.legis.iowa.gov/docs/iac/rule/653.9.3.pdf" Type="http://schemas.openxmlformats.org/officeDocument/2006/relationships/hyperlink" Id="rId21"/>
    <Relationship TargetMode="External" Target="https://www.legis.iowa.gov/docs/ico/chapter/148H.3.pdf" Type="http://schemas.openxmlformats.org/officeDocument/2006/relationships/hyperlink" Id="rId22"/>
    <Relationship TargetMode="External" Target="https://www.legis.iowa.gov/docs/ico/chapter/147.4.pdf" Type="http://schemas.openxmlformats.org/officeDocument/2006/relationships/hyperlink" Id="rId23"/>
    <Relationship TargetMode="External" Target="https://www.legis.iowa.gov/docs/ico/chapter/147.55.pdf" Type="http://schemas.openxmlformats.org/officeDocument/2006/relationships/hyperlink" Id="rId24"/>
    <Relationship TargetMode="External" Target="https://www.legis.iowa.gov/docs/ico/chapter/148H.7.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ac/chapter/653.3.pdf" Type="http://schemas.openxmlformats.org/officeDocument/2006/relationships/hyperlink" Id="rId27"/>
    <Relationship TargetMode="External" Target="https://www.legis.iowa.gov/docs/ico/chapter/148H.3.pdf" Type="http://schemas.openxmlformats.org/officeDocument/2006/relationships/hyperlink" Id="rId28"/>
    <Relationship TargetMode="External" Target="https://www.legis.iowa.gov/docs/ico/chapter/147.55.pdf" Type="http://schemas.openxmlformats.org/officeDocument/2006/relationships/hyperlink" Id="rId29"/>
    <Relationship TargetMode="External" Target="https://www.legis.iowa.gov/docs/ico/chapter/148H.7.pdf" Type="http://schemas.openxmlformats.org/officeDocument/2006/relationships/hyperlink" Id="rId30"/>
    <Relationship TargetMode="External" Target="https://www.legis.iowa.gov/docs/ico/chapter/147.11.pdf" Type="http://schemas.openxmlformats.org/officeDocument/2006/relationships/hyperlink" Id="rId31"/>
    <Relationship TargetMode="External" Target="https://www.legis.iowa.gov/docs/ico/chapter/147.pdf" Type="http://schemas.openxmlformats.org/officeDocument/2006/relationships/hyperlink" Id="rId32"/>
    <Relationship TargetMode="External" Target="https://www.legis.iowa.gov/docs/ico/chapter/148H.pdf" Type="http://schemas.openxmlformats.org/officeDocument/2006/relationships/hyperlink" Id="rId33"/>
    <Relationship TargetMode="External" Target="https://www.legis.iowa.gov/docs/ico/chapter/272C.pdf" Type="http://schemas.openxmlformats.org/officeDocument/2006/relationships/hyperlink" Id="rId34"/>
    <Relationship TargetMode="External" Target="https://www.legis.iowa.gov/docs/iac/chapter/653.3.pdf" Type="http://schemas.openxmlformats.org/officeDocument/2006/relationships/hyperlink" Id="rId35"/>
    <Relationship TargetMode="External" Target="https://www.legis.iowa.gov/docs/iac/rule/653.25.25.pdf" Type="http://schemas.openxmlformats.org/officeDocument/2006/relationships/hyperlink" Id="rId36"/>
    <Relationship TargetMode="External" Target="https://www.legis.iowa.gov/docs/ico/chapter/147.55.pdf" Type="http://schemas.openxmlformats.org/officeDocument/2006/relationships/hyperlink" Id="rId37"/>
    <Relationship TargetMode="External" Target="https://www.legis.iowa.gov/docs/ico/chapter/148H.7.pdf" Type="http://schemas.openxmlformats.org/officeDocument/2006/relationships/hyperlink" Id="rId38"/>
    <Relationship TargetMode="External" Target="https://www.legis.iowa.gov/docs/ico/chapter/272C.10.pdf" Type="http://schemas.openxmlformats.org/officeDocument/2006/relationships/hyperlink" Id="rId39"/>
    <Relationship TargetMode="External" Target="https://www.legis.iowa.gov/docs/ico/chapter/272C.15.pdf" Type="http://schemas.openxmlformats.org/officeDocument/2006/relationships/hyperlink" Id="rId40"/>
    <Relationship TargetMode="External" Target="https://www.legis.iowa.gov/docs/ico/chapter/148.6.pdf" Type="http://schemas.openxmlformats.org/officeDocument/2006/relationships/hyperlink" Id="rId41"/>
    <Relationship TargetMode="External" Target="https://www.legis.iowa.gov/docs/ico/chapter/147.pdf" Type="http://schemas.openxmlformats.org/officeDocument/2006/relationships/hyperlink" Id="rId42"/>
    <Relationship TargetMode="External" Target="https://www.legis.iowa.gov/docs/ico/chapter/148H.pdf" Type="http://schemas.openxmlformats.org/officeDocument/2006/relationships/hyperlink" Id="rId43"/>
    <Relationship TargetMode="External" Target="https://www.legis.iowa.gov/docs/ico/chapter/272C.pdf" Type="http://schemas.openxmlformats.org/officeDocument/2006/relationships/hyperlink" Id="rId44"/>
    <Relationship TargetMode="External" Target="https://www.legis.iowa.gov/docs/ico/chapter/272C.9.pdf" Type="http://schemas.openxmlformats.org/officeDocument/2006/relationships/hyperlink" Id="rId45"/>
    <Relationship TargetMode="External" Target="https://www.legis.iowa.gov/docs/ico/chapter/17A.13.pdf" Type="http://schemas.openxmlformats.org/officeDocument/2006/relationships/hyperlink" Id="rId46"/>
    <Relationship TargetMode="External" Target="https://www.legis.iowa.gov/docs/ico/chapter/272C.6.pdf" Type="http://schemas.openxmlformats.org/officeDocument/2006/relationships/hyperlink" Id="rId47"/>
    <Relationship TargetMode="External" Target="https://www.legis.iowa.gov/docs/ico/chapter/252J.pdf" Type="http://schemas.openxmlformats.org/officeDocument/2006/relationships/hyperlink" Id="rId48"/>
    <Relationship TargetMode="External" Target="https://www.legis.iowa.gov/docs/ico/chapter/252J.pdf" Type="http://schemas.openxmlformats.org/officeDocument/2006/relationships/hyperlink" Id="rId49"/>
    <Relationship TargetMode="External" Target="https://www.legis.iowa.gov/docs/ico/chapter/272C.3.pdf" Type="http://schemas.openxmlformats.org/officeDocument/2006/relationships/hyperlink" Id="rId50"/>
    <Relationship TargetMode="External" Target="https://www.legis.iowa.gov/docs/ico/chapter/272D.pdf" Type="http://schemas.openxmlformats.org/officeDocument/2006/relationships/hyperlink" Id="rId51"/>
    <Relationship TargetMode="External" Target="https://www.legis.iowa.gov/docs/iac/chapter/653.3.pdf" Type="http://schemas.openxmlformats.org/officeDocument/2006/relationships/hyperlink" Id="rId52"/>
    <Relationship TargetMode="External" Target="https://www.legis.iowa.gov/docs/ico/chapter/147.pdf" Type="http://schemas.openxmlformats.org/officeDocument/2006/relationships/hyperlink" Id="rId53"/>
    <Relationship TargetMode="External" Target="https://www.legis.iowa.gov/docs/ico/chapter/148.pdf" Type="http://schemas.openxmlformats.org/officeDocument/2006/relationships/hyperlink" Id="rId54"/>
    <Relationship TargetMode="External" Target="https://www.legis.iowa.gov/docs/ico/chapter/148H.pdf" Type="http://schemas.openxmlformats.org/officeDocument/2006/relationships/hyperlink" Id="rId55"/>
    <Relationship TargetMode="External" Target="https://www.legis.iowa.gov/docs/ico/chapter/272C.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