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w:t>
      </w:r>
    </w:p>
    <w:p>
      <w:pPr>
        <w:spacing w:before="0" w:after="0"/>
        <w:ind w:left="120"/>
        <w:jc w:val="center"/>
      </w:pPr>
      <w:r>
        <w:rPr>
          <w:rFonts w:ascii="Times New Roman" w:hAnsi="Times New Roman"/>
          <w:b w:val="false"/>
          <w:i w:val="false"/>
          <w:color w:val="000000"/>
          <w:sz w:val="21"/>
        </w:rPr>
        <w:t>MILITARY SERVICE AND VETERAN RECIPROCITY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653—18.1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issued by the board, including a permanent medical license, resident physician license, special physician license, temporary physician license or licensed acupuncturist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“Military service” </w:t>
      </w:r>
      <w:r>
        <w:rPr>
          <w:rFonts w:ascii="Times New Roman" w:hAnsi="Times New Roman"/>
          <w:b w:val="false"/>
          <w:i w:val="false"/>
          <w:color w:val="000000"/>
          <w:sz w:val="22"/>
        </w:rPr>
        <w:t xml:space="preserve">means honorably serving on federal active duty, state active duty, or national guard duty, as defined in Iowa Code section </w:t>
      </w:r>
      <w:hyperlink r:id="rId5">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in the military services of other states, as provided in 10 U.S.C. Section 101(c); or in the organized reserves of the United States, as provided in 10 U.S.C. Section 10101.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“Military service applicant” </w:t>
      </w:r>
      <w:r>
        <w:rPr>
          <w:rFonts w:ascii="Times New Roman" w:hAnsi="Times New Roman"/>
          <w:b w:val="false"/>
          <w:i w:val="false"/>
          <w:color w:val="000000"/>
          <w:sz w:val="22"/>
        </w:rPr>
        <w:t>means an individual who is requesting credit toward licensure that is subject to the jurisdiction of the board for military education, training, or service obtained or completed in military service including, but not limited to, a medical physician or surgeon, osteopathic physician or surgeon, or licensed acupuncturist.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“Spouse” </w:t>
      </w:r>
      <w:r>
        <w:rPr>
          <w:rFonts w:ascii="Times New Roman" w:hAnsi="Times New Roman"/>
          <w:b w:val="false"/>
          <w:i w:val="false"/>
          <w:color w:val="000000"/>
          <w:sz w:val="22"/>
        </w:rPr>
        <w:t>means the spouse of an active duty member of the military forces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license” </w:t>
      </w:r>
      <w:r>
        <w:rPr>
          <w:rFonts w:ascii="Times New Roman" w:hAnsi="Times New Roman"/>
          <w:b w:val="false"/>
          <w:i w:val="false"/>
          <w:color w:val="000000"/>
          <w:sz w:val="22"/>
        </w:rPr>
        <w:t>means a temporary license issued pursuant to rule</w:t>
      </w:r>
      <w:hyperlink r:id="rId6">
        <w:r>
          <w:rPr>
            <w:rStyle w:val="Hyperlink"/>
            <w:rFonts w:ascii="Times New Roman" w:hAnsi="Times New Roman"/>
            <w:b w:val="false"/>
            <w:i w:val="false"/>
            <w:color w:val="000000"/>
            <w:sz w:val="22"/>
          </w:rPr>
          <w:t> 653—10.5(147,148)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“Veteran” </w:t>
      </w:r>
      <w:r>
        <w:rPr>
          <w:rFonts w:ascii="Times New Roman" w:hAnsi="Times New Roman"/>
          <w:b w:val="false"/>
          <w:i w:val="false"/>
          <w:color w:val="000000"/>
          <w:sz w:val="22"/>
        </w:rPr>
        <w:t xml:space="preserve">means an individual who meets the definition of “veteran” in Iowa Code section </w:t>
      </w:r>
      <w:hyperlink r:id="rId7">
        <w:r>
          <w:rPr>
            <w:rStyle w:val="Hyperlink"/>
            <w:rFonts w:ascii="Times New Roman" w:hAnsi="Times New Roman"/>
            <w:b w:val="false"/>
            <w:i w:val="false"/>
            <w:color w:val="000000"/>
            <w:sz w:val="22"/>
          </w:rPr>
          <w:t>35.1(2)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1804C</w:t>
      </w:r>
      <w:r>
        <w:rPr>
          <w:rFonts w:ascii="Times New Roman" w:hAnsi="Times New Roman"/>
          <w:b w:val="false"/>
          <w:i w:val="false"/>
          <w:color w:val="000000"/>
          <w:sz w:val="16"/>
        </w:rPr>
        <w:t>, IAB 12/24/14, effective 1/28/15</w:t>
      </w:r>
      <w:r>
        <w:rPr>
          <w:rFonts w:ascii="Times New Roman" w:hAnsi="Times New Roman"/>
          <w:b w:val="false"/>
          <w:i w:val="false"/>
          <w:color w:val="000000"/>
          <w:sz w:val="16"/>
        </w:rPr>
        <w:t xml:space="preserve">; </w:t>
      </w:r>
      <w:r>
        <w:rPr>
          <w:rFonts w:ascii="Times New Roman" w:hAnsi="Times New Roman"/>
          <w:b/>
          <w:i w:val="false"/>
          <w:color w:val="000000"/>
          <w:sz w:val="16"/>
        </w:rPr>
        <w:t>ARC 4980C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7074C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653—18.2</w:t>
      </w:r>
      <w:r>
        <w:rPr>
          <w:rFonts w:ascii="Times New Roman" w:hAnsi="Times New Roman"/>
          <w:b/>
          <w:i w:val="false"/>
          <w:color w:val="000000"/>
          <w:sz w:val="22"/>
        </w:rPr>
        <w:t xml:space="preserve">(85GA,ch1116) </w:t>
      </w:r>
      <w:r>
        <w:rPr>
          <w:rFonts w:ascii="Times New Roman" w:hAnsi="Times New Roman"/>
          <w:b/>
          <w:i w:val="false"/>
          <w:color w:val="000000"/>
          <w:sz w:val="22"/>
        </w:rPr>
        <w:t xml:space="preserve">Military education, training, and service credit. </w:t>
      </w:r>
      <w:r>
        <w:rPr>
          <w:rFonts w:ascii="Times New Roman" w:hAnsi="Times New Roman"/>
          <w:b w:val="false"/>
          <w:i w:val="false"/>
          <w:color w:val="000000"/>
          <w:sz w:val="22"/>
        </w:rPr>
        <w:t>A military service applicant may apply for credit for verified military education, training, or service toward any experience or educational requirement for licensure by submitting a military service application form to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18.2(1)</w:t>
      </w:r>
      <w:r>
        <w:rPr>
          <w:rFonts w:ascii="Times New Roman" w:hAnsi="Times New Roman"/>
          <w:b w:val="false"/>
          <w:i w:val="false"/>
          <w:color w:val="000000"/>
          <w:sz w:val="22"/>
        </w:rPr>
        <w:t> </w:t>
      </w:r>
      <w:r>
        <w:rPr>
          <w:rFonts w:ascii="Times New Roman" w:hAnsi="Times New Roman"/>
          <w:b w:val="false"/>
          <w:i w:val="false"/>
          <w:color w:val="000000"/>
          <w:sz w:val="22"/>
        </w:rPr>
        <w:t>The completed military service application may be submitted with an application for licensure or examination or prior to an applicant’s applying for licensure or to take an examination. No fee is required with submission of an application for military service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18.2(2)</w:t>
      </w:r>
      <w:r>
        <w:rPr>
          <w:rFonts w:ascii="Times New Roman" w:hAnsi="Times New Roman"/>
          <w:b w:val="false"/>
          <w:i w:val="false"/>
          <w:color w:val="000000"/>
          <w:sz w:val="22"/>
        </w:rPr>
        <w:t> </w:t>
      </w:r>
      <w:r>
        <w:rPr>
          <w:rFonts w:ascii="Times New Roman" w:hAnsi="Times New Roman"/>
          <w:b w:val="false"/>
          <w:i w:val="false"/>
          <w:color w:val="000000"/>
          <w:sz w:val="22"/>
        </w:rPr>
        <w:t>The applicant shall identify the experience or educational licensure requirement to which the credit would be applied if granted. Credit shall not be applied to an examination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18.2(3)</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documents, military transcripts, a certified affidavit, or forms that verify completion of the relevant military education, training, or service, which may include, when applicable, the applicant’s Certificate of Release or Discharge from Active Duty (DD Form 214) or Verification of Military Experience and Training (VMET) (DD Form 2586).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fully comply with all other requirements necessary for licensure in Iowa pursuant to </w:t>
      </w:r>
      <w:hyperlink r:id="rId8">
        <w:r>
          <w:rPr>
            <w:rStyle w:val="Hyperlink"/>
            <w:rFonts w:ascii="Times New Roman" w:hAnsi="Times New Roman"/>
            <w:b w:val="false"/>
            <w:i w:val="false"/>
            <w:color w:val="000000"/>
            <w:sz w:val="22"/>
          </w:rPr>
          <w:t>653—Chapter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18.2(5)</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military service application, the board shall promptly determine whether the verified military education, training, or service will satisfy all or any part of the identified experience or educational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18.2(6)</w:t>
      </w:r>
      <w:r>
        <w:rPr>
          <w:rFonts w:ascii="Times New Roman" w:hAnsi="Times New Roman"/>
          <w:b w:val="false"/>
          <w:i w:val="false"/>
          <w:color w:val="000000"/>
          <w:sz w:val="22"/>
        </w:rPr>
        <w:t> </w:t>
      </w:r>
      <w:r>
        <w:rPr>
          <w:rFonts w:ascii="Times New Roman" w:hAnsi="Times New Roman"/>
          <w:b w:val="false"/>
          <w:i w:val="false"/>
          <w:color w:val="000000"/>
          <w:sz w:val="22"/>
        </w:rPr>
        <w:t>The board shall grant the application in whole or in part if the board determines that the verified military education, training, or service satisfies all or part of the experience or educational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18.2(7)</w:t>
      </w:r>
      <w:r>
        <w:rPr>
          <w:rFonts w:ascii="Times New Roman" w:hAnsi="Times New Roman"/>
          <w:b w:val="false"/>
          <w:i w:val="false"/>
          <w:color w:val="000000"/>
          <w:sz w:val="22"/>
        </w:rPr>
        <w:t> </w:t>
      </w:r>
      <w:r>
        <w:rPr>
          <w:rFonts w:ascii="Times New Roman" w:hAnsi="Times New Roman"/>
          <w:b w:val="false"/>
          <w:i w:val="false"/>
          <w:color w:val="000000"/>
          <w:sz w:val="22"/>
        </w:rPr>
        <w:t>The board shall inform the military service applicant in writing of the credit, if any, given toward an experience or educational qualification for licensure or explain why no credit was granted. The applicant may request reconsideration upon submission of additional documentation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18.2(8)</w:t>
      </w:r>
      <w:r>
        <w:rPr>
          <w:rFonts w:ascii="Times New Roman" w:hAnsi="Times New Roman"/>
          <w:b w:val="false"/>
          <w:i w:val="false"/>
          <w:color w:val="000000"/>
          <w:sz w:val="22"/>
        </w:rPr>
        <w:t> </w:t>
      </w:r>
      <w:r>
        <w:rPr>
          <w:rFonts w:ascii="Times New Roman" w:hAnsi="Times New Roman"/>
          <w:b w:val="false"/>
          <w:i w:val="false"/>
          <w:color w:val="000000"/>
          <w:sz w:val="22"/>
        </w:rPr>
        <w:t>A military service applicant who is aggrieved by the board’s decision may request a contested case (administrative hearing) and may participate in a contested case by telephone. A request for a contested case shall be made within 30 days of issuance of the board’s decision. There shall be no fees or costs assessed against the military service applicant in connection with a contested case conducted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18.2(9)</w:t>
      </w:r>
      <w:r>
        <w:rPr>
          <w:rFonts w:ascii="Times New Roman" w:hAnsi="Times New Roman"/>
          <w:b w:val="false"/>
          <w:i w:val="false"/>
          <w:color w:val="000000"/>
          <w:sz w:val="22"/>
        </w:rPr>
        <w:t> </w:t>
      </w:r>
      <w:r>
        <w:rPr>
          <w:rFonts w:ascii="Times New Roman" w:hAnsi="Times New Roman"/>
          <w:b w:val="false"/>
          <w:i w:val="false"/>
          <w:color w:val="000000"/>
          <w:sz w:val="22"/>
        </w:rPr>
        <w:t>The board shall grant or deny the military service application prior to ruling on the application for licensure. The applicant shall not be required to submit any fees in connection with the licensure application unless the board grants the military service application. If the board does not grant the military service application, the applicant may withdraw the licensure application or request that the application be placed on pending status. The withdrawal of a licensure application shall not preclude subsequent applications supported by additional documentation or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1804C</w:t>
      </w:r>
      <w:r>
        <w:rPr>
          <w:rFonts w:ascii="Times New Roman" w:hAnsi="Times New Roman"/>
          <w:b w:val="false"/>
          <w:i w:val="false"/>
          <w:color w:val="000000"/>
          <w:sz w:val="16"/>
        </w:rPr>
        <w:t>, IAB 12/24/14, effective 1/28/15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653—18.3</w:t>
      </w:r>
      <w:r>
        <w:rPr>
          <w:rFonts w:ascii="Times New Roman" w:hAnsi="Times New Roman"/>
          <w:b/>
          <w:i w:val="false"/>
          <w:color w:val="000000"/>
          <w:sz w:val="22"/>
        </w:rPr>
        <w:t xml:space="preserve">(272C) </w:t>
      </w:r>
      <w:r>
        <w:rPr>
          <w:rFonts w:ascii="Times New Roman" w:hAnsi="Times New Roman"/>
          <w:b/>
          <w:i w:val="false"/>
          <w:color w:val="000000"/>
          <w:sz w:val="22"/>
        </w:rPr>
        <w:t xml:space="preserve">Veteran and spouse 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18.3(1)</w:t>
      </w:r>
      <w:r>
        <w:rPr>
          <w:rFonts w:ascii="Times New Roman" w:hAnsi="Times New Roman"/>
          <w:b w:val="false"/>
          <w:i w:val="false"/>
          <w:color w:val="000000"/>
          <w:sz w:val="22"/>
        </w:rPr>
        <w:t> </w:t>
      </w:r>
      <w:r>
        <w:rPr>
          <w:rFonts w:ascii="Times New Roman" w:hAnsi="Times New Roman"/>
          <w:b w:val="false"/>
          <w:i w:val="false"/>
          <w:color w:val="000000"/>
          <w:sz w:val="22"/>
        </w:rPr>
        <w:t>A veteran or spouse with an unrestricted professional license in another jurisdiction may apply for licensure in Iowa through reciprocity. A veteran or spouse must pass any examinations required for licensure to be eligible for licensure through reciprocity. A fully completed application for licensure submitted by an applicant under this subrule shall be given priority and shall be expedited.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licensure by reciprocity shall contain all of the information required of all applicants for licensure who hold unrestricted licenses in other jurisdictions and who are applying for licensure by reciprocity, including but not limited to completion of all required forms, payment of applicable fees, disclosure of criminal or disciplinary history, and, if applicable, a criminal history background check. In addition, the applicant shall provide such documentation as is reasonably needed to verify the applicant’s status as a veteran under Iowa Code section </w:t>
      </w:r>
      <w:hyperlink r:id="rId9">
        <w:r>
          <w:rPr>
            <w:rStyle w:val="Hyperlink"/>
            <w:rFonts w:ascii="Times New Roman" w:hAnsi="Times New Roman"/>
            <w:b w:val="false"/>
            <w:i w:val="false"/>
            <w:color w:val="000000"/>
            <w:sz w:val="22"/>
          </w:rPr>
          <w:t>35.1(2)</w:t>
        </w:r>
      </w:hyperlink>
      <w:r>
        <w:rPr>
          <w:rFonts w:ascii="Times New Roman" w:hAnsi="Times New Roman"/>
          <w:b w:val="false"/>
          <w:i w:val="false"/>
          <w:color w:val="000000"/>
          <w:sz w:val="22"/>
        </w:rPr>
        <w:t xml:space="preserve"> or as a spouse.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18.3(3)</w:t>
      </w:r>
      <w:r>
        <w:rPr>
          <w:rFonts w:ascii="Times New Roman" w:hAnsi="Times New Roman"/>
          <w:b w:val="false"/>
          <w:i w:val="false"/>
          <w:color w:val="000000"/>
          <w:sz w:val="22"/>
        </w:rPr>
        <w:t> </w:t>
      </w:r>
      <w:r>
        <w:rPr>
          <w:rFonts w:ascii="Times New Roman" w:hAnsi="Times New Roman"/>
          <w:b w:val="false"/>
          <w:i w:val="false"/>
          <w:color w:val="000000"/>
          <w:sz w:val="22"/>
        </w:rPr>
        <w:t>Upon receipt of a fully completed licensure application, the board shall promptly determine if the scope of practice in the jurisdiction where the veteran or spouse is licensed is substantially equivalent to the licensing requirements in Iowa. The board shall make this determination based on information supplied by the applicant and such additional information as the board may acquire from the applicable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18.3(4)</w:t>
      </w:r>
      <w:r>
        <w:rPr>
          <w:rFonts w:ascii="Times New Roman" w:hAnsi="Times New Roman"/>
          <w:b w:val="false"/>
          <w:i w:val="false"/>
          <w:color w:val="000000"/>
          <w:sz w:val="22"/>
        </w:rPr>
        <w:t> </w:t>
      </w:r>
      <w:r>
        <w:rPr>
          <w:rFonts w:ascii="Times New Roman" w:hAnsi="Times New Roman"/>
          <w:b w:val="false"/>
          <w:i w:val="false"/>
          <w:color w:val="000000"/>
          <w:sz w:val="22"/>
        </w:rPr>
        <w:t>The board shall promptly grant a license to the applicant if the applicant is licensed in the same or similar profession in another jurisdiction whose scope of practice is substantially equivalent to the scope of practice in Iowa, unless the applicant is ineligible for licensure based on other grounds, for example, the applicant’s disciplinary or malpractice history or criminal background.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18.3(5)</w:t>
      </w:r>
      <w:r>
        <w:rPr>
          <w:rFonts w:ascii="Times New Roman" w:hAnsi="Times New Roman"/>
          <w:b w:val="false"/>
          <w:i w:val="false"/>
          <w:color w:val="000000"/>
          <w:sz w:val="22"/>
        </w:rPr>
        <w:t> </w:t>
      </w:r>
      <w:r>
        <w:rPr>
          <w:rFonts w:ascii="Times New Roman" w:hAnsi="Times New Roman"/>
          <w:b w:val="false"/>
          <w:i w:val="false"/>
          <w:color w:val="000000"/>
          <w:sz w:val="22"/>
        </w:rPr>
        <w:t>If the board determines that the scope of practice in the jurisdiction in which the applicant is licensed is not substantially equivalent to the scope of practice in Iowa, the board shall promptly inform the applicant of the additional education or training required for licensure in Iowa. Unless the applicant is ineligible for licensure based on other grounds, such as disciplinary or malpractice history or criminal background,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applicant has not passed the required examination(s) for licensure, the applicant may not be issued a temporary license but may request that the application be placed in pending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additional education or training is required, the applicant may request that the board issue a temporary license for a specified period of time during which the applicant will successfully complete the necessary education or training. The board shall issue a temporary license for a specified period of time upon such conditions as the board deems reasonably necessary to protect the health, welfare or safety of the public, unless the board determines that the deficiency is of a character that the public health, welfare or safety will be adversely affected if a temporary license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request for a temporary license is denied, the board shall issue an order fully explaining the decision and shall inform the applicant of the steps the applicant may take in order to receive a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temporary license is issued, the application for full licensure shall be placed in pending status until the necessary education or training has been successfully completed or the temporary license expires, whichever occurs first. The board may extend a temporary license on a case-by-case basis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18.3(6)</w:t>
      </w:r>
      <w:r>
        <w:rPr>
          <w:rFonts w:ascii="Times New Roman" w:hAnsi="Times New Roman"/>
          <w:b w:val="false"/>
          <w:i w:val="false"/>
          <w:color w:val="000000"/>
          <w:sz w:val="22"/>
        </w:rPr>
        <w:t> </w:t>
      </w:r>
      <w:r>
        <w:rPr>
          <w:rFonts w:ascii="Times New Roman" w:hAnsi="Times New Roman"/>
          <w:b w:val="false"/>
          <w:i w:val="false"/>
          <w:color w:val="000000"/>
          <w:sz w:val="22"/>
        </w:rPr>
        <w:t>An applicant who is aggrieved by the board’s decision to deny an application for a reciprocal license or a temporary license or is aggrieved by the terms under which a temporary license will be granted may request a contested case (administrative hearing) and may participate in a contested case by video conferencing. A request for a contested case shall be made within 30 days of issuance of the board’s decision. There shall be no fees or costs assessed against the applicant in connection with a contested case conducted pursuant to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1804C</w:t>
      </w:r>
      <w:r>
        <w:rPr>
          <w:rFonts w:ascii="Times New Roman" w:hAnsi="Times New Roman"/>
          <w:b w:val="false"/>
          <w:i w:val="false"/>
          <w:color w:val="000000"/>
          <w:sz w:val="16"/>
        </w:rPr>
        <w:t>, IAB 12/24/14, effective 1/28/15</w:t>
      </w:r>
      <w:r>
        <w:rPr>
          <w:rFonts w:ascii="Times New Roman" w:hAnsi="Times New Roman"/>
          <w:b w:val="false"/>
          <w:i w:val="false"/>
          <w:color w:val="000000"/>
          <w:sz w:val="16"/>
        </w:rPr>
        <w:t xml:space="preserve">; </w:t>
      </w:r>
      <w:r>
        <w:rPr>
          <w:rFonts w:ascii="Times New Roman" w:hAnsi="Times New Roman"/>
          <w:b/>
          <w:i w:val="false"/>
          <w:color w:val="000000"/>
          <w:sz w:val="16"/>
        </w:rPr>
        <w:t>ARC 4980C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7074C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1804C</w:t>
      </w:r>
      <w:r>
        <w:rPr>
          <w:rFonts w:ascii="Times New Roman" w:hAnsi="Times New Roman"/>
          <w:b w:val="false"/>
          <w:i w:val="false"/>
          <w:color w:val="000000"/>
          <w:sz w:val="21"/>
        </w:rPr>
        <w:t xml:space="preserve"> (Notice ARC 1632C, IAB 9/17/14)</w:t>
      </w:r>
      <w:r>
        <w:rPr>
          <w:rFonts w:ascii="Times New Roman" w:hAnsi="Times New Roman"/>
          <w:b w:val="false"/>
          <w:i w:val="false"/>
          <w:color w:val="000000"/>
          <w:sz w:val="21"/>
        </w:rPr>
        <w:t>, IAB 12/24/14, effective 1/28/15]</w:t>
      </w:r>
    </w:p>
    <w:p>
      <w:pPr>
        <w:spacing w:before="0" w:after="0"/>
        <w:ind w:left="120"/>
        <w:jc w:val="center"/>
      </w:pPr>
      <w:r>
        <w:rPr>
          <w:rFonts w:ascii="Times New Roman" w:hAnsi="Times New Roman"/>
          <w:b w:val="false"/>
          <w:i w:val="false"/>
          <w:color w:val="000000"/>
          <w:sz w:val="21"/>
        </w:rPr>
        <w:t>[Filed ARC 4980C</w:t>
      </w:r>
      <w:r>
        <w:rPr>
          <w:rFonts w:ascii="Times New Roman" w:hAnsi="Times New Roman"/>
          <w:b w:val="false"/>
          <w:i w:val="false"/>
          <w:color w:val="000000"/>
          <w:sz w:val="21"/>
        </w:rPr>
        <w:t xml:space="preserve"> (Notice ARC 4805C, IAB 12/18/19)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7074C</w:t>
      </w:r>
      <w:r>
        <w:rPr>
          <w:rFonts w:ascii="Times New Roman" w:hAnsi="Times New Roman"/>
          <w:b w:val="false"/>
          <w:i w:val="false"/>
          <w:color w:val="000000"/>
          <w:sz w:val="21"/>
        </w:rPr>
        <w:t xml:space="preserve"> (Notice ARC 7042C, IAB 6/28/23)</w:t>
      </w:r>
      <w:r>
        <w:rPr>
          <w:rFonts w:ascii="Times New Roman" w:hAnsi="Times New Roman"/>
          <w:b w:val="false"/>
          <w:i w:val="false"/>
          <w:color w:val="000000"/>
          <w:sz w:val="21"/>
        </w:rPr>
        <w:t>, IAB 9/20/23, effective 10/25/23]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A.1.pdf" Type="http://schemas.openxmlformats.org/officeDocument/2006/relationships/hyperlink" Id="rId5"/>
    <Relationship TargetMode="External" Target="https://www.legis.iowa.gov/docs/iac/rule/653.10.5.pdf" Type="http://schemas.openxmlformats.org/officeDocument/2006/relationships/hyperlink" Id="rId6"/>
    <Relationship TargetMode="External" Target="https://www.legis.iowa.gov/docs/ico/chapter/35.1.pdf" Type="http://schemas.openxmlformats.org/officeDocument/2006/relationships/hyperlink" Id="rId7"/>
    <Relationship TargetMode="External" Target="https://www.legis.iowa.gov/docs/iac/chapter/653.9.pdf" Type="http://schemas.openxmlformats.org/officeDocument/2006/relationships/hyperlink" Id="rId8"/>
    <Relationship TargetMode="External" Target="https://www.legis.iowa.gov/docs/ico/chapter/35.1.pdf" Type="http://schemas.openxmlformats.org/officeDocument/2006/relationships/hyperlink" Id="rId9"/>
    <Relationship TargetMode="External" Target="https://www.legis.iowa.gov/docs/ico/chapter/147.pdf" Type="http://schemas.openxmlformats.org/officeDocument/2006/relationships/hyperlink" Id="rId10"/>
    <Relationship TargetMode="External" Target="https://www.legis.iowa.gov/docs/ico/chapter/148.pdf" Type="http://schemas.openxmlformats.org/officeDocument/2006/relationships/hyperlink" Id="rId11"/>
    <Relationship TargetMode="External" Target="https://www.legis.iowa.gov/docs/ico/chapter/148E.pdf" Type="http://schemas.openxmlformats.org/officeDocument/2006/relationships/hyperlink" Id="rId12"/>
    <Relationship TargetMode="External" Target="https://www.legis.iowa.gov/docs/ico/chapter/272C.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