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CHILD SUPPORT 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653—15.1</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1995 Iowa Acts, chapter 115, sections 1 to 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known as a certificate of noncompliance which is provided by the child support unit certifying that the named licensee is not in compliance with a support order or with a written agreement for payment of support entered into by the child support unit and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unit” </w:t>
      </w:r>
      <w:r>
        <w:rPr>
          <w:rFonts w:ascii="Times New Roman" w:hAnsi="Times New Roman"/>
          <w:b w:val="false"/>
          <w:i w:val="false"/>
          <w:color w:val="000000"/>
          <w:sz w:val="22"/>
        </w:rPr>
        <w:t>means the child support recovery unit of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means a board notification denying an application for the issuance or renewal of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means a board notification suspending a license for an indefinite or specified period of time or a notification revoking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known as a withdrawal of a certificate of noncompliance provided by the child support unit certifying that the certificate is withdrawn and that the board may proceed with issuance, reinstatement, or renewal of a license.</w:t>
      </w:r>
    </w:p>
    <w:p>
      <w:pPr>
        <w:spacing w:before="0" w:after="0"/>
        <w:ind w:left="120"/>
        <w:jc w:val="both"/>
      </w:pPr>
      <w:r>
        <w:rPr>
          <w:rFonts w:ascii="Times New Roman" w:hAnsi="Times New Roman"/>
          <w:b/>
          <w:i w:val="false"/>
          <w:color w:val="000000"/>
          <w:sz w:val="22"/>
        </w:rPr>
        <w:t>653—15.2</w:t>
      </w:r>
      <w:r>
        <w:rPr>
          <w:rFonts w:ascii="Times New Roman" w:hAnsi="Times New Roman"/>
          <w:b/>
          <w:i w:val="false"/>
          <w:color w:val="000000"/>
          <w:sz w:val="22"/>
        </w:rPr>
        <w:t xml:space="preserve">(252J)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The board shall deny the issuance or renewal of a license upon the receipt of a certificate from the child support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the issuance or renewal of a license, as specified in the denial notice, shall be 60 days following service of the denial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denial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Licensees and applicants shall keep the board informed of all court actions, and all child support unit actions taken under or in connection with the Act. Licensees and applicants shall also provide the board copies, within seven days of filing or issuance, of all applications filed with the district court pursuant to the Act, all court orders entered in such actions, and withdrawal of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denial. </w:t>
      </w:r>
      <w:r>
        <w:rPr>
          <w:rFonts w:ascii="Times New Roman" w:hAnsi="Times New Roman"/>
          <w:b w:val="false"/>
          <w:i w:val="false"/>
          <w:color w:val="000000"/>
          <w:sz w:val="22"/>
        </w:rPr>
        <w:t>All board fees required for application, license renewal, or license reinstatement must be paid by applicants or licensees before a license will be issued, renewed, or reinstated after the board has denied the issuance or renewal of a license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files a timely district court action following service of a board denial notice, the board shall continue with the intended action described in the denial notice upon the receipt of a court order lifting the stay, dismissing the action, or otherwise directing the board to proceed. For purposes of determining the effective date of the denial of the issuance or renewal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determines appropriate in the circumstances, within ten days of the effective date of the denial of the issuance or renewal of a license, and shall similarly notify the applicant or licensee if the license is issued or renewed following the board’s receipt of a withdrawal certificate.</w:t>
      </w:r>
    </w:p>
    <w:p>
      <w:pPr>
        <w:spacing w:before="0" w:after="0"/>
        <w:ind w:left="120"/>
        <w:jc w:val="both"/>
      </w:pPr>
      <w:r>
        <w:rPr>
          <w:rFonts w:ascii="Times New Roman" w:hAnsi="Times New Roman"/>
          <w:b/>
          <w:i w:val="false"/>
          <w:color w:val="000000"/>
          <w:sz w:val="22"/>
        </w:rPr>
        <w:t>653—15.3</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The board shall suspend or revoke a license upon the receipt of a certificate from the child support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Service or revocation or suspension notice. </w:t>
      </w:r>
      <w:r>
        <w:rPr>
          <w:rFonts w:ascii="Times New Roman" w:hAnsi="Times New Roman"/>
          <w:b w:val="false"/>
          <w:i w:val="false"/>
          <w:color w:val="000000"/>
          <w:sz w:val="22"/>
        </w:rPr>
        <w:t>Revocation or suspension notice shall be served upon the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as specified in the revocation or suspension notice, shall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and is directed to notify the licensee that the license will be suspended unless the license is already suspended on other grounds. In the event that the license is on suspension, the executive director shall notify the licensee of the board’s intention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The licensee shall keep the board informed of all court actions and all child support recovery unit action taken under or in connection with the Act. Licensees shall also provide the board copies, within seven days of filing or issuance, of all applications filed with the district court pursuant to the Act, all court orders entered in such actions, and any withdrawal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suspension or revocation. </w:t>
      </w:r>
      <w:r>
        <w:rPr>
          <w:rFonts w:ascii="Times New Roman" w:hAnsi="Times New Roman"/>
          <w:b w:val="false"/>
          <w:i w:val="false"/>
          <w:color w:val="000000"/>
          <w:sz w:val="22"/>
        </w:rPr>
        <w:t>A licensee shall pay all board fees required for license renewal or license reinstatement before a license will be reinstated after the board has suspended a license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determines appropriate in the circumstances, within ten days of the effective date of the suspension or revocation of a license, and shall similarly notify the licensee if the license is reinstated following the board’s receipt of a withdrawal certificate.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2/23/96, Notice 1/3/96—published 3/13/96, effective 4/17/96]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