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14</w:t>
      </w:r>
    </w:p>
    <w:p>
      <w:pPr>
        <w:spacing w:before="0" w:after="0"/>
        <w:ind w:left="120"/>
        <w:jc w:val="center"/>
      </w:pPr>
      <w:r>
        <w:rPr>
          <w:rFonts w:ascii="Times New Roman" w:hAnsi="Times New Roman"/>
          <w:b w:val="false"/>
          <w:i w:val="false"/>
          <w:color w:val="000000"/>
          <w:sz w:val="21"/>
        </w:rPr>
        <w:t>IOWA PHYSICIAN HEALTH COMMITTEE—IOWA PHYSICIAN HEALTH PROGRAM</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653—14.1</w:t>
      </w:r>
      <w:r>
        <w:rPr>
          <w:rFonts w:ascii="Times New Roman" w:hAnsi="Times New Roman"/>
          <w:b/>
          <w:i w:val="false"/>
          <w:color w:val="000000"/>
          <w:sz w:val="22"/>
        </w:rPr>
        <w:t xml:space="preserve">(272C) </w:t>
      </w:r>
      <w:r>
        <w:rPr>
          <w:rFonts w:ascii="Times New Roman" w:hAnsi="Times New Roman"/>
          <w:b/>
          <w:i w:val="false"/>
          <w:color w:val="000000"/>
          <w:sz w:val="22"/>
        </w:rPr>
        <w:t xml:space="preserve">Iowa physician health committee—Iowa physician health program.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14.1(1)</w:t>
      </w:r>
      <w:r>
        <w:rPr>
          <w:rFonts w:ascii="Times New Roman" w:hAnsi="Times New Roman"/>
          <w:b w:val="false"/>
          <w:i w:val="false"/>
          <w:color w:val="000000"/>
          <w:sz w:val="22"/>
        </w:rPr>
        <w:t> </w:t>
      </w:r>
      <w:r>
        <w:rPr>
          <w:rFonts w:ascii="Times New Roman" w:hAnsi="Times New Roman"/>
          <w:b w:val="false"/>
          <w:i/>
          <w:color w:val="000000"/>
          <w:sz w:val="22"/>
        </w:rPr>
        <w:t xml:space="preserve">Iowa physician health committee. </w:t>
      </w:r>
      <w:r>
        <w:rPr>
          <w:rFonts w:ascii="Times New Roman" w:hAnsi="Times New Roman"/>
          <w:b w:val="false"/>
          <w:i w:val="false"/>
          <w:color w:val="000000"/>
          <w:sz w:val="22"/>
        </w:rPr>
        <w:t xml:space="preserve">Pursuant to the authority of Iowa Code section </w:t>
      </w:r>
      <w:hyperlink r:id="rId5">
        <w:r>
          <w:rPr>
            <w:rStyle w:val="Hyperlink"/>
            <w:rFonts w:ascii="Times New Roman" w:hAnsi="Times New Roman"/>
            <w:b w:val="false"/>
            <w:i w:val="false"/>
            <w:color w:val="000000"/>
            <w:sz w:val="22"/>
          </w:rPr>
          <w:t>272C.3(1)</w:t>
        </w:r>
      </w:hyperlink>
      <w:r>
        <w:rPr>
          <w:rFonts w:ascii="Times New Roman" w:hAnsi="Times New Roman"/>
          <w:b w:val="false"/>
          <w:i/>
          <w:color w:val="000000"/>
          <w:sz w:val="22"/>
        </w:rPr>
        <w:t>“k,”</w:t>
      </w:r>
      <w:r>
        <w:rPr>
          <w:rFonts w:ascii="Times New Roman" w:hAnsi="Times New Roman"/>
          <w:b w:val="false"/>
          <w:i w:val="false"/>
          <w:color w:val="000000"/>
          <w:sz w:val="22"/>
        </w:rPr>
        <w:t xml:space="preserve"> the board establishes the Iowa physician health committee.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14.1(2)</w:t>
      </w:r>
      <w:r>
        <w:rPr>
          <w:rFonts w:ascii="Times New Roman" w:hAnsi="Times New Roman"/>
          <w:b w:val="false"/>
          <w:i w:val="false"/>
          <w:color w:val="000000"/>
          <w:sz w:val="22"/>
        </w:rPr>
        <w:t> </w:t>
      </w:r>
      <w:r>
        <w:rPr>
          <w:rFonts w:ascii="Times New Roman" w:hAnsi="Times New Roman"/>
          <w:b w:val="false"/>
          <w:i/>
          <w:color w:val="000000"/>
          <w:sz w:val="22"/>
        </w:rPr>
        <w:t xml:space="preserve">Iowa physician health program. </w:t>
      </w:r>
      <w:r>
        <w:rPr>
          <w:rFonts w:ascii="Times New Roman" w:hAnsi="Times New Roman"/>
          <w:b w:val="false"/>
          <w:i w:val="false"/>
          <w:color w:val="000000"/>
          <w:sz w:val="22"/>
        </w:rPr>
        <w:t xml:space="preserve">To assist in executing its duties under Iowa Code section </w:t>
      </w:r>
      <w:hyperlink r:id="rId6">
        <w:r>
          <w:rPr>
            <w:rStyle w:val="Hyperlink"/>
            <w:rFonts w:ascii="Times New Roman" w:hAnsi="Times New Roman"/>
            <w:b w:val="false"/>
            <w:i w:val="false"/>
            <w:color w:val="000000"/>
            <w:sz w:val="22"/>
          </w:rPr>
          <w:t>272C.3(1)</w:t>
        </w:r>
      </w:hyperlink>
      <w:r>
        <w:rPr>
          <w:rFonts w:ascii="Times New Roman" w:hAnsi="Times New Roman"/>
          <w:b w:val="false"/>
          <w:i/>
          <w:color w:val="000000"/>
          <w:sz w:val="22"/>
        </w:rPr>
        <w:t>“k,”</w:t>
      </w:r>
      <w:r>
        <w:rPr>
          <w:rFonts w:ascii="Times New Roman" w:hAnsi="Times New Roman"/>
          <w:b w:val="false"/>
          <w:i w:val="false"/>
          <w:color w:val="000000"/>
          <w:sz w:val="22"/>
        </w:rPr>
        <w:t xml:space="preserve"> the committee establishes the Iowa physician health program. The program shall operate under the direction of the committee and shall be supervised by the executive director of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5251C</w:t>
      </w:r>
      <w:r>
        <w:rPr>
          <w:rFonts w:ascii="Times New Roman" w:hAnsi="Times New Roman"/>
          <w:b w:val="false"/>
          <w:i w:val="false"/>
          <w:color w:val="000000"/>
          <w:sz w:val="16"/>
        </w:rPr>
        <w:t>, IAB 11/4/20, effective 12/9/20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653—14.2</w:t>
      </w:r>
      <w:r>
        <w:rPr>
          <w:rFonts w:ascii="Times New Roman" w:hAnsi="Times New Roman"/>
          <w:b/>
          <w:i w:val="false"/>
          <w:color w:val="000000"/>
          <w:sz w:val="22"/>
        </w:rPr>
        <w:t xml:space="preserve">(272C)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“Applicant” </w:t>
      </w:r>
      <w:r>
        <w:rPr>
          <w:rFonts w:ascii="Times New Roman" w:hAnsi="Times New Roman"/>
          <w:b w:val="false"/>
          <w:i w:val="false"/>
          <w:color w:val="000000"/>
          <w:sz w:val="22"/>
        </w:rPr>
        <w:t>means any person who has submitted an application to the board for a license to practice medicine, acupuncture, or genetic counseling.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means the board of medicine of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“Health contract”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“contract” </w:t>
      </w:r>
      <w:r>
        <w:rPr>
          <w:rFonts w:ascii="Times New Roman" w:hAnsi="Times New Roman"/>
          <w:b w:val="false"/>
          <w:i w:val="false"/>
          <w:color w:val="000000"/>
          <w:sz w:val="22"/>
        </w:rPr>
        <w:t>means the written document executed by an applicant or licensee and the IPHC which establishes the terms for participation in the Iowa physician health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“Impairment” </w:t>
      </w:r>
      <w:r>
        <w:rPr>
          <w:rFonts w:ascii="Times New Roman" w:hAnsi="Times New Roman"/>
          <w:b w:val="false"/>
          <w:i w:val="false"/>
          <w:color w:val="000000"/>
          <w:sz w:val="22"/>
        </w:rPr>
        <w:t>means any of the following that renders or, if left untreated, is reasonably likely to render a licensee unable to practice the licensee’s profession with reasonable skill and safety:</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Mental disorder;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Physical illness or condition, including but not limited to those illnesses or conditions that would adversely affect cognitive, motor, or perceptive skills;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Substance-related disorder, including abuse of or dependence on drugs or alcohol.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“Initial agreement” </w:t>
      </w:r>
      <w:r>
        <w:rPr>
          <w:rFonts w:ascii="Times New Roman" w:hAnsi="Times New Roman"/>
          <w:b w:val="false"/>
          <w:i w:val="false"/>
          <w:color w:val="000000"/>
          <w:sz w:val="22"/>
        </w:rPr>
        <w:t>means the written document establishing the initial terms for participation in the Iowa physician health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“IPHC”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“committee” </w:t>
      </w:r>
      <w:r>
        <w:rPr>
          <w:rFonts w:ascii="Times New Roman" w:hAnsi="Times New Roman"/>
          <w:b w:val="false"/>
          <w:i w:val="false"/>
          <w:color w:val="000000"/>
          <w:sz w:val="22"/>
        </w:rPr>
        <w:t>means the Iowa physician health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“IPHP”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“program” </w:t>
      </w:r>
      <w:r>
        <w:rPr>
          <w:rFonts w:ascii="Times New Roman" w:hAnsi="Times New Roman"/>
          <w:b w:val="false"/>
          <w:i w:val="false"/>
          <w:color w:val="000000"/>
          <w:sz w:val="22"/>
        </w:rPr>
        <w:t>means the Iowa physician health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“Licensee” </w:t>
      </w:r>
      <w:r>
        <w:rPr>
          <w:rFonts w:ascii="Times New Roman" w:hAnsi="Times New Roman"/>
          <w:b w:val="false"/>
          <w:i w:val="false"/>
          <w:color w:val="000000"/>
          <w:sz w:val="22"/>
        </w:rPr>
        <w:t>means any person who has an Iowa license to practice medicine, acupuncture, or genetic counseling issued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“Mental disorder” </w:t>
      </w:r>
      <w:r>
        <w:rPr>
          <w:rFonts w:ascii="Times New Roman" w:hAnsi="Times New Roman"/>
          <w:b w:val="false"/>
          <w:i w:val="false"/>
          <w:color w:val="000000"/>
          <w:sz w:val="22"/>
        </w:rPr>
        <w:t>means any disorder, condition, illness, or syndrome characterized by a clinically significant disturbance in an individual’s cognition, emotion regulation, or behavior that reflects a dysfunction in the psychological, biological, or developmental processes underlying mental functioning. Mental disorders are usually associated with significant distress or disability in social, occupational, or other important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“Participant” </w:t>
      </w:r>
      <w:r>
        <w:rPr>
          <w:rFonts w:ascii="Times New Roman" w:hAnsi="Times New Roman"/>
          <w:b w:val="false"/>
          <w:i w:val="false"/>
          <w:color w:val="000000"/>
          <w:sz w:val="22"/>
        </w:rPr>
        <w:t xml:space="preserve">means an applicant or licensee who signs an initial agreement with the Iowa physician health committee or signs a contract with the Iowa physician health committee.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“Prospective participant” </w:t>
      </w:r>
      <w:r>
        <w:rPr>
          <w:rFonts w:ascii="Times New Roman" w:hAnsi="Times New Roman"/>
          <w:b w:val="false"/>
          <w:i w:val="false"/>
          <w:color w:val="000000"/>
          <w:sz w:val="22"/>
        </w:rPr>
        <w:t>means a licensee or applicant who self-reports an impairment to the Iowa physician health program or is referred to the Iowa physician health program by the board pursuant to 653—14.11(272C).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“Referral by the board” </w:t>
      </w:r>
      <w:r>
        <w:rPr>
          <w:rFonts w:ascii="Times New Roman" w:hAnsi="Times New Roman"/>
          <w:b w:val="false"/>
          <w:i w:val="false"/>
          <w:color w:val="000000"/>
          <w:sz w:val="22"/>
        </w:rPr>
        <w:t xml:space="preserve">means the board has determined, with or without having taken disciplinary action, that the applicant or licensee is an appropriate candidate for participation in the IPHP pursuant to </w:t>
      </w:r>
      <w:hyperlink r:id="rId7">
        <w:r>
          <w:rPr>
            <w:rStyle w:val="Hyperlink"/>
            <w:rFonts w:ascii="Times New Roman" w:hAnsi="Times New Roman"/>
            <w:b w:val="false"/>
            <w:i w:val="false"/>
            <w:color w:val="000000"/>
            <w:sz w:val="22"/>
          </w:rPr>
          <w:t>653—14.11(272C)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“Self-report” </w:t>
      </w:r>
      <w:r>
        <w:rPr>
          <w:rFonts w:ascii="Times New Roman" w:hAnsi="Times New Roman"/>
          <w:b w:val="false"/>
          <w:i w:val="false"/>
          <w:color w:val="000000"/>
          <w:sz w:val="22"/>
        </w:rPr>
        <w:t>means an applicant’s or a licensee’s providing written notification to the IPHC that the applicant or the licensee has been, is, or may be impaired. Information related to an impairment or a potential impairment which is provided on a license application or renewal form may be considered a self-report upon the request of the applicant or licensee and authorization from the board and agreement by the IPHC.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8917B</w:t>
      </w:r>
      <w:r>
        <w:rPr>
          <w:rFonts w:ascii="Times New Roman" w:hAnsi="Times New Roman"/>
          <w:b w:val="false"/>
          <w:i w:val="false"/>
          <w:color w:val="000000"/>
          <w:sz w:val="16"/>
        </w:rPr>
        <w:t>, IAB 6/30/10, effective 8/4/10</w:t>
      </w:r>
      <w:r>
        <w:rPr>
          <w:rFonts w:ascii="Times New Roman" w:hAnsi="Times New Roman"/>
          <w:b w:val="false"/>
          <w:i w:val="false"/>
          <w:color w:val="000000"/>
          <w:sz w:val="16"/>
        </w:rPr>
        <w:t xml:space="preserve">; </w:t>
      </w:r>
      <w:r>
        <w:rPr>
          <w:rFonts w:ascii="Times New Roman" w:hAnsi="Times New Roman"/>
          <w:b/>
          <w:i w:val="false"/>
          <w:color w:val="000000"/>
          <w:sz w:val="16"/>
        </w:rPr>
        <w:t>ARC 1188C</w:t>
      </w:r>
      <w:r>
        <w:rPr>
          <w:rFonts w:ascii="Times New Roman" w:hAnsi="Times New Roman"/>
          <w:b w:val="false"/>
          <w:i w:val="false"/>
          <w:color w:val="000000"/>
          <w:sz w:val="16"/>
        </w:rPr>
        <w:t>, IAB 11/27/13, effective 1/1/14</w:t>
      </w:r>
      <w:r>
        <w:rPr>
          <w:rFonts w:ascii="Times New Roman" w:hAnsi="Times New Roman"/>
          <w:b w:val="false"/>
          <w:i w:val="false"/>
          <w:color w:val="000000"/>
          <w:sz w:val="16"/>
        </w:rPr>
        <w:t xml:space="preserve">; </w:t>
      </w:r>
      <w:r>
        <w:rPr>
          <w:rFonts w:ascii="Times New Roman" w:hAnsi="Times New Roman"/>
          <w:b/>
          <w:i w:val="false"/>
          <w:color w:val="000000"/>
          <w:sz w:val="16"/>
        </w:rPr>
        <w:t>ARC 5251C</w:t>
      </w:r>
      <w:r>
        <w:rPr>
          <w:rFonts w:ascii="Times New Roman" w:hAnsi="Times New Roman"/>
          <w:b w:val="false"/>
          <w:i w:val="false"/>
          <w:color w:val="000000"/>
          <w:sz w:val="16"/>
        </w:rPr>
        <w:t>, IAB 11/4/20, effective 12/9/20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653—14.3</w:t>
      </w:r>
      <w:r>
        <w:rPr>
          <w:rFonts w:ascii="Times New Roman" w:hAnsi="Times New Roman"/>
          <w:b/>
          <w:i w:val="false"/>
          <w:color w:val="000000"/>
          <w:sz w:val="22"/>
        </w:rPr>
        <w:t xml:space="preserve">(272C) </w:t>
      </w:r>
      <w:r>
        <w:rPr>
          <w:rFonts w:ascii="Times New Roman" w:hAnsi="Times New Roman"/>
          <w:b/>
          <w:i w:val="false"/>
          <w:color w:val="000000"/>
          <w:sz w:val="22"/>
        </w:rPr>
        <w:t xml:space="preserve">Purpose. </w:t>
      </w:r>
      <w:r>
        <w:rPr>
          <w:rFonts w:ascii="Times New Roman" w:hAnsi="Times New Roman"/>
          <w:b w:val="false"/>
          <w:i w:val="false"/>
          <w:color w:val="000000"/>
          <w:sz w:val="22"/>
        </w:rPr>
        <w:t xml:space="preserve">The IPHC and IPHP assist and monitor the recovery, rehabilitation, or maintenance of licensees who self-report impairments or are referred by the board pursuant to </w:t>
      </w:r>
      <w:hyperlink r:id="rId8">
        <w:r>
          <w:rPr>
            <w:rStyle w:val="Hyperlink"/>
            <w:rFonts w:ascii="Times New Roman" w:hAnsi="Times New Roman"/>
            <w:b w:val="false"/>
            <w:i w:val="false"/>
            <w:color w:val="000000"/>
            <w:sz w:val="22"/>
          </w:rPr>
          <w:t>653—14.11(272C)</w:t>
        </w:r>
      </w:hyperlink>
      <w:r>
        <w:rPr>
          <w:rFonts w:ascii="Times New Roman" w:hAnsi="Times New Roman"/>
          <w:b w:val="false"/>
          <w:i w:val="false"/>
          <w:color w:val="000000"/>
          <w:sz w:val="22"/>
        </w:rPr>
        <w:t xml:space="preserve"> and, as necessary, notify the board in the event of noncompliance with contract provisions. The IPHC and IPHP both advocate for licensees’ health and promote and protect the health and safety of the public.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8917B</w:t>
      </w:r>
      <w:r>
        <w:rPr>
          <w:rFonts w:ascii="Times New Roman" w:hAnsi="Times New Roman"/>
          <w:b w:val="false"/>
          <w:i w:val="false"/>
          <w:color w:val="000000"/>
          <w:sz w:val="16"/>
        </w:rPr>
        <w:t>, IAB 6/30/10, effective 8/4/10</w:t>
      </w:r>
      <w:r>
        <w:rPr>
          <w:rFonts w:ascii="Times New Roman" w:hAnsi="Times New Roman"/>
          <w:b w:val="false"/>
          <w:i w:val="false"/>
          <w:color w:val="000000"/>
          <w:sz w:val="16"/>
        </w:rPr>
        <w:t xml:space="preserve">; </w:t>
      </w:r>
      <w:r>
        <w:rPr>
          <w:rFonts w:ascii="Times New Roman" w:hAnsi="Times New Roman"/>
          <w:b/>
          <w:i w:val="false"/>
          <w:color w:val="000000"/>
          <w:sz w:val="16"/>
        </w:rPr>
        <w:t>ARC 5251C</w:t>
      </w:r>
      <w:r>
        <w:rPr>
          <w:rFonts w:ascii="Times New Roman" w:hAnsi="Times New Roman"/>
          <w:b w:val="false"/>
          <w:i w:val="false"/>
          <w:color w:val="000000"/>
          <w:sz w:val="16"/>
        </w:rPr>
        <w:t>, IAB 11/4/20, effective 12/9/20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653—14.4</w:t>
      </w:r>
      <w:r>
        <w:rPr>
          <w:rFonts w:ascii="Times New Roman" w:hAnsi="Times New Roman"/>
          <w:b/>
          <w:i w:val="false"/>
          <w:color w:val="000000"/>
          <w:sz w:val="22"/>
        </w:rPr>
        <w:t xml:space="preserve">(272C) </w:t>
      </w:r>
      <w:r>
        <w:rPr>
          <w:rFonts w:ascii="Times New Roman" w:hAnsi="Times New Roman"/>
          <w:b/>
          <w:i w:val="false"/>
          <w:color w:val="000000"/>
          <w:sz w:val="22"/>
        </w:rPr>
        <w:t xml:space="preserve">Organization of the committee. </w:t>
      </w:r>
      <w:r>
        <w:rPr>
          <w:rFonts w:ascii="Times New Roman" w:hAnsi="Times New Roman"/>
          <w:b w:val="false"/>
          <w:i w:val="false"/>
          <w:color w:val="000000"/>
          <w:sz w:val="22"/>
        </w:rPr>
        <w:t>The board shall appoint the members of the IPHC.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14.4(1)</w:t>
      </w:r>
      <w:r>
        <w:rPr>
          <w:rFonts w:ascii="Times New Roman" w:hAnsi="Times New Roman"/>
          <w:b w:val="false"/>
          <w:i w:val="false"/>
          <w:color w:val="000000"/>
          <w:sz w:val="22"/>
        </w:rPr>
        <w:t> </w:t>
      </w:r>
      <w:r>
        <w:rPr>
          <w:rFonts w:ascii="Times New Roman" w:hAnsi="Times New Roman"/>
          <w:b w:val="false"/>
          <w:i/>
          <w:color w:val="000000"/>
          <w:sz w:val="22"/>
        </w:rPr>
        <w:t xml:space="preserve">Membership. </w:t>
      </w:r>
      <w:r>
        <w:rPr>
          <w:rFonts w:ascii="Times New Roman" w:hAnsi="Times New Roman"/>
          <w:b w:val="false"/>
          <w:i w:val="false"/>
          <w:color w:val="000000"/>
          <w:sz w:val="22"/>
        </w:rPr>
        <w:t>The membership of the IPHC includes, but is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medical director of the board or the executive director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One physician who has remained free of addiction for a period of no less than two years following successful completion of a board-approved recovery program, a board-ordered probation for alcohol or drug abuse, dependency, or addiction, or an IPHC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One practitioner with expertise in substance abuse/addiction treatment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One psychiatrist;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One public member.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14.4(2)</w:t>
      </w:r>
      <w:r>
        <w:rPr>
          <w:rFonts w:ascii="Times New Roman" w:hAnsi="Times New Roman"/>
          <w:b w:val="false"/>
          <w:i w:val="false"/>
          <w:color w:val="000000"/>
          <w:sz w:val="22"/>
        </w:rPr>
        <w:t> </w:t>
      </w:r>
      <w:r>
        <w:rPr>
          <w:rFonts w:ascii="Times New Roman" w:hAnsi="Times New Roman"/>
          <w:b w:val="false"/>
          <w:i/>
          <w:color w:val="000000"/>
          <w:sz w:val="22"/>
        </w:rPr>
        <w:t xml:space="preserve">Officers. </w:t>
      </w:r>
      <w:r>
        <w:rPr>
          <w:rFonts w:ascii="Times New Roman" w:hAnsi="Times New Roman"/>
          <w:b w:val="false"/>
          <w:i w:val="false"/>
          <w:color w:val="000000"/>
          <w:sz w:val="22"/>
        </w:rPr>
        <w:t>The IPHC shall elect two co-chairpersons at the last meeting of each calendar year to begin serving a one-year term on January 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co-chairperson is responsible for presiding over IPHC meetings.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medical director and co-chairpersons are responsible for offering guidance and direction to staff between regularly scheduled committee meetings, including negotiation and execution of initial agreements, contracts, and program descriptions and interim restrictions on practice on behalf of the committee. The IPHC retains authority to review all interim decisions at its discretion.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 A co-chairperson is responsible for providing guidance and direction to staff between regularly scheduled committee meetings if the medical director is unavailable or unable to assist in a particular matter.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14.4(3)</w:t>
      </w:r>
      <w:r>
        <w:rPr>
          <w:rFonts w:ascii="Times New Roman" w:hAnsi="Times New Roman"/>
          <w:b w:val="false"/>
          <w:i w:val="false"/>
          <w:color w:val="000000"/>
          <w:sz w:val="22"/>
        </w:rPr>
        <w:t> </w:t>
      </w:r>
      <w:r>
        <w:rPr>
          <w:rFonts w:ascii="Times New Roman" w:hAnsi="Times New Roman"/>
          <w:b w:val="false"/>
          <w:i/>
          <w:color w:val="000000"/>
          <w:sz w:val="22"/>
        </w:rPr>
        <w:t xml:space="preserve">Terms. </w:t>
      </w:r>
      <w:r>
        <w:rPr>
          <w:rFonts w:ascii="Times New Roman" w:hAnsi="Times New Roman"/>
          <w:b w:val="false"/>
          <w:i w:val="false"/>
          <w:color w:val="000000"/>
          <w:sz w:val="22"/>
        </w:rPr>
        <w:t>Committee members, except the medical director, shall be appointed for three-year terms, for a maximum of three terms. Terms shall expire on December 31 of the third year of the term.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1188C</w:t>
      </w:r>
      <w:r>
        <w:rPr>
          <w:rFonts w:ascii="Times New Roman" w:hAnsi="Times New Roman"/>
          <w:b w:val="false"/>
          <w:i w:val="false"/>
          <w:color w:val="000000"/>
          <w:sz w:val="16"/>
        </w:rPr>
        <w:t>, IAB 11/27/13, effective 1/1/14</w:t>
      </w:r>
      <w:r>
        <w:rPr>
          <w:rFonts w:ascii="Times New Roman" w:hAnsi="Times New Roman"/>
          <w:b w:val="false"/>
          <w:i w:val="false"/>
          <w:color w:val="000000"/>
          <w:sz w:val="16"/>
        </w:rPr>
        <w:t xml:space="preserve">; </w:t>
      </w:r>
      <w:r>
        <w:rPr>
          <w:rFonts w:ascii="Times New Roman" w:hAnsi="Times New Roman"/>
          <w:b/>
          <w:i w:val="false"/>
          <w:color w:val="000000"/>
          <w:sz w:val="16"/>
        </w:rPr>
        <w:t>ARC 5251C</w:t>
      </w:r>
      <w:r>
        <w:rPr>
          <w:rFonts w:ascii="Times New Roman" w:hAnsi="Times New Roman"/>
          <w:b w:val="false"/>
          <w:i w:val="false"/>
          <w:color w:val="000000"/>
          <w:sz w:val="16"/>
        </w:rPr>
        <w:t>, IAB 11/4/20, effective 12/9/20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653—14.5</w:t>
      </w:r>
      <w:r>
        <w:rPr>
          <w:rFonts w:ascii="Times New Roman" w:hAnsi="Times New Roman"/>
          <w:b/>
          <w:i w:val="false"/>
          <w:color w:val="000000"/>
          <w:sz w:val="22"/>
        </w:rPr>
        <w:t xml:space="preserve">(272C) </w:t>
      </w:r>
      <w:r>
        <w:rPr>
          <w:rFonts w:ascii="Times New Roman" w:hAnsi="Times New Roman"/>
          <w:b/>
          <w:i w:val="false"/>
          <w:color w:val="000000"/>
          <w:sz w:val="22"/>
        </w:rPr>
        <w:t xml:space="preserve">Eligibility. </w:t>
      </w:r>
      <w:r>
        <w:rPr>
          <w:rFonts w:ascii="Times New Roman" w:hAnsi="Times New Roman"/>
          <w:b w:val="false"/>
          <w:i w:val="false"/>
          <w:color w:val="000000"/>
          <w:sz w:val="22"/>
        </w:rPr>
        <w:t xml:space="preserve">To be eligible for participation in the IPHP, an applicant or a licensee must self-report an impairment or potential impairment directly to the IPHP or be referred by the board for an impairment or potential impairment pursuant to </w:t>
      </w:r>
      <w:hyperlink r:id="rId9">
        <w:r>
          <w:rPr>
            <w:rStyle w:val="Hyperlink"/>
            <w:rFonts w:ascii="Times New Roman" w:hAnsi="Times New Roman"/>
            <w:b w:val="false"/>
            <w:i w:val="false"/>
            <w:color w:val="000000"/>
            <w:sz w:val="22"/>
          </w:rPr>
          <w:t>653—14.11(272C)</w:t>
        </w:r>
      </w:hyperlink>
      <w:r>
        <w:rPr>
          <w:rFonts w:ascii="Times New Roman" w:hAnsi="Times New Roman"/>
          <w:b w:val="false"/>
          <w:i w:val="false"/>
          <w:color w:val="000000"/>
          <w:sz w:val="22"/>
        </w:rPr>
        <w:t xml:space="preserve"> and be determined by the IPHC to be an appropriate candidate for participation in the IPHP.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14.5(1)</w:t>
      </w:r>
      <w:r>
        <w:rPr>
          <w:rFonts w:ascii="Times New Roman" w:hAnsi="Times New Roman"/>
          <w:b w:val="false"/>
          <w:i w:val="false"/>
          <w:color w:val="000000"/>
          <w:sz w:val="22"/>
        </w:rPr>
        <w:t> </w:t>
      </w:r>
      <w:r>
        <w:rPr>
          <w:rFonts w:ascii="Times New Roman" w:hAnsi="Times New Roman"/>
          <w:b w:val="false"/>
          <w:i w:val="false"/>
          <w:color w:val="000000"/>
          <w:sz w:val="22"/>
        </w:rPr>
        <w:t xml:space="preserve">Participation in the program does not divest the board of its authority or jurisdiction over the participant. A participant with an impairment or potential impairment as defined at </w:t>
      </w:r>
      <w:hyperlink r:id="rId10">
        <w:r>
          <w:rPr>
            <w:rStyle w:val="Hyperlink"/>
            <w:rFonts w:ascii="Times New Roman" w:hAnsi="Times New Roman"/>
            <w:b w:val="false"/>
            <w:i w:val="false"/>
            <w:color w:val="000000"/>
            <w:sz w:val="22"/>
          </w:rPr>
          <w:t>653—14.2</w:t>
        </w:r>
      </w:hyperlink>
      <w:r>
        <w:rPr>
          <w:rFonts w:ascii="Times New Roman" w:hAnsi="Times New Roman"/>
          <w:b w:val="false"/>
          <w:i w:val="false"/>
          <w:color w:val="000000"/>
          <w:sz w:val="22"/>
        </w:rPr>
        <w:t>(272C) may retain eligibility to participate in the program if appropriate while subject to investigation or discipline by the board for matters other than the alleged impairment.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14.5(2)</w:t>
      </w:r>
      <w:r>
        <w:rPr>
          <w:rFonts w:ascii="Times New Roman" w:hAnsi="Times New Roman"/>
          <w:b w:val="false"/>
          <w:i w:val="false"/>
          <w:color w:val="000000"/>
          <w:sz w:val="22"/>
        </w:rPr>
        <w:t> </w:t>
      </w:r>
      <w:r>
        <w:rPr>
          <w:rFonts w:ascii="Times New Roman" w:hAnsi="Times New Roman"/>
          <w:b w:val="false"/>
          <w:i w:val="false"/>
          <w:color w:val="000000"/>
          <w:sz w:val="22"/>
        </w:rPr>
        <w:t>A prospective participant may be determined to be ineligible to participate in the program as a self-reporter or a referral from the board if the committee finds sufficient evidence of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prospective participant provided inaccurate, misleading, or fraudulent information or failed to fully cooperate with the IPHC.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prospective participant fails to sign a contract when recommended by the IPHC.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IPHC determines it will be unable to assist the prospective participant.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14.5(3)</w:t>
      </w:r>
      <w:r>
        <w:rPr>
          <w:rFonts w:ascii="Times New Roman" w:hAnsi="Times New Roman"/>
          <w:b w:val="false"/>
          <w:i w:val="false"/>
          <w:color w:val="000000"/>
          <w:sz w:val="22"/>
        </w:rPr>
        <w:t> </w:t>
      </w:r>
      <w:r>
        <w:rPr>
          <w:rFonts w:ascii="Times New Roman" w:hAnsi="Times New Roman"/>
          <w:b w:val="false"/>
          <w:i w:val="false"/>
          <w:color w:val="000000"/>
          <w:sz w:val="22"/>
        </w:rPr>
        <w:t>The IPHC shall report to the board any knowledge of violations of administrative rules or statutes other than the impairment, including, but not limited to, competency concerns or sexual misconduct.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8917B</w:t>
      </w:r>
      <w:r>
        <w:rPr>
          <w:rFonts w:ascii="Times New Roman" w:hAnsi="Times New Roman"/>
          <w:b w:val="false"/>
          <w:i w:val="false"/>
          <w:color w:val="000000"/>
          <w:sz w:val="16"/>
        </w:rPr>
        <w:t>, IAB 6/30/10, effective 8/4/10</w:t>
      </w:r>
      <w:r>
        <w:rPr>
          <w:rFonts w:ascii="Times New Roman" w:hAnsi="Times New Roman"/>
          <w:b w:val="false"/>
          <w:i w:val="false"/>
          <w:color w:val="000000"/>
          <w:sz w:val="16"/>
        </w:rPr>
        <w:t xml:space="preserve">; </w:t>
      </w:r>
      <w:r>
        <w:rPr>
          <w:rFonts w:ascii="Times New Roman" w:hAnsi="Times New Roman"/>
          <w:b/>
          <w:i w:val="false"/>
          <w:color w:val="000000"/>
          <w:sz w:val="16"/>
        </w:rPr>
        <w:t>ARC 1188C</w:t>
      </w:r>
      <w:r>
        <w:rPr>
          <w:rFonts w:ascii="Times New Roman" w:hAnsi="Times New Roman"/>
          <w:b w:val="false"/>
          <w:i w:val="false"/>
          <w:color w:val="000000"/>
          <w:sz w:val="16"/>
        </w:rPr>
        <w:t>, IAB 11/27/13, effective 1/1/14</w:t>
      </w:r>
      <w:r>
        <w:rPr>
          <w:rFonts w:ascii="Times New Roman" w:hAnsi="Times New Roman"/>
          <w:b w:val="false"/>
          <w:i w:val="false"/>
          <w:color w:val="000000"/>
          <w:sz w:val="16"/>
        </w:rPr>
        <w:t xml:space="preserve">; </w:t>
      </w:r>
      <w:r>
        <w:rPr>
          <w:rFonts w:ascii="Times New Roman" w:hAnsi="Times New Roman"/>
          <w:b/>
          <w:i w:val="false"/>
          <w:color w:val="000000"/>
          <w:sz w:val="16"/>
        </w:rPr>
        <w:t>ARC 5251C</w:t>
      </w:r>
      <w:r>
        <w:rPr>
          <w:rFonts w:ascii="Times New Roman" w:hAnsi="Times New Roman"/>
          <w:b w:val="false"/>
          <w:i w:val="false"/>
          <w:color w:val="000000"/>
          <w:sz w:val="16"/>
        </w:rPr>
        <w:t>, IAB 11/4/20, effective 12/9/20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653—14.6</w:t>
      </w:r>
      <w:r>
        <w:rPr>
          <w:rFonts w:ascii="Times New Roman" w:hAnsi="Times New Roman"/>
          <w:b/>
          <w:i w:val="false"/>
          <w:color w:val="000000"/>
          <w:sz w:val="22"/>
        </w:rPr>
        <w:t xml:space="preserve">(272C) </w:t>
      </w:r>
      <w:r>
        <w:rPr>
          <w:rFonts w:ascii="Times New Roman" w:hAnsi="Times New Roman"/>
          <w:b/>
          <w:i w:val="false"/>
          <w:color w:val="000000"/>
          <w:sz w:val="22"/>
        </w:rPr>
        <w:t xml:space="preserve">Type of program. </w:t>
      </w:r>
      <w:r>
        <w:rPr>
          <w:rFonts w:ascii="Times New Roman" w:hAnsi="Times New Roman"/>
          <w:b w:val="false"/>
          <w:i w:val="false"/>
          <w:color w:val="000000"/>
          <w:sz w:val="22"/>
        </w:rPr>
        <w:t>The IPHP is an individualized recovery, rehabilitation, or maintenance program designed to meet the specific needs of the participant. The committee, in consultation with committee-approved evaluators and treatment providers, shall determine the type of recovery, rehabilitation, or maintenance program required to treat the participant’s impairment based on the diagnosis and treatment recommendations from the evaluator or treatment provider. The IPHC shall prepare a contract, to be signed by the participant, that shall provide a detailed description of the goals of the program, the requirements for successful participation, and the participant’s obligations therein. The IPHC may delegate its obligations and duties under these rules to the IPHP staff and the medical director as appropriate pursuant to policies and procedures adopted by the IPHC.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1188C</w:t>
      </w:r>
      <w:r>
        <w:rPr>
          <w:rFonts w:ascii="Times New Roman" w:hAnsi="Times New Roman"/>
          <w:b w:val="false"/>
          <w:i w:val="false"/>
          <w:color w:val="000000"/>
          <w:sz w:val="16"/>
        </w:rPr>
        <w:t>, IAB 11/27/13, effective 1/1/14</w:t>
      </w:r>
      <w:r>
        <w:rPr>
          <w:rFonts w:ascii="Times New Roman" w:hAnsi="Times New Roman"/>
          <w:b w:val="false"/>
          <w:i w:val="false"/>
          <w:color w:val="000000"/>
          <w:sz w:val="16"/>
        </w:rPr>
        <w:t xml:space="preserve">; </w:t>
      </w:r>
      <w:r>
        <w:rPr>
          <w:rFonts w:ascii="Times New Roman" w:hAnsi="Times New Roman"/>
          <w:b/>
          <w:i w:val="false"/>
          <w:color w:val="000000"/>
          <w:sz w:val="16"/>
        </w:rPr>
        <w:t>ARC 5251C</w:t>
      </w:r>
      <w:r>
        <w:rPr>
          <w:rFonts w:ascii="Times New Roman" w:hAnsi="Times New Roman"/>
          <w:b w:val="false"/>
          <w:i w:val="false"/>
          <w:color w:val="000000"/>
          <w:sz w:val="16"/>
        </w:rPr>
        <w:t>, IAB 11/4/20, effective 12/9/20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653—14.7</w:t>
      </w:r>
      <w:r>
        <w:rPr>
          <w:rFonts w:ascii="Times New Roman" w:hAnsi="Times New Roman"/>
          <w:b/>
          <w:i w:val="false"/>
          <w:color w:val="000000"/>
          <w:sz w:val="22"/>
        </w:rPr>
        <w:t xml:space="preserve">(272C) </w:t>
      </w:r>
      <w:r>
        <w:rPr>
          <w:rFonts w:ascii="Times New Roman" w:hAnsi="Times New Roman"/>
          <w:b/>
          <w:i w:val="false"/>
          <w:color w:val="000000"/>
          <w:sz w:val="22"/>
        </w:rPr>
        <w:t xml:space="preserve">Terms of participation. </w:t>
      </w:r>
      <w:r>
        <w:rPr>
          <w:rFonts w:ascii="Times New Roman" w:hAnsi="Times New Roman"/>
          <w:b w:val="false"/>
          <w:i w:val="false"/>
          <w:color w:val="000000"/>
          <w:sz w:val="22"/>
        </w:rPr>
        <w:t>A participant shall agree to comply with the terms for participation in the IPHP established in the initial agreement and contract. Terms of participation specified in the contract shall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14.7(1)</w:t>
      </w:r>
      <w:r>
        <w:rPr>
          <w:rFonts w:ascii="Times New Roman" w:hAnsi="Times New Roman"/>
          <w:b w:val="false"/>
          <w:i w:val="false"/>
          <w:color w:val="000000"/>
          <w:sz w:val="22"/>
        </w:rPr>
        <w:t> </w:t>
      </w:r>
      <w:r>
        <w:rPr>
          <w:rFonts w:ascii="Times New Roman" w:hAnsi="Times New Roman"/>
          <w:b w:val="false"/>
          <w:i/>
          <w:color w:val="000000"/>
          <w:sz w:val="22"/>
        </w:rPr>
        <w:t xml:space="preserve">Duration. </w:t>
      </w:r>
      <w:r>
        <w:rPr>
          <w:rFonts w:ascii="Times New Roman" w:hAnsi="Times New Roman"/>
          <w:b w:val="false"/>
          <w:i w:val="false"/>
          <w:color w:val="000000"/>
          <w:sz w:val="22"/>
        </w:rPr>
        <w:t>Length of participation in the program can vary from one to five years depending on the individual participant’s diagnosis, recommendations from approved evaluators and treatment providers, and the IPHC following a review of all relevant information. A contract shall only terminate once the IPHC has determined that the licensee is no longer impaired.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14.7(2)</w:t>
      </w:r>
      <w:r>
        <w:rPr>
          <w:rFonts w:ascii="Times New Roman" w:hAnsi="Times New Roman"/>
          <w:b w:val="false"/>
          <w:i w:val="false"/>
          <w:color w:val="000000"/>
          <w:sz w:val="22"/>
        </w:rPr>
        <w:t> </w:t>
      </w:r>
      <w:r>
        <w:rPr>
          <w:rFonts w:ascii="Times New Roman" w:hAnsi="Times New Roman"/>
          <w:b w:val="false"/>
          <w:i/>
          <w:color w:val="000000"/>
          <w:sz w:val="22"/>
        </w:rPr>
        <w:t xml:space="preserve">Noncompliance. </w:t>
      </w:r>
      <w:r>
        <w:rPr>
          <w:rFonts w:ascii="Times New Roman" w:hAnsi="Times New Roman"/>
          <w:b w:val="false"/>
          <w:i w:val="false"/>
          <w:color w:val="000000"/>
          <w:sz w:val="22"/>
        </w:rPr>
        <w:t>A participant is responsible for promptly notifying the IPHC of all instances of noncompliance including a relapse. Notification of noncompliance made to the IPHC by the participant, any person responsible for monitoring or treating the participant, or another party shall result in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First instance. </w:t>
      </w:r>
      <w:r>
        <w:rPr>
          <w:rFonts w:ascii="Times New Roman" w:hAnsi="Times New Roman"/>
          <w:b w:val="false"/>
          <w:i w:val="false"/>
          <w:color w:val="000000"/>
          <w:sz w:val="22"/>
        </w:rPr>
        <w:t xml:space="preserve">Upon receiving notification of a first instance of significant noncompliance including, but not limited to, a relapse, the IPHC shall make a report to the board which identifies the participant by IPHP case number, describes the relevant terms of the participant’s contract and the noncompliance, and includes the IPHC’s recommendation as to whether the participant should remain in the program. Upon receiving the report, the board shall determine if formal disciplinary charges should be filed, pursuant to </w:t>
      </w:r>
      <w:hyperlink r:id="rId11">
        <w:r>
          <w:rPr>
            <w:rStyle w:val="Hyperlink"/>
            <w:rFonts w:ascii="Times New Roman" w:hAnsi="Times New Roman"/>
            <w:b w:val="false"/>
            <w:i w:val="false"/>
            <w:color w:val="000000"/>
            <w:sz w:val="22"/>
          </w:rPr>
          <w:t>653—subrule 23.1(12)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Second instance. </w:t>
      </w:r>
      <w:r>
        <w:rPr>
          <w:rFonts w:ascii="Times New Roman" w:hAnsi="Times New Roman"/>
          <w:b w:val="false"/>
          <w:i w:val="false"/>
          <w:color w:val="000000"/>
          <w:sz w:val="22"/>
        </w:rPr>
        <w:t>Upon receiving notification of a second instance of significant noncompliance including, but not limited to, a relapse, the IPHC shall refer the case and the participant’s identity to the board for a determination of whether formal disciplinary charges should be filed or other appropriate action taken. In its referral, the IPHC may make recommendations as to whether the participant should be allowed to remain in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14.7(3)</w:t>
      </w:r>
      <w:r>
        <w:rPr>
          <w:rFonts w:ascii="Times New Roman" w:hAnsi="Times New Roman"/>
          <w:b w:val="false"/>
          <w:i w:val="false"/>
          <w:color w:val="000000"/>
          <w:sz w:val="22"/>
        </w:rPr>
        <w:t> </w:t>
      </w:r>
      <w:r>
        <w:rPr>
          <w:rFonts w:ascii="Times New Roman" w:hAnsi="Times New Roman"/>
          <w:b w:val="false"/>
          <w:i/>
          <w:color w:val="000000"/>
          <w:sz w:val="22"/>
        </w:rPr>
        <w:t xml:space="preserve">Practice restrictions. </w:t>
      </w:r>
      <w:r>
        <w:rPr>
          <w:rFonts w:ascii="Times New Roman" w:hAnsi="Times New Roman"/>
          <w:b w:val="false"/>
          <w:i w:val="false"/>
          <w:color w:val="000000"/>
          <w:sz w:val="22"/>
        </w:rPr>
        <w:t>The IPHC may impose restrictions on the license to practice the applicable profession as a term of the initial agreement or contract until such time as it receives a report from an approved evaluator and the IPHC determines, based on all relevant information, that the participant is capable of practicing with reasonable skill and safety. As a condition of participation in the program, a participant is required to agree to restrict practice in accordance with the terms specified in the initial agreement or contract. In the event that a participant refuses to agree to or comply with the restrictions established in the initial agreement or contract, the IPHC shall refer the participant to the board for appropriate action.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8917B</w:t>
      </w:r>
      <w:r>
        <w:rPr>
          <w:rFonts w:ascii="Times New Roman" w:hAnsi="Times New Roman"/>
          <w:b w:val="false"/>
          <w:i w:val="false"/>
          <w:color w:val="000000"/>
          <w:sz w:val="16"/>
        </w:rPr>
        <w:t>, IAB 6/30/10, effective 8/4/10</w:t>
      </w:r>
      <w:r>
        <w:rPr>
          <w:rFonts w:ascii="Times New Roman" w:hAnsi="Times New Roman"/>
          <w:b w:val="false"/>
          <w:i w:val="false"/>
          <w:color w:val="000000"/>
          <w:sz w:val="16"/>
        </w:rPr>
        <w:t xml:space="preserve">; </w:t>
      </w:r>
      <w:r>
        <w:rPr>
          <w:rFonts w:ascii="Times New Roman" w:hAnsi="Times New Roman"/>
          <w:b/>
          <w:i w:val="false"/>
          <w:color w:val="000000"/>
          <w:sz w:val="16"/>
        </w:rPr>
        <w:t>ARC 1188C</w:t>
      </w:r>
      <w:r>
        <w:rPr>
          <w:rFonts w:ascii="Times New Roman" w:hAnsi="Times New Roman"/>
          <w:b w:val="false"/>
          <w:i w:val="false"/>
          <w:color w:val="000000"/>
          <w:sz w:val="16"/>
        </w:rPr>
        <w:t>, IAB 11/27/13, effective 1/1/14</w:t>
      </w:r>
      <w:r>
        <w:rPr>
          <w:rFonts w:ascii="Times New Roman" w:hAnsi="Times New Roman"/>
          <w:b w:val="false"/>
          <w:i w:val="false"/>
          <w:color w:val="000000"/>
          <w:sz w:val="16"/>
        </w:rPr>
        <w:t xml:space="preserve">; </w:t>
      </w:r>
      <w:r>
        <w:rPr>
          <w:rFonts w:ascii="Times New Roman" w:hAnsi="Times New Roman"/>
          <w:b/>
          <w:i w:val="false"/>
          <w:color w:val="000000"/>
          <w:sz w:val="16"/>
        </w:rPr>
        <w:t>ARC 5251C</w:t>
      </w:r>
      <w:r>
        <w:rPr>
          <w:rFonts w:ascii="Times New Roman" w:hAnsi="Times New Roman"/>
          <w:b w:val="false"/>
          <w:i w:val="false"/>
          <w:color w:val="000000"/>
          <w:sz w:val="16"/>
        </w:rPr>
        <w:t>, IAB 11/4/20, effective 12/9/20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653—14.8</w:t>
      </w:r>
      <w:r>
        <w:rPr>
          <w:rFonts w:ascii="Times New Roman" w:hAnsi="Times New Roman"/>
          <w:b/>
          <w:i w:val="false"/>
          <w:color w:val="000000"/>
          <w:sz w:val="22"/>
        </w:rPr>
        <w:t xml:space="preserve">(272C) </w:t>
      </w:r>
      <w:r>
        <w:rPr>
          <w:rFonts w:ascii="Times New Roman" w:hAnsi="Times New Roman"/>
          <w:b/>
          <w:i w:val="false"/>
          <w:color w:val="000000"/>
          <w:sz w:val="22"/>
        </w:rPr>
        <w:t xml:space="preserve">Limitations.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14.8(1)</w:t>
      </w:r>
      <w:r>
        <w:rPr>
          <w:rFonts w:ascii="Times New Roman" w:hAnsi="Times New Roman"/>
          <w:b w:val="false"/>
          <w:i w:val="false"/>
          <w:color w:val="000000"/>
          <w:sz w:val="22"/>
        </w:rPr>
        <w:t> </w:t>
      </w:r>
      <w:r>
        <w:rPr>
          <w:rFonts w:ascii="Times New Roman" w:hAnsi="Times New Roman"/>
          <w:b w:val="false"/>
          <w:i w:val="false"/>
          <w:color w:val="000000"/>
          <w:sz w:val="22"/>
        </w:rPr>
        <w:t>The IPHC establishes the terms of and monitors a participant’s compliance with the program specified in the initial agreement and contract. The IPHC is not responsible for participants who fail to comply with the terms of the initial agreement or contract or who fail to otherwise successfully complete the IPHP.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14.8(2)</w:t>
      </w:r>
      <w:r>
        <w:rPr>
          <w:rFonts w:ascii="Times New Roman" w:hAnsi="Times New Roman"/>
          <w:b w:val="false"/>
          <w:i w:val="false"/>
          <w:color w:val="000000"/>
          <w:sz w:val="22"/>
        </w:rPr>
        <w:t> </w:t>
      </w:r>
      <w:r>
        <w:rPr>
          <w:rFonts w:ascii="Times New Roman" w:hAnsi="Times New Roman"/>
          <w:b w:val="false"/>
          <w:i w:val="false"/>
          <w:color w:val="000000"/>
          <w:sz w:val="22"/>
        </w:rPr>
        <w:t>Participation in the IPHP shall not relieve the board of any duties and shall not divest the board of any authority or jurisdiction otherwise provided. A participant who violates a statute or administrative rule of the board which is unrelated to impairment, including, but not limited to, competency concerns or sexual misconduct, shall be referred to the board in accordance with these administrative rules for appropriate action.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1188C</w:t>
      </w:r>
      <w:r>
        <w:rPr>
          <w:rFonts w:ascii="Times New Roman" w:hAnsi="Times New Roman"/>
          <w:b w:val="false"/>
          <w:i w:val="false"/>
          <w:color w:val="000000"/>
          <w:sz w:val="16"/>
        </w:rPr>
        <w:t>, IAB 11/27/13, effective 1/1/14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653—14.9</w:t>
      </w:r>
      <w:r>
        <w:rPr>
          <w:rFonts w:ascii="Times New Roman" w:hAnsi="Times New Roman"/>
          <w:b/>
          <w:i w:val="false"/>
          <w:color w:val="000000"/>
          <w:sz w:val="22"/>
        </w:rPr>
        <w:t xml:space="preserve">(272C) </w:t>
      </w:r>
      <w:r>
        <w:rPr>
          <w:rFonts w:ascii="Times New Roman" w:hAnsi="Times New Roman"/>
          <w:b/>
          <w:i w:val="false"/>
          <w:color w:val="000000"/>
          <w:sz w:val="22"/>
        </w:rPr>
        <w:t xml:space="preserve">Confidentiality. </w:t>
      </w:r>
      <w:r>
        <w:rPr>
          <w:rFonts w:ascii="Times New Roman" w:hAnsi="Times New Roman"/>
          <w:b w:val="false"/>
          <w:i w:val="false"/>
          <w:color w:val="000000"/>
          <w:sz w:val="22"/>
        </w:rPr>
        <w:t xml:space="preserve">Information in the possession of the board or the committee shall be subject to the confidentiality requirements of Iowa Code section </w:t>
      </w:r>
      <w:hyperlink r:id="rId12">
        <w:r>
          <w:rPr>
            <w:rStyle w:val="Hyperlink"/>
            <w:rFonts w:ascii="Times New Roman" w:hAnsi="Times New Roman"/>
            <w:b w:val="false"/>
            <w:i w:val="false"/>
            <w:color w:val="000000"/>
            <w:sz w:val="22"/>
          </w:rPr>
          <w:t>272C.6</w:t>
        </w:r>
      </w:hyperlink>
      <w:r>
        <w:rPr>
          <w:rFonts w:ascii="Times New Roman" w:hAnsi="Times New Roman"/>
          <w:b w:val="false"/>
          <w:i w:val="false"/>
          <w:color w:val="000000"/>
          <w:sz w:val="22"/>
        </w:rPr>
        <w:t>. Information about applicants or licensees in the program shall not be disclosed except as provided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14.9(1)</w:t>
      </w:r>
      <w:r>
        <w:rPr>
          <w:rFonts w:ascii="Times New Roman" w:hAnsi="Times New Roman"/>
          <w:b w:val="false"/>
          <w:i w:val="false"/>
          <w:color w:val="000000"/>
          <w:sz w:val="22"/>
        </w:rPr>
        <w:t> </w:t>
      </w:r>
      <w:r>
        <w:rPr>
          <w:rFonts w:ascii="Times New Roman" w:hAnsi="Times New Roman"/>
          <w:b w:val="false"/>
          <w:i w:val="false"/>
          <w:color w:val="000000"/>
          <w:sz w:val="22"/>
        </w:rPr>
        <w:t xml:space="preserve">The IPHC is authorized pursuant to Iowa Code section </w:t>
      </w:r>
      <w:hyperlink r:id="rId13">
        <w:r>
          <w:rPr>
            <w:rStyle w:val="Hyperlink"/>
            <w:rFonts w:ascii="Times New Roman" w:hAnsi="Times New Roman"/>
            <w:b w:val="false"/>
            <w:i w:val="false"/>
            <w:color w:val="000000"/>
            <w:sz w:val="22"/>
          </w:rPr>
          <w:t>272C.6(4)</w:t>
        </w:r>
      </w:hyperlink>
      <w:r>
        <w:rPr>
          <w:rFonts w:ascii="Times New Roman" w:hAnsi="Times New Roman"/>
          <w:b w:val="false"/>
          <w:i w:val="false"/>
          <w:color w:val="000000"/>
          <w:sz w:val="22"/>
        </w:rPr>
        <w:t xml:space="preserve"> to communicate information about a current or former IPHP participant to the applicable regulatory authorities or impaired licensee programs in the state of Iowa and in any jurisdiction of the United States or foreign nations in which the participant is currently licensed to practice medicine or in which the participant seeks licensure. IPHP participants must report their participation to the applicable physician health program or licensing authority in any state in which the participant is currently licensed or in which the participant seeks licensure.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14.9(2)</w:t>
      </w:r>
      <w:r>
        <w:rPr>
          <w:rFonts w:ascii="Times New Roman" w:hAnsi="Times New Roman"/>
          <w:b w:val="false"/>
          <w:i w:val="false"/>
          <w:color w:val="000000"/>
          <w:sz w:val="22"/>
        </w:rPr>
        <w:t> </w:t>
      </w:r>
      <w:r>
        <w:rPr>
          <w:rFonts w:ascii="Times New Roman" w:hAnsi="Times New Roman"/>
          <w:b w:val="false"/>
          <w:i w:val="false"/>
          <w:color w:val="000000"/>
          <w:sz w:val="22"/>
        </w:rPr>
        <w:t>The IPHC is authorized to communicate information about an IPHP participant to any person assisting in the participant’s treatment, recovery, rehabilitation, monitoring, or maintenance for the duration of the contract.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14.9(3)</w:t>
      </w:r>
      <w:r>
        <w:rPr>
          <w:rFonts w:ascii="Times New Roman" w:hAnsi="Times New Roman"/>
          <w:b w:val="false"/>
          <w:i w:val="false"/>
          <w:color w:val="000000"/>
          <w:sz w:val="22"/>
        </w:rPr>
        <w:t> </w:t>
      </w:r>
      <w:r>
        <w:rPr>
          <w:rFonts w:ascii="Times New Roman" w:hAnsi="Times New Roman"/>
          <w:b w:val="false"/>
          <w:i w:val="false"/>
          <w:color w:val="000000"/>
          <w:sz w:val="22"/>
        </w:rPr>
        <w:t>The IPHC is authorized to communicate information about an IPHP participant to the board in the event a participant does not comply with the terms of the contract as set forth in subrule 14.7(2). The IPHC may provide the board with a participant’s IPHP file in the event the participant does not comply with the terms of the contract and the IPHC refers the case to the board for the filing of formal disciplinary charges or other appropriate action. If the board initiates disciplinary action against a licensee for noncompliance with the terms of the contract, the board may include information about a licensee’s participation in the IPHP in the statement of charges, settlement agreement and final order, or order following hearing. The IPHC is also authorized to communicate information about an IPHP participant to the board in the event the participant is under investigation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14.9(4)</w:t>
      </w:r>
      <w:r>
        <w:rPr>
          <w:rFonts w:ascii="Times New Roman" w:hAnsi="Times New Roman"/>
          <w:b w:val="false"/>
          <w:i w:val="false"/>
          <w:color w:val="000000"/>
          <w:sz w:val="22"/>
        </w:rPr>
        <w:t> </w:t>
      </w:r>
      <w:r>
        <w:rPr>
          <w:rFonts w:ascii="Times New Roman" w:hAnsi="Times New Roman"/>
          <w:b w:val="false"/>
          <w:i w:val="false"/>
          <w:color w:val="000000"/>
          <w:sz w:val="22"/>
        </w:rPr>
        <w:t>The IPHC is authorized to communicate information about a current or former IPHP participant to the board if reliable information held by the IPHC reasonably indicates a significant risk to the public exists. If the board initiates disciplinary action based upon this information, the board may include information about a licensee’s participation in the IPHP in the statement of charges, settlement agreement and final order, or order following hearing if necessary to address impairment issues related to the violations which are the subject of the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14.9(5)</w:t>
      </w:r>
      <w:r>
        <w:rPr>
          <w:rFonts w:ascii="Times New Roman" w:hAnsi="Times New Roman"/>
          <w:b w:val="false"/>
          <w:i w:val="false"/>
          <w:color w:val="000000"/>
          <w:sz w:val="22"/>
        </w:rPr>
        <w:t> </w:t>
      </w:r>
      <w:r>
        <w:rPr>
          <w:rFonts w:ascii="Times New Roman" w:hAnsi="Times New Roman"/>
          <w:b w:val="false"/>
          <w:i w:val="false"/>
          <w:color w:val="000000"/>
          <w:sz w:val="22"/>
        </w:rPr>
        <w:t>The IPHC shall file with the board a report on board-referred cases upon the licensee’s successful completion of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14.9(6)</w:t>
      </w:r>
      <w:r>
        <w:rPr>
          <w:rFonts w:ascii="Times New Roman" w:hAnsi="Times New Roman"/>
          <w:b w:val="false"/>
          <w:i w:val="false"/>
          <w:color w:val="000000"/>
          <w:sz w:val="22"/>
        </w:rPr>
        <w:t> </w:t>
      </w:r>
      <w:r>
        <w:rPr>
          <w:rFonts w:ascii="Times New Roman" w:hAnsi="Times New Roman"/>
          <w:b w:val="false"/>
          <w:i w:val="false"/>
          <w:color w:val="000000"/>
          <w:sz w:val="22"/>
        </w:rPr>
        <w:t>The IPHC shall maintain a participant’s complete IPHP file for the ten-year period after a participant’s contract has expired or is terminated. After that period, the Executive Summary and contract shall be retained.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8917B</w:t>
      </w:r>
      <w:r>
        <w:rPr>
          <w:rFonts w:ascii="Times New Roman" w:hAnsi="Times New Roman"/>
          <w:b w:val="false"/>
          <w:i w:val="false"/>
          <w:color w:val="000000"/>
          <w:sz w:val="16"/>
        </w:rPr>
        <w:t>, IAB 6/30/10, effective 8/4/10</w:t>
      </w:r>
      <w:r>
        <w:rPr>
          <w:rFonts w:ascii="Times New Roman" w:hAnsi="Times New Roman"/>
          <w:b w:val="false"/>
          <w:i w:val="false"/>
          <w:color w:val="000000"/>
          <w:sz w:val="16"/>
        </w:rPr>
        <w:t xml:space="preserve">; </w:t>
      </w:r>
      <w:r>
        <w:rPr>
          <w:rFonts w:ascii="Times New Roman" w:hAnsi="Times New Roman"/>
          <w:b/>
          <w:i w:val="false"/>
          <w:color w:val="000000"/>
          <w:sz w:val="16"/>
        </w:rPr>
        <w:t>ARC 1188C</w:t>
      </w:r>
      <w:r>
        <w:rPr>
          <w:rFonts w:ascii="Times New Roman" w:hAnsi="Times New Roman"/>
          <w:b w:val="false"/>
          <w:i w:val="false"/>
          <w:color w:val="000000"/>
          <w:sz w:val="16"/>
        </w:rPr>
        <w:t>, IAB 11/27/13, effective 1/1/14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653—14.10</w:t>
      </w:r>
      <w:r>
        <w:rPr>
          <w:rFonts w:ascii="Times New Roman" w:hAnsi="Times New Roman"/>
          <w:b/>
          <w:i w:val="false"/>
          <w:color w:val="000000"/>
          <w:sz w:val="22"/>
        </w:rPr>
        <w:t xml:space="preserve">(28E) </w:t>
      </w:r>
      <w:r>
        <w:rPr>
          <w:rFonts w:ascii="Times New Roman" w:hAnsi="Times New Roman"/>
          <w:b/>
          <w:i w:val="false"/>
          <w:color w:val="000000"/>
          <w:sz w:val="22"/>
        </w:rPr>
        <w:t xml:space="preserve">Authority for 28E agreements. </w:t>
      </w:r>
      <w:r>
        <w:rPr>
          <w:rFonts w:ascii="Times New Roman" w:hAnsi="Times New Roman"/>
          <w:b w:val="false"/>
          <w:i w:val="false"/>
          <w:color w:val="000000"/>
          <w:sz w:val="22"/>
        </w:rPr>
        <w:t>The IPHC may enter into 28E agreements with other health professional licensing boards to evaluate, assist, and monitor impaired licensees from other health professions who self-report and to report to those professional licensing boards regarding the compliance of individual licensees. In the event of noncompliance, the licensee may be referred to the appropriate licensing board for appropriate disciplinary action. If the IPHC enters into a 28E agreement with another health professional licensing board, this chapter applies and the word “physician” shall be replaced with the word “licensee” for the purpose of interpreting this chapter.</w:t>
      </w:r>
    </w:p>
    <w:p>
      <w:pPr>
        <w:spacing w:before="0" w:after="0"/>
        <w:ind w:left="120"/>
        <w:jc w:val="both"/>
      </w:pPr>
      <w:r>
        <w:rPr>
          <w:rFonts w:ascii="Times New Roman" w:hAnsi="Times New Roman"/>
          <w:b/>
          <w:i w:val="false"/>
          <w:color w:val="000000"/>
          <w:sz w:val="22"/>
        </w:rPr>
        <w:t>653—14.11</w:t>
      </w:r>
      <w:r>
        <w:rPr>
          <w:rFonts w:ascii="Times New Roman" w:hAnsi="Times New Roman"/>
          <w:b/>
          <w:i w:val="false"/>
          <w:color w:val="000000"/>
          <w:sz w:val="22"/>
        </w:rPr>
        <w:t xml:space="preserve">(272C) </w:t>
      </w:r>
      <w:r>
        <w:rPr>
          <w:rFonts w:ascii="Times New Roman" w:hAnsi="Times New Roman"/>
          <w:b/>
          <w:i w:val="false"/>
          <w:color w:val="000000"/>
          <w:sz w:val="22"/>
        </w:rPr>
        <w:t xml:space="preserve">Board referrals to the Iowa physician health program.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14.11(1)</w:t>
      </w:r>
      <w:r>
        <w:rPr>
          <w:rFonts w:ascii="Times New Roman" w:hAnsi="Times New Roman"/>
          <w:b w:val="false"/>
          <w:i w:val="false"/>
          <w:color w:val="000000"/>
          <w:sz w:val="22"/>
        </w:rPr>
        <w:t> </w:t>
      </w:r>
      <w:r>
        <w:rPr>
          <w:rFonts w:ascii="Times New Roman" w:hAnsi="Times New Roman"/>
          <w:b w:val="false"/>
          <w:i/>
          <w:color w:val="000000"/>
          <w:sz w:val="22"/>
        </w:rPr>
        <w:t xml:space="preserve">Eligibility for board referral to IPHP. </w:t>
      </w:r>
      <w:r>
        <w:rPr>
          <w:rFonts w:ascii="Times New Roman" w:hAnsi="Times New Roman"/>
          <w:b w:val="false"/>
          <w:i w:val="false"/>
          <w:color w:val="000000"/>
          <w:sz w:val="22"/>
        </w:rPr>
        <w:t>The board may refer to the IPHP a licensee or applicant for whom the following circumstances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or licensee has a potential impairment as defined in rule </w:t>
      </w:r>
      <w:hyperlink r:id="rId14">
        <w:r>
          <w:rPr>
            <w:rStyle w:val="Hyperlink"/>
            <w:rFonts w:ascii="Times New Roman" w:hAnsi="Times New Roman"/>
            <w:b w:val="false"/>
            <w:i w:val="false"/>
            <w:color w:val="000000"/>
            <w:sz w:val="22"/>
          </w:rPr>
          <w:t>653—14.2(272C)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board determines that the applicant or licensee is an appropriate candidate for participation in the IPHP.</w:t>
      </w:r>
    </w:p>
    <w:p>
      <w:pPr>
        <w:spacing w:before="0" w:after="0"/>
        <w:ind w:left="120"/>
        <w:jc w:val="both"/>
      </w:pP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IPHC determines that the applicant or licensee is an appropriate candidate for participation in the IPHP.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14.11(2)</w:t>
      </w:r>
      <w:r>
        <w:rPr>
          <w:rFonts w:ascii="Times New Roman" w:hAnsi="Times New Roman"/>
          <w:b w:val="false"/>
          <w:i w:val="false"/>
          <w:color w:val="000000"/>
          <w:sz w:val="22"/>
        </w:rPr>
        <w:t> </w:t>
      </w:r>
      <w:r>
        <w:rPr>
          <w:rFonts w:ascii="Times New Roman" w:hAnsi="Times New Roman"/>
          <w:b w:val="false"/>
          <w:i/>
          <w:color w:val="000000"/>
          <w:sz w:val="22"/>
        </w:rPr>
        <w:t xml:space="preserve">Referral process.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Determination of whether an applicant or licensee is appropriate for referral to the IPHP is in the sole discretion of the board. Upon the board’s approval, a referral shall be made to the IPHP and board staff shall provide relevant information about the applicant or licensee to the IPHC.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IPHC shall make a determination whether the applicant or licensee is an appropriate candidate for participation in the IPHP. Upon this determination, the IPHC shall offer the referred applicant or licensee a health contract which provides a detailed description of the goals of the program, the requirements for successful participation, and the applicant’s or licensee’s obligations therein. See </w:t>
      </w:r>
      <w:hyperlink r:id="rId15">
        <w:r>
          <w:rPr>
            <w:rStyle w:val="Hyperlink"/>
            <w:rFonts w:ascii="Times New Roman" w:hAnsi="Times New Roman"/>
            <w:b w:val="false"/>
            <w:i w:val="false"/>
            <w:color w:val="000000"/>
            <w:sz w:val="22"/>
          </w:rPr>
          <w:t>653—14.6(272C)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IPHC finds that the applicant or licensee is not an appropriate candidate for participation in the IPHP or if the applicant or licensee fails to sign the initial agreement or contract in the time period specified by the IPHC, the IPHC shall notify the board promptly.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When the referred applicant or licensee signs the contract, the IPHC shall notify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IPHC shall notify the board upon the participant’s successful completion of the program. The board may file an order recognizing the participant’s successful completion of the program in cases where the referral was included in a public record. An order recognizing completion of the program shall be a public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Referral of an applicant or licensee by the board to the IPHP shall not relieve the board of any duties of the board and shall not divest the board of any authority or jurisdiction otherwise provided. Upon referral, the applicant or licensee shall be subject to the provisions of </w:t>
      </w:r>
      <w:hyperlink r:id="rId16">
        <w:r>
          <w:rPr>
            <w:rStyle w:val="Hyperlink"/>
            <w:rFonts w:ascii="Times New Roman" w:hAnsi="Times New Roman"/>
            <w:b w:val="false"/>
            <w:i w:val="false"/>
            <w:color w:val="000000"/>
            <w:sz w:val="22"/>
          </w:rPr>
          <w:t>653—Chapter 14</w:t>
        </w:r>
      </w:hyperlink>
      <w:r>
        <w:rPr>
          <w:rFonts w:ascii="Times New Roman" w:hAnsi="Times New Roman"/>
          <w:b w:val="false"/>
          <w:i w:val="false"/>
          <w:color w:val="000000"/>
          <w:sz w:val="22"/>
        </w:rPr>
        <w:t xml:space="preserve">. Specifically, the applicant or licensee shall be subject to board review and potential formal disciplinary action pursuant to subrule </w:t>
      </w:r>
      <w:hyperlink r:id="rId17">
        <w:r>
          <w:rPr>
            <w:rStyle w:val="Hyperlink"/>
            <w:rFonts w:ascii="Times New Roman" w:hAnsi="Times New Roman"/>
            <w:b w:val="false"/>
            <w:i w:val="false"/>
            <w:color w:val="000000"/>
            <w:sz w:val="22"/>
          </w:rPr>
          <w:t>14.7(2)</w:t>
        </w:r>
      </w:hyperlink>
      <w:r>
        <w:rPr>
          <w:rFonts w:ascii="Times New Roman" w:hAnsi="Times New Roman"/>
          <w:b w:val="false"/>
          <w:i w:val="false"/>
          <w:color w:val="000000"/>
          <w:sz w:val="22"/>
        </w:rPr>
        <w:t xml:space="preserve"> for noncompliance with the provisions of the IPHP health contract.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8917B</w:t>
      </w:r>
      <w:r>
        <w:rPr>
          <w:rFonts w:ascii="Times New Roman" w:hAnsi="Times New Roman"/>
          <w:b w:val="false"/>
          <w:i w:val="false"/>
          <w:color w:val="000000"/>
          <w:sz w:val="16"/>
        </w:rPr>
        <w:t>, IAB 6/30/10, effective 8/4/10</w:t>
      </w:r>
      <w:r>
        <w:rPr>
          <w:rFonts w:ascii="Times New Roman" w:hAnsi="Times New Roman"/>
          <w:b w:val="false"/>
          <w:i w:val="false"/>
          <w:color w:val="000000"/>
          <w:sz w:val="16"/>
        </w:rPr>
        <w:t xml:space="preserve">; </w:t>
      </w:r>
      <w:r>
        <w:rPr>
          <w:rFonts w:ascii="Times New Roman" w:hAnsi="Times New Roman"/>
          <w:b/>
          <w:i w:val="false"/>
          <w:color w:val="000000"/>
          <w:sz w:val="16"/>
        </w:rPr>
        <w:t>ARC 1188C</w:t>
      </w:r>
      <w:r>
        <w:rPr>
          <w:rFonts w:ascii="Times New Roman" w:hAnsi="Times New Roman"/>
          <w:b w:val="false"/>
          <w:i w:val="false"/>
          <w:color w:val="000000"/>
          <w:sz w:val="16"/>
        </w:rPr>
        <w:t>, IAB 11/27/13, effective 1/1/14</w:t>
      </w:r>
      <w:r>
        <w:rPr>
          <w:rFonts w:ascii="Times New Roman" w:hAnsi="Times New Roman"/>
          <w:b w:val="false"/>
          <w:i w:val="false"/>
          <w:color w:val="000000"/>
          <w:sz w:val="16"/>
        </w:rPr>
        <w:t xml:space="preserve">; </w:t>
      </w:r>
      <w:r>
        <w:rPr>
          <w:rFonts w:ascii="Times New Roman" w:hAnsi="Times New Roman"/>
          <w:b/>
          <w:i w:val="false"/>
          <w:color w:val="000000"/>
          <w:sz w:val="16"/>
        </w:rPr>
        <w:t>ARC 5251C</w:t>
      </w:r>
      <w:r>
        <w:rPr>
          <w:rFonts w:ascii="Times New Roman" w:hAnsi="Times New Roman"/>
          <w:b w:val="false"/>
          <w:i w:val="false"/>
          <w:color w:val="000000"/>
          <w:sz w:val="16"/>
        </w:rPr>
        <w:t>, IAB 11/4/20, effective 12/9/20</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8">
        <w:r>
          <w:rPr>
            <w:rStyle w:val="Hyperlink"/>
            <w:rFonts w:ascii="Times New Roman" w:hAnsi="Times New Roman"/>
            <w:b w:val="false"/>
            <w:i w:val="false"/>
            <w:color w:val="000000"/>
            <w:sz w:val="22"/>
          </w:rPr>
          <w:t>272C.3</w:t>
        </w:r>
      </w:hyperlink>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1"/>
        </w:rPr>
        <w:t>[Filed 4/30/99, Notice 3/24/99—published 5/19/99, effective 7/1/99]</w:t>
      </w:r>
    </w:p>
    <w:p>
      <w:pPr>
        <w:spacing w:before="0" w:after="0"/>
        <w:ind w:left="120"/>
        <w:jc w:val="center"/>
      </w:pPr>
      <w:r>
        <w:rPr>
          <w:rFonts w:ascii="Times New Roman" w:hAnsi="Times New Roman"/>
          <w:b w:val="false"/>
          <w:i w:val="false"/>
          <w:color w:val="000000"/>
          <w:sz w:val="21"/>
        </w:rPr>
        <w:t>[Filed 12/1/00, Notice 10/18/00—published 12/27/00, effective 1/31/01]</w:t>
      </w:r>
    </w:p>
    <w:p>
      <w:pPr>
        <w:spacing w:before="0" w:after="0"/>
        <w:ind w:left="120"/>
        <w:jc w:val="center"/>
      </w:pPr>
      <w:r>
        <w:rPr>
          <w:rFonts w:ascii="Times New Roman" w:hAnsi="Times New Roman"/>
          <w:b w:val="false"/>
          <w:i w:val="false"/>
          <w:color w:val="000000"/>
          <w:sz w:val="21"/>
        </w:rPr>
        <w:t>[Filed 2/14/02, Notice 11/28/01—published 3/6/02, effective 4/10/02]</w:t>
      </w:r>
    </w:p>
    <w:p>
      <w:pPr>
        <w:spacing w:before="0" w:after="0"/>
        <w:ind w:left="120"/>
        <w:jc w:val="center"/>
      </w:pPr>
      <w:r>
        <w:rPr>
          <w:rFonts w:ascii="Times New Roman" w:hAnsi="Times New Roman"/>
          <w:b w:val="false"/>
          <w:i w:val="false"/>
          <w:color w:val="000000"/>
          <w:sz w:val="21"/>
        </w:rPr>
        <w:t>[Filed 9/25/03, Notice 8/20/03—published 10/15/03, effective 11/19/03]</w:t>
      </w:r>
    </w:p>
    <w:p>
      <w:pPr>
        <w:spacing w:before="0" w:after="0"/>
        <w:ind w:left="120"/>
        <w:jc w:val="center"/>
      </w:pPr>
      <w:r>
        <w:rPr>
          <w:rFonts w:ascii="Times New Roman" w:hAnsi="Times New Roman"/>
          <w:b w:val="false"/>
          <w:i w:val="false"/>
          <w:color w:val="000000"/>
          <w:sz w:val="21"/>
        </w:rPr>
        <w:t>[Filed 11/5/04, Notice 9/29/04—published 11/24/04, effective 12/29/04]</w:t>
      </w:r>
    </w:p>
    <w:p>
      <w:pPr>
        <w:spacing w:before="0" w:after="0"/>
        <w:ind w:left="120"/>
        <w:jc w:val="center"/>
      </w:pPr>
      <w:r>
        <w:rPr>
          <w:rFonts w:ascii="Times New Roman" w:hAnsi="Times New Roman"/>
          <w:b w:val="false"/>
          <w:i w:val="false"/>
          <w:color w:val="000000"/>
          <w:sz w:val="21"/>
        </w:rPr>
        <w:t>[Filed ARC 8917B</w:t>
      </w:r>
      <w:r>
        <w:rPr>
          <w:rFonts w:ascii="Times New Roman" w:hAnsi="Times New Roman"/>
          <w:b w:val="false"/>
          <w:i w:val="false"/>
          <w:color w:val="000000"/>
          <w:sz w:val="21"/>
        </w:rPr>
        <w:t xml:space="preserve"> (Notice ARC 8751B, IAB 5/5/10)</w:t>
      </w:r>
      <w:r>
        <w:rPr>
          <w:rFonts w:ascii="Times New Roman" w:hAnsi="Times New Roman"/>
          <w:b w:val="false"/>
          <w:i w:val="false"/>
          <w:color w:val="000000"/>
          <w:sz w:val="21"/>
        </w:rPr>
        <w:t>, IAB 6/30/10, effective 8/4/10]</w:t>
      </w:r>
    </w:p>
    <w:p>
      <w:pPr>
        <w:spacing w:before="0" w:after="0"/>
        <w:ind w:left="120"/>
        <w:jc w:val="center"/>
      </w:pPr>
      <w:r>
        <w:rPr>
          <w:rFonts w:ascii="Times New Roman" w:hAnsi="Times New Roman"/>
          <w:b w:val="false"/>
          <w:i w:val="false"/>
          <w:color w:val="000000"/>
          <w:sz w:val="21"/>
        </w:rPr>
        <w:t>[Filed ARC 1188C</w:t>
      </w:r>
      <w:r>
        <w:rPr>
          <w:rFonts w:ascii="Times New Roman" w:hAnsi="Times New Roman"/>
          <w:b w:val="false"/>
          <w:i w:val="false"/>
          <w:color w:val="000000"/>
          <w:sz w:val="21"/>
        </w:rPr>
        <w:t xml:space="preserve"> (Notice ARC 0977C, IAB 8/21/13)</w:t>
      </w:r>
      <w:r>
        <w:rPr>
          <w:rFonts w:ascii="Times New Roman" w:hAnsi="Times New Roman"/>
          <w:b w:val="false"/>
          <w:i w:val="false"/>
          <w:color w:val="000000"/>
          <w:sz w:val="21"/>
        </w:rPr>
        <w:t>, IAB 11/27/13, effective 1/1/14]</w:t>
      </w:r>
    </w:p>
    <w:p>
      <w:pPr>
        <w:spacing w:before="0" w:after="0"/>
        <w:ind w:left="120"/>
        <w:jc w:val="center"/>
      </w:pPr>
      <w:r>
        <w:rPr>
          <w:rFonts w:ascii="Times New Roman" w:hAnsi="Times New Roman"/>
          <w:b w:val="false"/>
          <w:i w:val="false"/>
          <w:color w:val="000000"/>
          <w:sz w:val="21"/>
        </w:rPr>
        <w:t>[Filed ARC 5251C</w:t>
      </w:r>
      <w:r>
        <w:rPr>
          <w:rFonts w:ascii="Times New Roman" w:hAnsi="Times New Roman"/>
          <w:b w:val="false"/>
          <w:i w:val="false"/>
          <w:color w:val="000000"/>
          <w:sz w:val="21"/>
        </w:rPr>
        <w:t xml:space="preserve"> (Notice ARC 5132C, IAB 8/12/20)</w:t>
      </w:r>
      <w:r>
        <w:rPr>
          <w:rFonts w:ascii="Times New Roman" w:hAnsi="Times New Roman"/>
          <w:b w:val="false"/>
          <w:i w:val="false"/>
          <w:color w:val="000000"/>
          <w:sz w:val="21"/>
        </w:rPr>
        <w:t>, IAB 11/4/20, effective 12/9/20]</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72C.3.pdf" Type="http://schemas.openxmlformats.org/officeDocument/2006/relationships/hyperlink" Id="rId5"/>
    <Relationship TargetMode="External" Target="https://www.legis.iowa.gov/docs/ico/chapter/272C.3.pdf" Type="http://schemas.openxmlformats.org/officeDocument/2006/relationships/hyperlink" Id="rId6"/>
    <Relationship TargetMode="External" Target="https://www.legis.iowa.gov/docs/iac/rule/653.14.11.pdf" Type="http://schemas.openxmlformats.org/officeDocument/2006/relationships/hyperlink" Id="rId7"/>
    <Relationship TargetMode="External" Target="https://www.legis.iowa.gov/docs/iac/rule/653.14.11.pdf" Type="http://schemas.openxmlformats.org/officeDocument/2006/relationships/hyperlink" Id="rId8"/>
    <Relationship TargetMode="External" Target="https://www.legis.iowa.gov/docs/iac/rule/653.14.11.pdf" Type="http://schemas.openxmlformats.org/officeDocument/2006/relationships/hyperlink" Id="rId9"/>
    <Relationship TargetMode="External" Target="https://www.legis.iowa.gov/docs/iac/rule/653.14.2.pdf" Type="http://schemas.openxmlformats.org/officeDocument/2006/relationships/hyperlink" Id="rId10"/>
    <Relationship TargetMode="External" Target="https://www.legis.iowa.gov/docs/iac/rule/653.23.1.pdf" Type="http://schemas.openxmlformats.org/officeDocument/2006/relationships/hyperlink" Id="rId11"/>
    <Relationship TargetMode="External" Target="https://www.legis.iowa.gov/docs/ico/chapter/272C.6.pdf" Type="http://schemas.openxmlformats.org/officeDocument/2006/relationships/hyperlink" Id="rId12"/>
    <Relationship TargetMode="External" Target="https://www.legis.iowa.gov/docs/ico/chapter/272C.6.pdf" Type="http://schemas.openxmlformats.org/officeDocument/2006/relationships/hyperlink" Id="rId13"/>
    <Relationship TargetMode="External" Target="https://www.legis.iowa.gov/docs/iac/rule/653.14.2.pdf" Type="http://schemas.openxmlformats.org/officeDocument/2006/relationships/hyperlink" Id="rId14"/>
    <Relationship TargetMode="External" Target="https://www.legis.iowa.gov/docs/iac/rule/653.14.6.pdf" Type="http://schemas.openxmlformats.org/officeDocument/2006/relationships/hyperlink" Id="rId15"/>
    <Relationship TargetMode="External" Target="https://www.legis.iowa.gov/docs/iac/chapter/653.14.pdf" Type="http://schemas.openxmlformats.org/officeDocument/2006/relationships/hyperlink" Id="rId16"/>
    <Relationship TargetMode="External" Target="https://www.legis.iowa.gov/docs/iac/rule/653.14.7.pdf" Type="http://schemas.openxmlformats.org/officeDocument/2006/relationships/hyperlink" Id="rId17"/>
    <Relationship TargetMode="External" Target="https://www.legis.iowa.gov/docs/ico/chapter/272C.3.pdf" Type="http://schemas.openxmlformats.org/officeDocument/2006/relationships/hyperlink" Id="rId1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