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STANDARDS OF PRACTICE AND PRINCIPLES OF MEDICAL ETHICS</w:t>
      </w:r>
    </w:p>
    <w:p>
      <w:pPr>
        <w:spacing w:before="0" w:after="0"/>
        <w:ind w:left="120"/>
        <w:jc w:val="center"/>
      </w:pPr>
      <w:r>
        <w:rPr>
          <w:rFonts w:ascii="Times New Roman" w:hAnsi="Times New Roman"/>
          <w:b w:val="false"/>
          <w:i w:val="false"/>
          <w:color w:val="000000"/>
          <w:sz w:val="14"/>
        </w:rPr>
        <w:t>[Prior to 5/4/88, see 470—135.251 to 470—135.402]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653—13.1</w:t>
      </w:r>
      <w:r>
        <w:rPr>
          <w:rFonts w:ascii="Times New Roman" w:hAnsi="Times New Roman"/>
          <w:b/>
          <w:i w:val="false"/>
          <w:color w:val="000000"/>
          <w:sz w:val="22"/>
        </w:rPr>
        <w:t xml:space="preserve">(148,272C) </w:t>
      </w:r>
      <w:r>
        <w:rPr>
          <w:rFonts w:ascii="Times New Roman" w:hAnsi="Times New Roman"/>
          <w:b/>
          <w:i w:val="false"/>
          <w:color w:val="000000"/>
          <w:sz w:val="22"/>
        </w:rPr>
        <w:t xml:space="preserve">Standards of practice—packaging, labeling and records of prescription drugs dispensed by a physician.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val="false"/>
          <w:color w:val="000000"/>
          <w:sz w:val="22"/>
        </w:rPr>
        <w:t>A physician shall dispense a prescription drug only in a container which meets the requirements of the Poison Prevention Packaging Act of 1970, 15 U.S.C. ss. 1471-1476 (2001), unless otherwise requested by the patient, and of Section 502G of the Federal Food, Drug and Cosmetic Act, 21 U.S.C. ss. 301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val="false"/>
          <w:color w:val="000000"/>
          <w:sz w:val="22"/>
        </w:rPr>
        <w:t>A label shall be affixed to a container in which a prescription drug is dispensed by a physician which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and address of the physician.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of the patient.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date dispensed.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directions for administering the prescription drug and any cautionary statement deemed appropriate by the physician.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 and strength of the prescription drug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subrules </w:t>
      </w:r>
      <w:hyperlink r:id="rId5">
        <w:r>
          <w:rPr>
            <w:rStyle w:val="Hyperlink"/>
            <w:rFonts w:ascii="Times New Roman" w:hAnsi="Times New Roman"/>
            <w:b w:val="false"/>
            <w:i w:val="false"/>
            <w:color w:val="000000"/>
            <w:sz w:val="22"/>
          </w:rPr>
          <w:t>13.1(1)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13.1(2)</w:t>
        </w:r>
      </w:hyperlink>
      <w:r>
        <w:rPr>
          <w:rFonts w:ascii="Times New Roman" w:hAnsi="Times New Roman"/>
          <w:b w:val="false"/>
          <w:i w:val="false"/>
          <w:color w:val="000000"/>
          <w:sz w:val="22"/>
        </w:rPr>
        <w:t xml:space="preserve"> shall not apply to packaged drug samples.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shall keep a record of all prescription drugs dispensed by the physician to a patient which shall contain the information required by subrule </w:t>
      </w:r>
      <w:hyperlink r:id="rId7">
        <w:r>
          <w:rPr>
            <w:rStyle w:val="Hyperlink"/>
            <w:rFonts w:ascii="Times New Roman" w:hAnsi="Times New Roman"/>
            <w:b w:val="false"/>
            <w:i w:val="false"/>
            <w:color w:val="000000"/>
            <w:sz w:val="22"/>
          </w:rPr>
          <w:t>13.1(2)</w:t>
        </w:r>
      </w:hyperlink>
      <w:r>
        <w:rPr>
          <w:rFonts w:ascii="Times New Roman" w:hAnsi="Times New Roman"/>
          <w:b w:val="false"/>
          <w:i w:val="false"/>
          <w:color w:val="000000"/>
          <w:sz w:val="22"/>
        </w:rPr>
        <w:t xml:space="preserve"> to be included on the label. Noting such information on the patient’s chart or record maintained by the physician is sufficient.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653—13.2</w:t>
      </w:r>
      <w:r>
        <w:rPr>
          <w:rFonts w:ascii="Times New Roman" w:hAnsi="Times New Roman"/>
          <w:b/>
          <w:i w:val="false"/>
          <w:color w:val="000000"/>
          <w:sz w:val="22"/>
        </w:rPr>
        <w:t xml:space="preserve">(124,148,272C) </w:t>
      </w:r>
      <w:r>
        <w:rPr>
          <w:rFonts w:ascii="Times New Roman" w:hAnsi="Times New Roman"/>
          <w:b/>
          <w:i w:val="false"/>
          <w:color w:val="000000"/>
          <w:sz w:val="22"/>
        </w:rPr>
        <w:t xml:space="preserve">Standards of practice—appropriate pain management. </w:t>
      </w:r>
      <w:r>
        <w:rPr>
          <w:rFonts w:ascii="Times New Roman" w:hAnsi="Times New Roman"/>
          <w:b w:val="false"/>
          <w:i w:val="false"/>
          <w:color w:val="000000"/>
          <w:sz w:val="22"/>
        </w:rPr>
        <w:t xml:space="preserve">This rule establishes standards of practice for the management of acute and chronic pain. The board encourages the use of nonopioid pharmacologic therapy and nonpharmacologic therapy, including but not limited to adjunct therapies such as acupuncture, physical therapy and massage, osteopathic manipulative therapy and occupational therapy in the treatment of acute and chronic pain.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This rule is intended to encourage appropriate pain management, including the use of opioids for the treatment of pain, while stressing the need to establish safeguards to minimize the potential for substance abuse and drug diversion.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goal of pain management is to treat each patient’s pain in relation to the patient’s overall health, including physical function and psychological, social and work-related factors. At the end of life, the goals may shift to palliative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board recognizes that pain management is an important part of medical practice. Unmanaged or inappropriately treated pain impacts patients’ quality of life, reduces patients’ ability to be productive members of society, and increases patients’ use of health care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Physicians should not fear board action for treating pain with opioids as long as the physicians’ prescribing is consistent with appropriate pain management practices. Dosage alone is not the sole measure of determining whether a physician has complied with appropriate pain management practices. The board recognizes the complexity of treating patients with chronic pain or a substance abuse history. Generally, the board is concerned about a pattern of improper pain management or a single occurrence of willful or gross overtreatment or undertreatment of pain.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 Inappropriate pain management is a departure from the acceptable standard of practice in Iowa and may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“Acute pain” </w:t>
      </w:r>
      <w:r>
        <w:rPr>
          <w:rFonts w:ascii="Times New Roman" w:hAnsi="Times New Roman"/>
          <w:b w:val="false"/>
          <w:i w:val="false"/>
          <w:color w:val="000000"/>
          <w:sz w:val="22"/>
        </w:rPr>
        <w:t>means the normal, predicted physiological response to a noxious chemical, thermal or mechanical stimulus and typically is associated with invasive procedures, trauma and disease. Generally, acute pain is self-limited, lasting no more than a few weeks following the initial stimulus.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“Addiction” </w:t>
      </w:r>
      <w:r>
        <w:rPr>
          <w:rFonts w:ascii="Times New Roman" w:hAnsi="Times New Roman"/>
          <w:b w:val="false"/>
          <w:i w:val="false"/>
          <w:color w:val="000000"/>
          <w:sz w:val="22"/>
        </w:rPr>
        <w:t>means a primary, chronic, neurobiologic disease, with genetic, psychosocial, and environmental factors influencing its development and manifestations. It is characterized by behaviors that include the following: impaired control over drug use, craving, compulsive use, and continued use despite harm. Physical dependence and tolerance are normal physiological consequences of extended opioid therapy for pain and are not the same as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pain” </w:t>
      </w:r>
      <w:r>
        <w:rPr>
          <w:rFonts w:ascii="Times New Roman" w:hAnsi="Times New Roman"/>
          <w:b w:val="false"/>
          <w:i w:val="false"/>
          <w:color w:val="000000"/>
          <w:sz w:val="22"/>
        </w:rPr>
        <w:t>means pain that typically lasts longer than three months or past the time of normal tissue healing. Chronic pain can be the result of an underlying medical disease or condition, injury, medical treatment, inflammation, or an unknown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w:t>
      </w:r>
      <w:r>
        <w:rPr>
          <w:rFonts w:ascii="Times New Roman" w:hAnsi="Times New Roman"/>
          <w:b w:val="false"/>
          <w:i w:val="false"/>
          <w:color w:val="000000"/>
          <w:sz w:val="22"/>
        </w:rPr>
        <w:t>means any U.S. Food and Drug Administration (FDA)-approved product or active pharmaceutical ingredient classified as a controlled substance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“Pain” </w:t>
      </w:r>
      <w:r>
        <w:rPr>
          <w:rFonts w:ascii="Times New Roman" w:hAnsi="Times New Roman"/>
          <w:b w:val="false"/>
          <w:i w:val="false"/>
          <w:color w:val="000000"/>
          <w:sz w:val="22"/>
        </w:rPr>
        <w:t>means an unpleasant sensory and emotional experience associated with actual or potential tissue damage or described in terms of such damage. Pain is an individual, multifactorial experience influenced by culture, previous pain events, beliefs, mood and ability to 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dependence” </w:t>
      </w:r>
      <w:r>
        <w:rPr>
          <w:rFonts w:ascii="Times New Roman" w:hAnsi="Times New Roman"/>
          <w:b w:val="false"/>
          <w:i w:val="false"/>
          <w:color w:val="000000"/>
          <w:sz w:val="22"/>
        </w:rPr>
        <w:t>means a state of adaptation that is manifested by drug class-specific signs and symptoms that can be produced by abrupt cessation, rapid dose reduction, decreasing blood level of the drug, or administration of an antagonist. Physical dependence, by itself, does not equate with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“Pseudoaddiction” </w:t>
      </w:r>
      <w:r>
        <w:rPr>
          <w:rFonts w:ascii="Times New Roman" w:hAnsi="Times New Roman"/>
          <w:b w:val="false"/>
          <w:i w:val="false"/>
          <w:color w:val="000000"/>
          <w:sz w:val="22"/>
        </w:rPr>
        <w:t>means an iatrogenic syndrome resulting from the misinterpretation of relief-seeking behaviors as though they are drug-seeking behaviors that are commonly seen with addiction. The relief-seeking behaviors resolve upon institution of effective analgesic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“Substance abuse” </w:t>
      </w:r>
      <w:r>
        <w:rPr>
          <w:rFonts w:ascii="Times New Roman" w:hAnsi="Times New Roman"/>
          <w:b w:val="false"/>
          <w:i w:val="false"/>
          <w:color w:val="000000"/>
          <w:sz w:val="22"/>
        </w:rPr>
        <w:t>means the use of a drug, including alcohol, by the patient in an inappropriate manner that may cause harm to the patient or others, or the use of a drug for an indication other than that intended by the prescribing clinician. An abuser may or may not be physically dependent on or addicted to the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“Tolerance” </w:t>
      </w:r>
      <w:r>
        <w:rPr>
          <w:rFonts w:ascii="Times New Roman" w:hAnsi="Times New Roman"/>
          <w:b w:val="false"/>
          <w:i w:val="false"/>
          <w:color w:val="000000"/>
          <w:sz w:val="22"/>
        </w:rPr>
        <w:t>means a physiological state resulting from regular use of a drug in which an increased dosage is needed to produce a specific effect, or a reduced effect is observed with a constant dose over time. Tolerance may or may not be evident during opioid treatment and does not equate with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“Undertreatment of pain” </w:t>
      </w:r>
      <w:r>
        <w:rPr>
          <w:rFonts w:ascii="Times New Roman" w:hAnsi="Times New Roman"/>
          <w:b w:val="false"/>
          <w:i w:val="false"/>
          <w:color w:val="000000"/>
          <w:sz w:val="22"/>
        </w:rPr>
        <w:t>means the failure to properly assess, treat and manage pain or the failure to appropriately document a sound rationale for not treating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Laws and regulations. </w:t>
      </w:r>
      <w:r>
        <w:rPr>
          <w:rFonts w:ascii="Times New Roman" w:hAnsi="Times New Roman"/>
          <w:b w:val="false"/>
          <w:i w:val="false"/>
          <w:color w:val="000000"/>
          <w:sz w:val="22"/>
        </w:rPr>
        <w:t>Nothing in this rule relieves a physician from fully complying with applicable federal and state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Undertreatment of pain. </w:t>
      </w:r>
      <w:r>
        <w:rPr>
          <w:rFonts w:ascii="Times New Roman" w:hAnsi="Times New Roman"/>
          <w:b w:val="false"/>
          <w:i w:val="false"/>
          <w:color w:val="000000"/>
          <w:sz w:val="22"/>
        </w:rPr>
        <w:t>The undertreatment of pain is a departure from the acceptable standard of practice in Iowa. Undertreatment may include a failure to recognize symptoms and signs of pain, a failure to treat pain within a reasonable amount of time, a failure to allow interventions, e.g., analgesia, to become effective before invasive steps are taken, a failure to address pain needs in patients with reduced cognitive status, a failure to use opioids for terminal pain due to the physician’s concern with addicting the patient, or a failure to use an adequate level of 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color w:val="000000"/>
          <w:sz w:val="22"/>
        </w:rPr>
        <w:t xml:space="preserve">Assessment and treatment of acute and chronic pain. </w:t>
      </w:r>
      <w:r>
        <w:rPr>
          <w:rFonts w:ascii="Times New Roman" w:hAnsi="Times New Roman"/>
          <w:b w:val="false"/>
          <w:i w:val="false"/>
          <w:color w:val="000000"/>
          <w:sz w:val="22"/>
        </w:rPr>
        <w:t xml:space="preserve">Appropriate assessment of the etiology of the pain is essential to the appropriate treatment of acute and chronic pain.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Prescribing opioids for the treatment of acute and chronic pain should be based on clearly diagnosed and documented pain. Appropriate management of acute and chronic pain should include an assessment of the mechanism, type and intensity of pain. The patient’s medical record should clearly document a medical history, a pain history, a clinical examination, a medical diagnosis and a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Prescribing opioids for the treatment of acute and chronic pain should only be accomplished within an established physician-patient relationship and should be based on clearly diagnosed and documented unrelieved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March 15, 2016, the U.S. Centers for Disease Control and Prevention (CDC) issued the CDC Guideline for Prescribing Opioids for Chronic Pain to provide recommendations for the prescribing of opioid pain medication for patients 18 years of age and older in primary care settings. Recommendations focus on the use of opioids in treating chronic pain (pain lasting longer than three months or past the time of normal tissue healing) outside of active cancer treatment, palliative care, and end-of-life care. A physician who prescribes, dispenses or administers opioids to patients for the treatment of chronic pain should become familiar with the CDC Guideline for Prescribing Opioids for Chronic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color w:val="000000"/>
          <w:sz w:val="22"/>
        </w:rPr>
        <w:t xml:space="preserve">Effective management of chronic pain. </w:t>
      </w:r>
      <w:r>
        <w:rPr>
          <w:rFonts w:ascii="Times New Roman" w:hAnsi="Times New Roman"/>
          <w:b w:val="false"/>
          <w:i w:val="false"/>
          <w:color w:val="000000"/>
          <w:sz w:val="22"/>
        </w:rPr>
        <w:t>To ensure that chronic pain is properly assessed and treated, a physician who prescribes, dispenses or administers opioids to a patient for the treatment of chronic pain shall exercise sound clinical judgment and establish an effective pain management plan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Patient evaluation. </w:t>
      </w:r>
      <w:r>
        <w:rPr>
          <w:rFonts w:ascii="Times New Roman" w:hAnsi="Times New Roman"/>
          <w:b w:val="false"/>
          <w:i w:val="false"/>
          <w:color w:val="000000"/>
          <w:sz w:val="22"/>
        </w:rPr>
        <w:t>A patient evaluation that includes a physical examination and a comprehensive medical history shall be conducted prior to the initiation of treatment. The evaluation shall also include an assessment of the pain, physical and psychological function, diagnostic studies, previous interventions, including medication history, substance abuse history and any underlying or coexisting conditions. Consultation/referral to a physician with expertise in pain medicine, addiction medicine or substance abuse counseling or a physician who specializes in the treatment of the area, system, or organ perceived to be the source of the pain may be warranted depending upon the expertise of the physician and the complexity of the presenting patient. Interdisciplinary evaluation is strongly encouraged.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plan. </w:t>
      </w:r>
      <w:r>
        <w:rPr>
          <w:rFonts w:ascii="Times New Roman" w:hAnsi="Times New Roman"/>
          <w:b w:val="false"/>
          <w:i w:val="false"/>
          <w:color w:val="000000"/>
          <w:sz w:val="22"/>
        </w:rPr>
        <w:t>The physician shall establish a comprehensive treatment plan that tailors drug therapy to the individual needs of the patient. To ensure proper evaluation of the success of the treatment, the plan shall clearly state the objectives of the treatment, for example, pain relief or improved physical or psychosocial functioning. The treatment plan shall also indicate if any further diagnostic evaluations or treatments are planned and their purposes. The treatment plan shall also identify any other treatment modalities and rehabilitation programs utilized. The patient’s short- and long-term needs for pain relief shall be considered when drug therapy is prescribed. The patient’s ability to request pain relief as well as the patient setting shall be considered. For example, nursing home patients are unlikely to have their pain control needs assessed on a regular basis, making prn (on an as-needed basis) drugs less effective than drug therapy prescribed for routine administration that can be supplemented if pain is found to be worse. The patient should receive prescriptions for opioids from a single physician and a single pharmacy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The physician shall document discussion of the risks and benefits of opioids with the patient or person representing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w:t>
      </w:r>
      <w:r>
        <w:rPr>
          <w:rFonts w:ascii="Times New Roman" w:hAnsi="Times New Roman"/>
          <w:b w:val="false"/>
          <w:i w:val="false"/>
          <w:color w:val="000000"/>
          <w:sz w:val="22"/>
        </w:rPr>
        <w:t>The physician shall periodically review the course of drug treatment of the patient and the etiology of the pain. The physician should adjust drug therapy to the individual needs of each patient. Modification or continuation of drug therapy by the physician shall be dependent upon evaluation of the patient’s progress toward the objectives established in the treatment plan. The physician shall consider the appropriateness of continuing drug therapy and the use of other treatment modalities if periodic reviews indicate that the objectives of the treatment plan are not being met or that there is evidence of diversion or a pattern of substance abuse. Long-term opioid treatment is associated with the development of tolerance to its analgesic effects. There is also evidence that opioid treatment may paradoxically induce abnormal pain sensitivity, including hyperalgesia and allodynia. Thus, increasing opioid doses may not improve pain control and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Consultation/referral. </w:t>
      </w:r>
      <w:r>
        <w:rPr>
          <w:rFonts w:ascii="Times New Roman" w:hAnsi="Times New Roman"/>
          <w:b w:val="false"/>
          <w:i w:val="false"/>
          <w:color w:val="000000"/>
          <w:sz w:val="22"/>
        </w:rPr>
        <w:t>A specialty consultation may be considered at any time if there is evidence of significant adverse effects or lack of response to the medication. Pain, physical medicine, rehabilitation, general surgery, orthopedics, anesthesiology, psychiatry, neurology, rheumatology, oncology, addiction medicine, and other consultation may be appropriate. The physician should also consider consultation with, or referral to, a physician with expertise in addiction medicine or substance abuse counseling, if there is evidence of diversion or a pattern of substance abuse. The board encourages a multidisciplinary approach to chronic pain management, including the use of adjunct therapies such as acupuncture, physical therapy and massage.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physician shall keep accurate, timely, and complete records that detail compliance with this subrule, including patient evaluation, diagnostic studies, treatment modalities, treatment plan, informed consent, periodic review, consultation, and any other relevant information about the patient’s condition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Pain management agreements. </w:t>
      </w:r>
      <w:r>
        <w:rPr>
          <w:rFonts w:ascii="Times New Roman" w:hAnsi="Times New Roman"/>
          <w:b w:val="false"/>
          <w:i w:val="false"/>
          <w:color w:val="000000"/>
          <w:sz w:val="22"/>
        </w:rPr>
        <w:t xml:space="preserve">A physician who treats patients for chronic pain with opioids shall consider using a pain management agreement with each patient being treated that specifies the rules for medication use and the consequences for misuse. In determining whether to use a pain management agreement, a physician shall evaluate each patient, taking into account the risks to the patient and the potential benefits of long-term treatment with opioids. A physician who prescribes opioids to a patient for more than 90 days for the treatment of chronic pain shall utilize a pain management agreement if the physician has reason to believe a patient is at risk of drug abuse or diversion. If a physician prescribes opioids to a patient for more than 90 days for the treatment of chronic pain and chooses not to use a pain management agreement, then the physician shall document in the patient’s medical records the reason(s) why a pain management agreement was not used. Use of pain management agreements is not necessary for hospice or nursing home patients. Sample pain management agreement and prescription drug risk assessment tools may be found on the board’s website at </w:t>
      </w:r>
      <w:hyperlink r:id="rId12">
        <w:r>
          <w:rPr>
            <w:rStyle w:val="Hyperlink"/>
            <w:rFonts w:ascii="Times New Roman" w:hAnsi="Times New Roman"/>
            <w:b w:val="false"/>
            <w:i w:val="false"/>
            <w:color w:val="000000"/>
            <w:sz w:val="22"/>
            <w:u w:val="single"/>
          </w:rPr>
          <w:t>www.medicalboard.iowa.gov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history or comorbid psychiatric disorder. </w:t>
      </w:r>
      <w:r>
        <w:rPr>
          <w:rFonts w:ascii="Times New Roman" w:hAnsi="Times New Roman"/>
          <w:b w:val="false"/>
          <w:i w:val="false"/>
          <w:color w:val="000000"/>
          <w:sz w:val="22"/>
        </w:rPr>
        <w:t>A patient’s prior history of substance abuse does not necessarily contraindicate appropriate pain management. However, treatment of patients with a history of substance abuse or with a comorbid psychiatric disorder may require extra care and communication with the patient, monitoring, documentation, and consultation with or referral to an expert in the management of such patients. The board strongly encourages a multidisciplinary approach for pain management of such patients that incorporates the expertise of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Drug testing. </w:t>
      </w:r>
      <w:r>
        <w:rPr>
          <w:rFonts w:ascii="Times New Roman" w:hAnsi="Times New Roman"/>
          <w:b w:val="false"/>
          <w:i w:val="false"/>
          <w:color w:val="000000"/>
          <w:sz w:val="22"/>
        </w:rPr>
        <w:t>A physician who prescribes opioids to a patient for more than 90 days for the treatment of chronic pain shall consider utilizing drug testing to ensure that the patient is receiving appropriate therapeutic levels of prescribed medications or if the physician has reason to believe that the patient is at risk of drug abuse or diversion.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care. </w:t>
      </w:r>
      <w:r>
        <w:rPr>
          <w:rFonts w:ascii="Times New Roman" w:hAnsi="Times New Roman"/>
          <w:b w:val="false"/>
          <w:i w:val="false"/>
          <w:color w:val="000000"/>
          <w:sz w:val="22"/>
        </w:rPr>
        <w:t>The physician shall consider termination of patient care if there is evidence of noncompliance with the rules for medication use, drug diversion, or a repeated pattern of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color w:val="000000"/>
          <w:sz w:val="22"/>
        </w:rPr>
        <w:t xml:space="preserve">Pain management for terminal illness. </w:t>
      </w:r>
      <w:r>
        <w:rPr>
          <w:rFonts w:ascii="Times New Roman" w:hAnsi="Times New Roman"/>
          <w:b w:val="false"/>
          <w:i w:val="false"/>
          <w:color w:val="000000"/>
          <w:sz w:val="22"/>
        </w:rPr>
        <w:t>The provisions of this subrule apply to patients who are at the stage in the progression of cancer or other terminal illness when the goal of pain management is comfort care. When the goal of treatment shifts to comfort care rather than cure of the underlying condition, the board recognizes that the dosage level of opioids to control pain may exceed dosages recommended for chronic pain and may come at the expense of patient function. The determination of such pain management should involve the patient, if possible, and others the patient has designated for assisting in end-of-life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w:t>
      </w:r>
      <w:r>
        <w:rPr>
          <w:rFonts w:ascii="Times New Roman" w:hAnsi="Times New Roman"/>
          <w:b w:val="false"/>
          <w:i w:val="false"/>
          <w:color w:val="000000"/>
          <w:sz w:val="22"/>
        </w:rPr>
        <w:t> </w:t>
      </w:r>
      <w:r>
        <w:rPr>
          <w:rFonts w:ascii="Times New Roman" w:hAnsi="Times New Roman"/>
          <w:b w:val="false"/>
          <w:i/>
          <w:color w:val="000000"/>
          <w:sz w:val="22"/>
        </w:rPr>
        <w:t xml:space="preserve">Prescription monitoring program. </w:t>
      </w:r>
      <w:r>
        <w:rPr>
          <w:rFonts w:ascii="Times New Roman" w:hAnsi="Times New Roman"/>
          <w:b w:val="false"/>
          <w:i w:val="false"/>
          <w:color w:val="000000"/>
          <w:sz w:val="22"/>
        </w:rPr>
        <w:t xml:space="preserve">The Iowa board of pharmacy has established a prescription monitoring program pursuant to Iowa Code sections </w:t>
      </w:r>
      <w:hyperlink r:id="rId13">
        <w:r>
          <w:rPr>
            <w:rStyle w:val="Hyperlink"/>
            <w:rFonts w:ascii="Times New Roman" w:hAnsi="Times New Roman"/>
            <w:b w:val="false"/>
            <w:i w:val="false"/>
            <w:color w:val="000000"/>
            <w:sz w:val="22"/>
          </w:rPr>
          <w:t>124.551 to 124.558</w:t>
        </w:r>
      </w:hyperlink>
      <w:r>
        <w:rPr>
          <w:rFonts w:ascii="Times New Roman" w:hAnsi="Times New Roman"/>
          <w:b w:val="false"/>
          <w:i w:val="false"/>
          <w:color w:val="000000"/>
          <w:sz w:val="22"/>
        </w:rPr>
        <w:t xml:space="preserve"> to assist prescribers and pharmacists in monitoring the prescription of controlled substances to patients. A physician shall register for the prescription monitoring program at the same time the physician applies for registration or renews registration to prescribe controlled substances as required by the Iowa board of pharmacy. A physician or the physician’s designated agent shall utilize the prescription monitoring program prior to issuing an opioid prescription to assist the physician in determining appropriate treatment options and to improve the quality of patient care. A physician is not required to utilize the prescription monitoring program to assist in the treatment of a patient receiving inpatient hospice care or long-term residential facility patient care. An order issued in an inpatient hospital setting is not considered a prescription for the purposes of these rules. Patient safety is adequately protected in an inpatient hospital setting, and physicians caring for patients in an inpatient hospital setting do not prescribe. A link to the prescription monitoring program may be found at the board’s website at </w:t>
      </w:r>
      <w:hyperlink r:id="rId14">
        <w:r>
          <w:rPr>
            <w:rStyle w:val="Hyperlink"/>
            <w:rFonts w:ascii="Times New Roman" w:hAnsi="Times New Roman"/>
            <w:b w:val="false"/>
            <w:i w:val="false"/>
            <w:color w:val="000000"/>
            <w:sz w:val="22"/>
            <w:u w:val="single"/>
          </w:rPr>
          <w:t>www.medicalboard.iowa.gov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13.2(8)</w:t>
      </w:r>
      <w:r>
        <w:rPr>
          <w:rFonts w:ascii="Times New Roman" w:hAnsi="Times New Roman"/>
          <w:b w:val="false"/>
          <w:i w:val="false"/>
          <w:color w:val="000000"/>
          <w:sz w:val="22"/>
        </w:rPr>
        <w:t> </w:t>
      </w:r>
      <w:r>
        <w:rPr>
          <w:rFonts w:ascii="Times New Roman" w:hAnsi="Times New Roman"/>
          <w:b w:val="false"/>
          <w:i/>
          <w:color w:val="000000"/>
          <w:sz w:val="22"/>
        </w:rPr>
        <w:t xml:space="preserve">Electronic prescriptions. </w:t>
      </w:r>
      <w:r>
        <w:rPr>
          <w:rFonts w:ascii="Times New Roman" w:hAnsi="Times New Roman"/>
          <w:b w:val="false"/>
          <w:i w:val="false"/>
          <w:color w:val="000000"/>
          <w:sz w:val="22"/>
        </w:rPr>
        <w:t xml:space="preserve">Beginning January 1, 2020, all prescriptions (controlled and noncontrolled substances) shall be transmitted electronically as electronic prescriptions pursuant to Iowa Code section </w:t>
      </w:r>
      <w:hyperlink r:id="rId15">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A prescription shall be transmitted to a pharmacy by the physician or the physician’s authorized agent in compliance with federal law and regulation for electronic prescriptions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13.2(9)</w:t>
      </w:r>
      <w:r>
        <w:rPr>
          <w:rFonts w:ascii="Times New Roman" w:hAnsi="Times New Roman"/>
          <w:b w:val="false"/>
          <w:i w:val="false"/>
          <w:color w:val="000000"/>
          <w:sz w:val="22"/>
        </w:rPr>
        <w:t> </w:t>
      </w:r>
      <w:r>
        <w:rPr>
          <w:rFonts w:ascii="Times New Roman" w:hAnsi="Times New Roman"/>
          <w:b w:val="false"/>
          <w:i/>
          <w:color w:val="000000"/>
          <w:sz w:val="22"/>
        </w:rPr>
        <w:t xml:space="preserve">Pain management resources. </w:t>
      </w:r>
      <w:r>
        <w:rPr>
          <w:rFonts w:ascii="Times New Roman" w:hAnsi="Times New Roman"/>
          <w:b w:val="false"/>
          <w:i w:val="false"/>
          <w:color w:val="000000"/>
          <w:sz w:val="22"/>
        </w:rPr>
        <w:t>The board strongly recommends that physicians consult the following resources regarding the proper treatment of chronic pain. This list is provided for the convenience of licensees, and the publications included are not intended to be incorporated in the rule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American Academy of Hospice and Palliative Medicine or AAHPM is the American Medical Association-recognized specialty society of physicians who practice in hospice and palliative medicine in the United States. The mission of the AAHPM is to enhance the treatment of pain at the end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American Academy of Pain Medicine or AAPM is the American Medical Association-recognized specialty society of physicians who practice pain medicine in the United States. The mission of the AAPM is to enhance pain medicine practice by promoting a climate conducive to the effective and efficient practice of pain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American Pain Society or APS is the national chapter of the International Association for the Study of Pain, an organization composed of physicians, nurses, psychologists, scientists and other professionals who have an interest in the study and treatment of pain. The mission of the APS is to serve people in pain by advancing research, education, treatment and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DEA Policy Statement: Dispensing Controlled Substances for the Treatment of Pain. On August 28, 2006, the Drug Enforcement Agency (DEA) issued a policy statement establishing guidelines for practitioners who dispense controlled substances for the treatment of pain. This policy statement may be helpful to practitioners who treat pain with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Interagency Guideline on Prescribing Opioids for Pain. Developed by the Washington State Agency Medical Directors’ Group in collaboration with an expert advisory panel, actively practicing providers and public stakeholders, the guideline focuses on evidence-based treatment for chronic-pain patients. The guideline was published in 2007 and updated in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Responsible Opioid Prescribing: A Physician’s Guide. In 2007, in collaboration with author Scott Fishman, M.D., the Federation of State Medical Boards’ (FSMB) Research and Education Foundation published a book on responsible opioid prescribing based on the FSMB Model Policy for the Use of Controlled Substances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World Health Organization: Pain Relief Ladder. Cancer pain relief and palliative care. Technical report series 804. Geneva: World Health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CDC Guideline for Prescribing Opioids for Chronic Pain. On March 15, 2016, the U.S. Centers for Disease Control and Prevention (CDC) issued a guideline to provide recommendations for the prescribing of opioid pain medication for patients 18 years of age and older in primary care settings. Recommendations focus on the use of opioids in treating chronic pain (pain lasting longer than three months or past the time of normal tissue healing) outside of active cancer treatment, palliative care, and end-of-life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13.2(10)</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these rules, the rules found in </w:t>
      </w:r>
      <w:hyperlink r:id="rId16">
        <w:r>
          <w:rPr>
            <w:rStyle w:val="Hyperlink"/>
            <w:rFonts w:ascii="Times New Roman" w:hAnsi="Times New Roman"/>
            <w:b w:val="false"/>
            <w:i w:val="false"/>
            <w:color w:val="000000"/>
            <w:sz w:val="22"/>
          </w:rPr>
          <w:t>653—Chapter 23</w:t>
        </w:r>
      </w:hyperlink>
      <w:r>
        <w:rPr>
          <w:rFonts w:ascii="Times New Roman" w:hAnsi="Times New Roman"/>
          <w:b w:val="false"/>
          <w:i w:val="false"/>
          <w:color w:val="000000"/>
          <w:sz w:val="22"/>
        </w:rPr>
        <w:t>, 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who prescribes opioids in dosage amounts exceeding what would be prescribed by a reasonably prudent physician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knowingly fails to comply with the confidentiality requirements of Iowa Code section </w:t>
      </w:r>
      <w:hyperlink r:id="rId17">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or who delegates program information access to another individual except as provided in Iowa Code section </w:t>
      </w:r>
      <w:hyperlink r:id="rId18">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knowingly fails to comply with other requirements of Iowa Code chapter </w:t>
      </w:r>
      <w:hyperlink r:id="rId19">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13.2(11)</w:t>
      </w:r>
      <w:r>
        <w:rPr>
          <w:rFonts w:ascii="Times New Roman" w:hAnsi="Times New Roman"/>
          <w:b w:val="false"/>
          <w:i w:val="false"/>
          <w:color w:val="000000"/>
          <w:sz w:val="22"/>
        </w:rPr>
        <w:t> </w:t>
      </w:r>
      <w:r>
        <w:rPr>
          <w:rFonts w:ascii="Times New Roman" w:hAnsi="Times New Roman"/>
          <w:b w:val="false"/>
          <w:i/>
          <w:color w:val="000000"/>
          <w:sz w:val="22"/>
        </w:rPr>
        <w:t xml:space="preserve">Unlawful access, disclosure, or use of information. </w:t>
      </w:r>
      <w:r>
        <w:rPr>
          <w:rFonts w:ascii="Times New Roman" w:hAnsi="Times New Roman"/>
          <w:b w:val="false"/>
          <w:i w:val="false"/>
          <w:color w:val="000000"/>
          <w:sz w:val="22"/>
        </w:rPr>
        <w:t xml:space="preserve">A person who intentionally or knowingly accesses, uses, or discloses information from the prescription monitoring program in violation of Iowa Code section </w:t>
      </w:r>
      <w:hyperlink r:id="rId20">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unless otherwise authorized by law, is guilty of a class “D” felony. This subrule shall not preclude a physician who requests and receives information from the prescription monitoring program consistent with the requirements of Iowa Code section </w:t>
      </w:r>
      <w:hyperlink r:id="rId21">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from otherwise lawfully providing that information to any other person for medical care purposes.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2">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9599B</w:t>
      </w:r>
      <w:r>
        <w:rPr>
          <w:rFonts w:ascii="Times New Roman" w:hAnsi="Times New Roman"/>
          <w:b w:val="false"/>
          <w:i w:val="false"/>
          <w:color w:val="000000"/>
          <w:sz w:val="16"/>
        </w:rPr>
        <w:t>, IAB 7/13/11,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2705C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4714C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653—13.3</w:t>
      </w:r>
      <w:r>
        <w:rPr>
          <w:rFonts w:ascii="Times New Roman" w:hAnsi="Times New Roman"/>
          <w:b/>
          <w:i w:val="false"/>
          <w:color w:val="000000"/>
          <w:sz w:val="22"/>
        </w:rPr>
        <w:t xml:space="preserve">(147) </w:t>
      </w:r>
      <w:r>
        <w:rPr>
          <w:rFonts w:ascii="Times New Roman" w:hAnsi="Times New Roman"/>
          <w:b/>
          <w:i w:val="false"/>
          <w:color w:val="000000"/>
          <w:sz w:val="22"/>
        </w:rPr>
        <w:t xml:space="preserve">Supervision of pharmacists who administer adult immunizations.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1033C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10/2/13</w:t>
      </w:r>
      <w:r>
        <w:rPr>
          <w:rFonts w:ascii="Times New Roman" w:hAnsi="Times New Roman"/>
          <w:b w:val="false"/>
          <w:i w:val="false"/>
          <w:color w:val="000000"/>
          <w:sz w:val="22"/>
        </w:rPr>
        <w:t>, effective 11/6/13.</w:t>
      </w:r>
    </w:p>
    <w:p>
      <w:pPr>
        <w:spacing w:before="210" w:after="0"/>
        <w:ind w:left="120"/>
        <w:jc w:val="both"/>
      </w:pPr>
      <w:r>
        <w:rPr>
          <w:rFonts w:ascii="Times New Roman" w:hAnsi="Times New Roman"/>
          <w:b/>
          <w:i w:val="false"/>
          <w:color w:val="000000"/>
          <w:sz w:val="22"/>
        </w:rPr>
        <w:t>653—13.4</w:t>
      </w:r>
      <w:r>
        <w:rPr>
          <w:rFonts w:ascii="Times New Roman" w:hAnsi="Times New Roman"/>
          <w:b/>
          <w:i w:val="false"/>
          <w:color w:val="000000"/>
          <w:sz w:val="22"/>
        </w:rPr>
        <w:t xml:space="preserve">(148) </w:t>
      </w:r>
      <w:r>
        <w:rPr>
          <w:rFonts w:ascii="Times New Roman" w:hAnsi="Times New Roman"/>
          <w:b/>
          <w:i w:val="false"/>
          <w:color w:val="000000"/>
          <w:sz w:val="22"/>
        </w:rPr>
        <w:t xml:space="preserve">Supervision of pharmacists engaged in collaborative drug therapy management. </w:t>
      </w:r>
      <w:r>
        <w:rPr>
          <w:rFonts w:ascii="Times New Roman" w:hAnsi="Times New Roman"/>
          <w:b w:val="false"/>
          <w:i w:val="false"/>
          <w:color w:val="000000"/>
          <w:sz w:val="22"/>
        </w:rPr>
        <w:t xml:space="preserve">Rescinded </w:t>
      </w:r>
      <w:r>
        <w:rPr>
          <w:rFonts w:ascii="Times New Roman" w:hAnsi="Times New Roman"/>
          <w:b/>
          <w:i w:val="false"/>
          <w:color w:val="000000"/>
          <w:sz w:val="22"/>
        </w:rPr>
        <w:t>ARC 6442C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8/10/22</w:t>
      </w:r>
      <w:r>
        <w:rPr>
          <w:rFonts w:ascii="Times New Roman" w:hAnsi="Times New Roman"/>
          <w:b w:val="false"/>
          <w:i w:val="false"/>
          <w:color w:val="000000"/>
          <w:sz w:val="22"/>
        </w:rPr>
        <w:t xml:space="preserve">, effective 9/14/22. </w:t>
      </w:r>
    </w:p>
    <w:p>
      <w:pPr>
        <w:spacing w:before="0" w:after="0"/>
        <w:ind w:left="120"/>
        <w:jc w:val="both"/>
      </w:pPr>
      <w:r>
        <w:rPr>
          <w:rFonts w:ascii="Times New Roman" w:hAnsi="Times New Roman"/>
          <w:b/>
          <w:i w:val="false"/>
          <w:color w:val="000000"/>
          <w:sz w:val="22"/>
        </w:rPr>
        <w:t>653—13.5</w:t>
      </w:r>
      <w:r>
        <w:rPr>
          <w:rFonts w:ascii="Times New Roman" w:hAnsi="Times New Roman"/>
          <w:b/>
          <w:i w:val="false"/>
          <w:color w:val="000000"/>
          <w:sz w:val="22"/>
        </w:rPr>
        <w:t xml:space="preserve">(147,148) </w:t>
      </w:r>
      <w:r>
        <w:rPr>
          <w:rFonts w:ascii="Times New Roman" w:hAnsi="Times New Roman"/>
          <w:b/>
          <w:i w:val="false"/>
          <w:color w:val="000000"/>
          <w:sz w:val="22"/>
        </w:rPr>
        <w:t xml:space="preserve">Standards of practice—chelation therapy. </w:t>
      </w:r>
      <w:r>
        <w:rPr>
          <w:rFonts w:ascii="Times New Roman" w:hAnsi="Times New Roman"/>
          <w:b w:val="false"/>
          <w:i w:val="false"/>
          <w:color w:val="000000"/>
          <w:sz w:val="22"/>
        </w:rPr>
        <w:t>Chelation therapy or disodium ethylene diamine tetra acetic acid (EDTA) may only be used for the treatment of heavy metal poisoning or in the clinical setting when a licensee experienced in clinical investigations conducts a carefully controlled clinical investigation of its effectiveness in treating other diseases or medical conditions under a research protocol that has been approved by an institutional review board of the University of Iowa or Des Moines University—Osteopathic Medical Center.</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653—13.6</w:t>
      </w:r>
      <w:r>
        <w:rPr>
          <w:rFonts w:ascii="Times New Roman" w:hAnsi="Times New Roman"/>
          <w:b/>
          <w:i w:val="false"/>
          <w:color w:val="000000"/>
          <w:sz w:val="22"/>
        </w:rPr>
        <w:t xml:space="preserve">(79GA,HF726) </w:t>
      </w:r>
      <w:r>
        <w:rPr>
          <w:rFonts w:ascii="Times New Roman" w:hAnsi="Times New Roman"/>
          <w:b/>
          <w:i w:val="false"/>
          <w:color w:val="000000"/>
          <w:sz w:val="22"/>
        </w:rPr>
        <w:t xml:space="preserve">Standards of practice—automated dispensing systems. </w:t>
      </w:r>
      <w:r>
        <w:rPr>
          <w:rFonts w:ascii="Times New Roman" w:hAnsi="Times New Roman"/>
          <w:b w:val="false"/>
          <w:i w:val="false"/>
          <w:color w:val="000000"/>
          <w:sz w:val="22"/>
        </w:rPr>
        <w:t>A physician who dispenses prescription drugs via an automated dispensing system or a dispensing system that employs technology may delegate nonjudgmental dispensing functions to staff assistants in the absence of a pharmacist or physician provided that the physician utilizes an internal quality control assurance plan that ensures that the medication dispensed is the medication that was prescribed. The physician shall be physically present to determine the accuracy and completeness of any medication that is reconstituted prior to dispensing.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val="false"/>
          <w:color w:val="000000"/>
          <w:sz w:val="22"/>
        </w:rPr>
        <w:t>An internal quality control assurance plan shall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physician responsible for the internal quality assurance plan and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Methods that the dispensing system employs, e.g., bar coding, to ensure the accuracy of the patient’s name and medication, dosage, directions and amount of medication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Standards that the physician expects to be met to ensure the accuracy of the dispensing system and the training and qualifications of staff members assigned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procedures utilized to ensure that the physician(s) dispensing via the automated system provide(s) patients counseling regarding the prescription drugs being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training and qualifications for dispensing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staff members who meet the qualifications and who are assigned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plan for testing the dispensing system and each staff member assigned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results of testing that show compliance with the standards prior to implementation of the dispensing system and prior to approval of each staff member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plan for interval testing of the accuracy of dispensing, at least annually;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plan for addressing inaccuracies, including discontinuing dispensing until the accuracy level can be reattained.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val="false"/>
          <w:color w:val="000000"/>
          <w:sz w:val="22"/>
        </w:rPr>
        <w:t>Those dispensing systems already in place shall show evidence of a plan and testing within two months of August 31,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val="false"/>
          <w:color w:val="000000"/>
          <w:sz w:val="22"/>
        </w:rPr>
        <w:t>The internal quality control assurance plan shall be submitted to the board of medicine upon request.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2001 Iowa Acts, House File 726</w:t>
      </w:r>
      <w:r>
        <w:rPr>
          <w:rFonts w:ascii="Times New Roman" w:hAnsi="Times New Roman"/>
          <w:b w:val="false"/>
          <w:i w:val="false"/>
          <w:color w:val="000000"/>
          <w:sz w:val="22"/>
        </w:rPr>
        <w:t xml:space="preserve">, section 5(10), paragraph </w:t>
      </w:r>
      <w:r>
        <w:rPr>
          <w:rFonts w:ascii="Times New Roman" w:hAnsi="Times New Roman"/>
          <w:b w:val="false"/>
          <w:i/>
          <w:color w:val="000000"/>
          <w:sz w:val="22"/>
        </w:rPr>
        <w:t>“i.”</w:t>
      </w:r>
    </w:p>
    <w:p>
      <w:pPr>
        <w:spacing w:before="0" w:after="0"/>
        <w:ind w:left="120"/>
        <w:jc w:val="both"/>
      </w:pPr>
      <w:r>
        <w:rPr>
          <w:rFonts w:ascii="Times New Roman" w:hAnsi="Times New Roman"/>
          <w:b/>
          <w:i w:val="false"/>
          <w:color w:val="000000"/>
          <w:sz w:val="22"/>
        </w:rPr>
        <w:t>653—13.7</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practice—office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color w:val="000000"/>
          <w:sz w:val="22"/>
        </w:rPr>
        <w:t xml:space="preserve">Termination of the physician-patient relationship. </w:t>
      </w:r>
      <w:r>
        <w:rPr>
          <w:rFonts w:ascii="Times New Roman" w:hAnsi="Times New Roman"/>
          <w:b w:val="false"/>
          <w:i w:val="false"/>
          <w:color w:val="000000"/>
          <w:sz w:val="22"/>
        </w:rPr>
        <w:t>A physician may choose whom to serve. Having undertaken the care of a patient, the physician may not neglect the patient. A physician shall provide a patient written notice of the termination of the physician-patient relationship. A physician shall ensure that emergency medical care is available to the patient during the 30-day period following notice of the termination of the physician-patient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color w:val="000000"/>
          <w:sz w:val="22"/>
        </w:rPr>
        <w:t xml:space="preserve">Patient referrals. </w:t>
      </w:r>
      <w:r>
        <w:rPr>
          <w:rFonts w:ascii="Times New Roman" w:hAnsi="Times New Roman"/>
          <w:b w:val="false"/>
          <w:i w:val="false"/>
          <w:color w:val="000000"/>
          <w:sz w:val="22"/>
        </w:rPr>
        <w:t>A physician shall not pay or receive compensation for patient referrals.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A physician shall maintain the confidentiality of all patient information obtained in the practice of medicine. Information shall be divulged by the physician when authorized by law or the patient or when required for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13.7(4)</w:t>
      </w:r>
      <w:r>
        <w:rPr>
          <w:rFonts w:ascii="Times New Roman" w:hAnsi="Times New Roman"/>
          <w:b w:val="false"/>
          <w:i w:val="false"/>
          <w:color w:val="000000"/>
          <w:sz w:val="22"/>
        </w:rPr>
        <w:t> </w:t>
      </w:r>
      <w:r>
        <w:rPr>
          <w:rFonts w:ascii="Times New Roman" w:hAnsi="Times New Roman"/>
          <w:b w:val="false"/>
          <w:i/>
          <w:color w:val="000000"/>
          <w:sz w:val="22"/>
        </w:rPr>
        <w:t xml:space="preserve">Sexual conduct. </w:t>
      </w:r>
      <w:r>
        <w:rPr>
          <w:rFonts w:ascii="Times New Roman" w:hAnsi="Times New Roman"/>
          <w:b w:val="false"/>
          <w:i w:val="false"/>
          <w:color w:val="000000"/>
          <w:sz w:val="22"/>
        </w:rPr>
        <w:t>It is unprofessional and unethical conduct, and is grounds for disciplinary action, for a physician to engage in conduct which violates the following prohibitions: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course of providing medical care, a physician shall not engage in contact, touching, or comments of a sexual nature with a patient, or with the patient’s parent or guardian if the patient is a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shall not engage in any sexual conduct with a patient when that conduct occurs concurrent with the physician-patient relationship, regardless of whether the patient consents to that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shall not engage in any sexual conduct with a former patient unless the physician-patient relationship was completely terminated before the sexual conduct occurred. In considering whether that relationship was completely terminated, the board will consider the duration of the physician-patient relationship, the nature of the medical services provided, the lapse of time since the physician-patient relationship ended, the degree of dependence in the physician-patient relationship, and the extent to which the physician used or exploited the trust, knowledge, emotions, or influence derived from the physician-patient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psychiatrist, or a physician who provides mental health counseling to a patient, shall never engage in any sexual conduct with a current or former patient, or with that patient’s parent or guardian if the patient was a minor, regardless of whether the patient consents to that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w:t>
      </w:r>
      <w:r>
        <w:rPr>
          <w:rFonts w:ascii="Times New Roman" w:hAnsi="Times New Roman"/>
          <w:b w:val="false"/>
          <w:i w:val="false"/>
          <w:color w:val="000000"/>
          <w:sz w:val="22"/>
        </w:rPr>
        <w:t> </w:t>
      </w:r>
      <w:r>
        <w:rPr>
          <w:rFonts w:ascii="Times New Roman" w:hAnsi="Times New Roman"/>
          <w:b w:val="false"/>
          <w:i/>
          <w:color w:val="000000"/>
          <w:sz w:val="22"/>
        </w:rPr>
        <w:t xml:space="preserve">Disruptive behavior. </w:t>
      </w:r>
      <w:r>
        <w:rPr>
          <w:rFonts w:ascii="Times New Roman" w:hAnsi="Times New Roman"/>
          <w:b w:val="false"/>
          <w:i w:val="false"/>
          <w:color w:val="000000"/>
          <w:sz w:val="22"/>
        </w:rPr>
        <w:t>A physician shall not engage in disruptive behavior. Disruptive behavior is defined as a pattern of contentious, threatening, or intractable behavior that interferes with, or has the potential to interfere with, patient care or the effective functioning of health care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w:t>
      </w:r>
      <w:r>
        <w:rPr>
          <w:rFonts w:ascii="Times New Roman" w:hAnsi="Times New Roman"/>
          <w:b w:val="false"/>
          <w:i w:val="false"/>
          <w:color w:val="000000"/>
          <w:sz w:val="22"/>
        </w:rPr>
        <w:t> </w:t>
      </w:r>
      <w:r>
        <w:rPr>
          <w:rFonts w:ascii="Times New Roman" w:hAnsi="Times New Roman"/>
          <w:b w:val="false"/>
          <w:i/>
          <w:color w:val="000000"/>
          <w:sz w:val="22"/>
        </w:rPr>
        <w:t xml:space="preserve">Sexual harassment. </w:t>
      </w:r>
      <w:r>
        <w:rPr>
          <w:rFonts w:ascii="Times New Roman" w:hAnsi="Times New Roman"/>
          <w:b w:val="false"/>
          <w:i w:val="false"/>
          <w:color w:val="000000"/>
          <w:sz w:val="22"/>
        </w:rPr>
        <w:t>A physician shall not engage in sexual harassment. Sexual harassment is defined as verbal or physical conduct of a sexual nature which interferes with another health care worker’s performance or creates an intimidating, hostile or offensive work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13.7(7)</w:t>
      </w:r>
      <w:r>
        <w:rPr>
          <w:rFonts w:ascii="Times New Roman" w:hAnsi="Times New Roman"/>
          <w:b w:val="false"/>
          <w:i w:val="false"/>
          <w:color w:val="000000"/>
          <w:sz w:val="22"/>
        </w:rPr>
        <w:t> </w:t>
      </w:r>
      <w:r>
        <w:rPr>
          <w:rFonts w:ascii="Times New Roman" w:hAnsi="Times New Roman"/>
          <w:b w:val="false"/>
          <w:i/>
          <w:color w:val="000000"/>
          <w:sz w:val="22"/>
        </w:rPr>
        <w:t xml:space="preserve">Transfer of medical records. </w:t>
      </w:r>
      <w:r>
        <w:rPr>
          <w:rFonts w:ascii="Times New Roman" w:hAnsi="Times New Roman"/>
          <w:b w:val="false"/>
          <w:i w:val="false"/>
          <w:color w:val="000000"/>
          <w:sz w:val="22"/>
        </w:rPr>
        <w:t>A physician must provide a copy of all medical records generated by the physician in a timely manner to the patient or another physician designated by the patient, upon written request when legally requested to do so by the subject patient or by a legally designated representative of the subject patient, except as otherwise required or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13.7(8)</w:t>
      </w:r>
      <w:r>
        <w:rPr>
          <w:rFonts w:ascii="Times New Roman" w:hAnsi="Times New Roman"/>
          <w:b w:val="false"/>
          <w:i w:val="false"/>
          <w:color w:val="000000"/>
          <w:sz w:val="22"/>
        </w:rPr>
        <w:t> </w:t>
      </w:r>
      <w:r>
        <w:rPr>
          <w:rFonts w:ascii="Times New Roman" w:hAnsi="Times New Roman"/>
          <w:b w:val="false"/>
          <w:i/>
          <w:color w:val="000000"/>
          <w:sz w:val="22"/>
        </w:rPr>
        <w:t xml:space="preserve">Retention of medical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shall retain all medical records, not appropriately transferred to another physician or entity, for at least seven years from the last date of service for each patient, except as otherwise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must retain all medical records of minor patients, not appropriately transferred to another physician or entity, for a period consistent with that established by Iowa Code section </w:t>
      </w:r>
      <w:hyperlink r:id="rId28">
        <w:r>
          <w:rPr>
            <w:rStyle w:val="Hyperlink"/>
            <w:rFonts w:ascii="Times New Roman" w:hAnsi="Times New Roman"/>
            <w:b w:val="false"/>
            <w:i w:val="false"/>
            <w:color w:val="000000"/>
            <w:sz w:val="22"/>
          </w:rPr>
          <w:t>614.8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Beginning July 1, 2023, a physician must appoint another Iowa-licensed physician, or other representative or entity that is held to the same standards of confidentiality as the physician, to ensure that all requirements of this subrule are met in the event of the physician’s death or incapacitation. Upon request by the board, the physician must be able to establish by sufficient proof the appointment of a representative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a physician’s death or retirement, the sale of a medical practice, or a physician’s departure from the physician’s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physician or the physician’s representative must ensure that all medical records are transferred to another physician or entity that is held to the same standards of confidentiality and agrees to act as custodian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 or the physician’s representative shall notify all active patients that their records will be transferred to another physician or entity that will retain custody of their records and that, at their written request, the records will be sent to the physician or entity of the patient’s choice.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6683C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653—13.8</w:t>
      </w:r>
      <w:r>
        <w:rPr>
          <w:rFonts w:ascii="Times New Roman" w:hAnsi="Times New Roman"/>
          <w:b/>
          <w:i w:val="false"/>
          <w:color w:val="000000"/>
          <w:sz w:val="22"/>
        </w:rPr>
        <w:t xml:space="preserve">(148,272C) </w:t>
      </w:r>
      <w:r>
        <w:rPr>
          <w:rFonts w:ascii="Times New Roman" w:hAnsi="Times New Roman"/>
          <w:b/>
          <w:i w:val="false"/>
          <w:color w:val="000000"/>
          <w:sz w:val="22"/>
        </w:rPr>
        <w:t xml:space="preserve">Standards of practice—medical directors at medical spas—delegation and supervision of medical aesthetic services performed by qualified licensed or certified nonphysician persons or qualified laser technicians. </w:t>
      </w:r>
      <w:r>
        <w:rPr>
          <w:rFonts w:ascii="Times New Roman" w:hAnsi="Times New Roman"/>
          <w:b w:val="false"/>
          <w:i w:val="false"/>
          <w:color w:val="000000"/>
          <w:sz w:val="22"/>
        </w:rPr>
        <w:t>This rule establishes standards of practice for a physician or surgeon or osteopathic physician or surgeon who serves as a medical director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 </w:t>
      </w:r>
      <w:r>
        <w:rPr>
          <w:rFonts w:ascii="Times New Roman" w:hAnsi="Times New Roman"/>
          <w:b w:val="false"/>
          <w:i w:val="false"/>
          <w:color w:val="000000"/>
          <w:sz w:val="22"/>
        </w:rPr>
        <w:t>means to change the cellular structure of living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“Capable of” </w:t>
      </w:r>
      <w:r>
        <w:rPr>
          <w:rFonts w:ascii="Times New Roman" w:hAnsi="Times New Roman"/>
          <w:b w:val="false"/>
          <w:i w:val="false"/>
          <w:color w:val="000000"/>
          <w:sz w:val="22"/>
        </w:rPr>
        <w:t>means any means, method, device or instrument which, if used as intended or otherwise to its greatest strength, has the potential to alter or damage living tissue below the superficial epidermal cells.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“Damage” </w:t>
      </w:r>
      <w:r>
        <w:rPr>
          <w:rFonts w:ascii="Times New Roman" w:hAnsi="Times New Roman"/>
          <w:b w:val="false"/>
          <w:i w:val="false"/>
          <w:color w:val="000000"/>
          <w:sz w:val="22"/>
        </w:rPr>
        <w:t>means to cause a harmful change in the cellular structure of living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“Delegate” </w:t>
      </w:r>
      <w:r>
        <w:rPr>
          <w:rFonts w:ascii="Times New Roman" w:hAnsi="Times New Roman"/>
          <w:b w:val="false"/>
          <w:i w:val="false"/>
          <w:color w:val="000000"/>
          <w:sz w:val="22"/>
        </w:rPr>
        <w:t>means to entrust or transfer the performance of a medical aesthetic service to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aesthetic service” </w:t>
      </w:r>
      <w:r>
        <w:rPr>
          <w:rFonts w:ascii="Times New Roman" w:hAnsi="Times New Roman"/>
          <w:b w:val="false"/>
          <w:i w:val="false"/>
          <w:color w:val="000000"/>
          <w:sz w:val="22"/>
        </w:rPr>
        <w:t>means the diagnosis, treatment, or correction of human conditions, ailments, diseases, injuries, or infirmities of the skin, hair, nails and mucous membranes by any means, methods, devices, or instruments including the use of a biological or synthetic material, chemical application, mechanical device, or displaced energy form of any kind if it alters or damages or is capable of altering or damaging living tissue below the superficial epidermal cells, with the exception of hair removal. Medical aesthetic service includes, but is not limited to, the following services: ablative laser therapy; vaporizing laser therapy; nonsuperficial light device therapy; injectables; tissue alteration services; nonsuperficial light-emitting diode therapy; nonsuperficial intense pulse light therapy; nonsuperficial radiofrequency therapy; nonsuperficial ultrasonic therapy; nonsuperficial exfoliation; nonsuperficial microdermabrasion; nonsuperficial dermaplane exfoliation; nonsuperficial lymphatic drainage; collagen induction therapy (microneedling); fat-freezing treatment (cool sculpting); botox injections; collagen injections; and tattoo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means a physician who assumes the role of, or holds oneself out as, medical director at a medical spa. The medical director is responsible for implementing policies and procedures to ensure quality patient care and for the delegation and supervision of medical aesthetic services performed by qualified licensed or certified nonphysician persons or qualified laser technicians at a medical spa. The medical director is ultimately responsible for all medical aesthetic services performed by qualified licensed or certified nonphysician persons or qualified laser technicians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spa” </w:t>
      </w:r>
      <w:r>
        <w:rPr>
          <w:rFonts w:ascii="Times New Roman" w:hAnsi="Times New Roman"/>
          <w:b w:val="false"/>
          <w:i w:val="false"/>
          <w:color w:val="000000"/>
          <w:sz w:val="22"/>
        </w:rPr>
        <w:t>means any entity, however organized, which is advertised, announced, established, or maintained for the purpose of providing medical aesthetic services. Medical spa shall not include a dermatology practice which is wholly owned and controlled by one or more Iowa-licensed physicians if at least one of the owners is actively practicing at each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“Nonsuperficial” </w:t>
      </w:r>
      <w:r>
        <w:rPr>
          <w:rFonts w:ascii="Times New Roman" w:hAnsi="Times New Roman"/>
          <w:b w:val="false"/>
          <w:i w:val="false"/>
          <w:color w:val="000000"/>
          <w:sz w:val="22"/>
        </w:rPr>
        <w:t>means that the therapy alters or damages or is capable of altering or damaging living tissue below the superficial epidermal cells.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laser technician” </w:t>
      </w:r>
      <w:r>
        <w:rPr>
          <w:rFonts w:ascii="Times New Roman" w:hAnsi="Times New Roman"/>
          <w:b w:val="false"/>
          <w:i w:val="false"/>
          <w:color w:val="000000"/>
          <w:sz w:val="22"/>
        </w:rPr>
        <w:t>means any person, licensed or unlicensed, who has successfully completed a minimum of 120 hours of training, including a minimum of 40 hours of didactic study and 80 hours of clinical training, in the safe and effective use of lasers in the performance of medical aesthetic services at an accredited laser training program. For the purposes of this rule, a qualified laser technician may only use lasers in the performance of delegated medical aesthetic services under the supervision of a qualified supervising physician at a medical spa. An unlicensed qualified laser technician may not perform any other medical aesthetic services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licensed or certified nonphysician person” </w:t>
      </w:r>
      <w:r>
        <w:rPr>
          <w:rFonts w:ascii="Times New Roman" w:hAnsi="Times New Roman"/>
          <w:b w:val="false"/>
          <w:i w:val="false"/>
          <w:color w:val="000000"/>
          <w:sz w:val="22"/>
        </w:rPr>
        <w:t>means any person who is not licensed to practice medicine and surgery or osteopathic medicine and surgery but who is licensed or certified by another health- or skin care-related licensing board in Iowa and is qualified to perform delegated medical aesthetic services under the supervision of a qualified supervising physician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means the oversight of qualified licensed or certified nonphysician persons or qualified laser technicians who perform medical aesthetic services delegated by a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13.8(2)</w:t>
      </w:r>
      <w:r>
        <w:rPr>
          <w:rFonts w:ascii="Times New Roman" w:hAnsi="Times New Roman"/>
          <w:b w:val="false"/>
          <w:i w:val="false"/>
          <w:color w:val="000000"/>
          <w:sz w:val="22"/>
        </w:rPr>
        <w:t> </w:t>
      </w:r>
      <w:r>
        <w:rPr>
          <w:rFonts w:ascii="Times New Roman" w:hAnsi="Times New Roman"/>
          <w:b w:val="false"/>
          <w:i/>
          <w:color w:val="000000"/>
          <w:sz w:val="22"/>
        </w:rPr>
        <w:t xml:space="preserve">Practice of medicine. </w:t>
      </w:r>
      <w:r>
        <w:rPr>
          <w:rFonts w:ascii="Times New Roman" w:hAnsi="Times New Roman"/>
          <w:b w:val="false"/>
          <w:i w:val="false"/>
          <w:color w:val="000000"/>
          <w:sz w:val="22"/>
        </w:rPr>
        <w:t xml:space="preserve">The performance of medical aesthetic services is the practice of medicine. A medical aesthetic service shall only be performed by qualified licensed or certified nonphysician persons or qualified laser technicians if the service has been delegated by a medical director who is responsible for supervision of the services performed at a medical spa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13.8(3)</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A physician who serves as medical director at a medical spa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unrestricted Iowa medical license to supervise each delegated medical aesthetic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Possess the appropriate education, training, experience and competence to safely supervise each delegated medical aesthetic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Retain responsibility for the supervision of each medical aesthetic service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advertising activities do not include false, misleading, or deceptive representations;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clearly identified as the medical director in all advertising activities, Internet websites and signage related to the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13.8(4)</w:t>
      </w:r>
      <w:r>
        <w:rPr>
          <w:rFonts w:ascii="Times New Roman" w:hAnsi="Times New Roman"/>
          <w:b w:val="false"/>
          <w:i w:val="false"/>
          <w:color w:val="000000"/>
          <w:sz w:val="22"/>
        </w:rPr>
        <w:t> </w:t>
      </w:r>
      <w:r>
        <w:rPr>
          <w:rFonts w:ascii="Times New Roman" w:hAnsi="Times New Roman"/>
          <w:b w:val="false"/>
          <w:i/>
          <w:color w:val="000000"/>
          <w:sz w:val="22"/>
        </w:rPr>
        <w:t xml:space="preserve">Delegated medical aesthetic service. </w:t>
      </w:r>
      <w:r>
        <w:rPr>
          <w:rFonts w:ascii="Times New Roman" w:hAnsi="Times New Roman"/>
          <w:b w:val="false"/>
          <w:i w:val="false"/>
          <w:color w:val="000000"/>
          <w:sz w:val="22"/>
        </w:rPr>
        <w:t>When a medical director delegates a medical aesthetic service to qualified licensed or certified nonphysician persons or qualified laser technicians, the service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the medical director’s scope of practice and medical competence to supervise;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 type that a reasonable and prudent physician would conclude is within the scope of sound medical judgment to delegate;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routine and technical service, the performance of which does not require the skill of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13.8(5)</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A medical director who delegates performance of a medical aesthetic service to qualified licensed or certified nonphysician persons or qualified laser technicians is responsible for providing appropriate supervision. The medical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all licensed or certified nonphysician persons or qualified laser technicians are qualified and competent to safely perform each delegated medical aesthetic service by personally assessing the person’s education, training, experience and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a qualified licensed or certified nonphysician person does not perform any medical aesthetic services which are beyond the scope of that person’s license or certification unless the person is supervised by a qualified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all qualified licensed or certified nonphysician persons or qualified laser technicians receive direct, in-person, on-site supervision from the medical director or other qualified licensed physician at least four hours each week and that the regular supervision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on-site review of medical aesthetic services performed by qualified licensed or certified nonphysician persons or qualified laser technicians each week and review at least 10 percent of patient charts for medical aesthetic services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physically located, at all times, within 60 miles of the location where delegated medical aesthetic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available, in person or electronically, at all times, to consult with qualified licensed or certified nonphysician persons or qualified laser technicians who perform delegated medical aesthetic services, particularly in case of injury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Assess the legitimacy and safety of all equipment or other technologies being used by qualified licensed or certified nonphysician persons or qualified laser technicians who perform delegated medical aesthetic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protocols for responding to emergencies or other injuries suffered by persons receiving delegated medical aesthetic services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Ensure that all qualified licensed or certified nonphysician persons or qualified laser technicians maintain accurate and timely medical records for the delegated medical aesthetic services they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Ensure that each patient provides appropriate informed consent for medical aesthetic services performed by the medical director or other qualified licensed physician and all qualified licensed or certified nonphysician persons or qualified laser technicians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Ensure that the identity and licensure and certification of the medical director, other qualified licensed physicians, and all qualified licensed or certified nonphysician persons or qualified laser technicians are visibly displayed at each medical spa where they perform medical aesthetic services and provided in writing to each patient receiving medical aesthetic services at a medical spa;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Ensure that the board receives written verification of the education and training of all qualified licensed or certified nonphysician persons or qualified laser technicians who perform delegated medical aesthetic services at a medical spa, within 14 days of a request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13.8(6)</w:t>
      </w:r>
      <w:r>
        <w:rPr>
          <w:rFonts w:ascii="Times New Roman" w:hAnsi="Times New Roman"/>
          <w:b w:val="false"/>
          <w:i w:val="false"/>
          <w:color w:val="000000"/>
          <w:sz w:val="22"/>
        </w:rPr>
        <w:t> </w:t>
      </w:r>
      <w:r>
        <w:rPr>
          <w:rFonts w:ascii="Times New Roman" w:hAnsi="Times New Roman"/>
          <w:b w:val="false"/>
          <w:i/>
          <w:color w:val="000000"/>
          <w:sz w:val="22"/>
        </w:rPr>
        <w:t xml:space="preserve">Continuing medical education. </w:t>
      </w:r>
      <w:r>
        <w:rPr>
          <w:rFonts w:ascii="Times New Roman" w:hAnsi="Times New Roman"/>
          <w:b w:val="false"/>
          <w:i w:val="false"/>
          <w:color w:val="000000"/>
          <w:sz w:val="22"/>
        </w:rPr>
        <w:t>All medical directors, qualified licensed or certified nonphysician persons and qualified laser technicians who practice at a medical spa in Iowa shall complete a minimum of 20 hours of continuing medical education in the safe and effective performance of medical aesthetic services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13.8(7)</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This rule is not intended to apply to physicians who serve as medical directors of licensed medical facilities, clinics or practices that provide medical aesthetic services as part of or incident to their other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13.8(8)</w:t>
      </w:r>
      <w:r>
        <w:rPr>
          <w:rFonts w:ascii="Times New Roman" w:hAnsi="Times New Roman"/>
          <w:b w:val="false"/>
          <w:i w:val="false"/>
          <w:color w:val="000000"/>
          <w:sz w:val="22"/>
        </w:rPr>
        <w:t> </w:t>
      </w:r>
      <w:r>
        <w:rPr>
          <w:rFonts w:ascii="Times New Roman" w:hAnsi="Times New Roman"/>
          <w:b w:val="false"/>
          <w:i/>
          <w:color w:val="000000"/>
          <w:sz w:val="22"/>
        </w:rPr>
        <w:t xml:space="preserve">Physician assistants. </w:t>
      </w:r>
      <w:r>
        <w:rPr>
          <w:rFonts w:ascii="Times New Roman" w:hAnsi="Times New Roman"/>
          <w:b w:val="false"/>
          <w:i w:val="false"/>
          <w:color w:val="000000"/>
          <w:sz w:val="22"/>
        </w:rPr>
        <w:t xml:space="preserve">Nothing in this rule shall be interpreted to contradict or supersede the rules established in </w:t>
      </w:r>
      <w:hyperlink r:id="rId29">
        <w:r>
          <w:rPr>
            <w:rStyle w:val="Hyperlink"/>
            <w:rFonts w:ascii="Times New Roman" w:hAnsi="Times New Roman"/>
            <w:b w:val="false"/>
            <w:i w:val="false"/>
            <w:color w:val="000000"/>
            <w:sz w:val="22"/>
          </w:rPr>
          <w:t>645—Chapters 326</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327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4247C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653—13.9</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practice—interventional chronic pain management. </w:t>
      </w:r>
      <w:r>
        <w:rPr>
          <w:rFonts w:ascii="Times New Roman" w:hAnsi="Times New Roman"/>
          <w:b w:val="false"/>
          <w:i w:val="false"/>
          <w:color w:val="000000"/>
          <w:sz w:val="22"/>
        </w:rPr>
        <w:t>This rule establishes standards of practice for the practice of interventional chronic pain management. The purpose of this rule is to assist physicians who consider interventional techniques to treat patients with chronic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“Interventional chronic pain management” </w:t>
      </w:r>
      <w:r>
        <w:rPr>
          <w:rFonts w:ascii="Times New Roman" w:hAnsi="Times New Roman"/>
          <w:b w:val="false"/>
          <w:i w:val="false"/>
          <w:color w:val="000000"/>
          <w:sz w:val="22"/>
        </w:rPr>
        <w:t>means the diagnosis and treatment of pain-related disorders with the application of interventional techniques in managing subacute, chronic, persistent, and intractable pain. Interventional techniques include percutaneous (through the skin) needle placement to inject drugs in targeted areas. Interventional techniques also include nerve ablation (excision or amputation) and certain surgical procedures. Interventional techniques often involve injection of steroids, analgesics, and anesthetics and include: lumbar, thoracic, and cervical spine injections, intra-articular injections, intrathecal injections, epidural injections (both regular and transforaminal), facet injections, discography, nerve destruction, occipital nerve blocks, lumbar sympathetic blocks and vertebroplasty, and kyphoplasty. Interventional chronic pain management includes the use of fluoroscopy when it is used to assess the cause of a patient’s chronic pain or when it is used to identify anatomic landmarks during interventional techniques. Specific interventional techniques include: SI joint injections; spinal punctures; epidural blood patches; epidural injections; epidural/spinal injections; lumbar injections; epidural/subarachnoid catheters; occipital nerve blocks; axillary nerve blocks; intercostals nerve blocks; multiple intercostals nerve blocks; ilioinguinal nerve blocks; peripheral nerve blocks; facet joint injections; cervical/thoracic facet joint injections; lumbar facet injections; multiple lumbar facet injections; transforaminal epidural steroid injections; transforaminal cervical steroid injections; sphenopalatine ganglion blocks; paravertebral sympathetic blocks; neurolysis of the lumbar facet nerve; neurolysis of the cervical facet nerve; and destruction of the peripheral nerve.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color w:val="000000"/>
          <w:sz w:val="22"/>
        </w:rPr>
        <w:t xml:space="preserve">Interventional chronic pain management. </w:t>
      </w:r>
      <w:r>
        <w:rPr>
          <w:rFonts w:ascii="Times New Roman" w:hAnsi="Times New Roman"/>
          <w:b w:val="false"/>
          <w:i w:val="false"/>
          <w:color w:val="000000"/>
          <w:sz w:val="22"/>
        </w:rPr>
        <w:t>The practice of interventional chronic pain management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Comprehensive assessment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Diagnosis of the cause of the patient’s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of alternative treatment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Selection of appropriate treatment options;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Termination of prescribed treatment options when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Follow-up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Collaboration with other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w:t>
      </w:r>
      <w:r>
        <w:rPr>
          <w:rFonts w:ascii="Times New Roman" w:hAnsi="Times New Roman"/>
          <w:b w:val="false"/>
          <w:i w:val="false"/>
          <w:color w:val="000000"/>
          <w:sz w:val="22"/>
        </w:rPr>
        <w:t> </w:t>
      </w:r>
      <w:r>
        <w:rPr>
          <w:rFonts w:ascii="Times New Roman" w:hAnsi="Times New Roman"/>
          <w:b w:val="false"/>
          <w:i/>
          <w:color w:val="000000"/>
          <w:sz w:val="22"/>
        </w:rPr>
        <w:t xml:space="preserve">Practice of medicine. </w:t>
      </w:r>
      <w:r>
        <w:rPr>
          <w:rFonts w:ascii="Times New Roman" w:hAnsi="Times New Roman"/>
          <w:b w:val="false"/>
          <w:i w:val="false"/>
          <w:color w:val="000000"/>
          <w:sz w:val="22"/>
        </w:rPr>
        <w:t>Interventional chronic pain management is the practice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653—13.10</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practice—physicians who prescribe or administer abortion-inducing 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“Abortion-inducing drug” </w:t>
      </w:r>
      <w:r>
        <w:rPr>
          <w:rFonts w:ascii="Times New Roman" w:hAnsi="Times New Roman"/>
          <w:b w:val="false"/>
          <w:i w:val="false"/>
          <w:color w:val="000000"/>
          <w:sz w:val="22"/>
        </w:rPr>
        <w:t>means a drug, medicine, mixture, or preparation, when it is prescribed or administered with the intent to terminate the pregnancy of a woman known to be pregnant.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w:t>
      </w:r>
      <w:r>
        <w:rPr>
          <w:rFonts w:ascii="Times New Roman" w:hAnsi="Times New Roman"/>
          <w:b w:val="false"/>
          <w:i w:val="false"/>
          <w:color w:val="000000"/>
          <w:sz w:val="22"/>
        </w:rPr>
        <w:t> </w:t>
      </w:r>
      <w:r>
        <w:rPr>
          <w:rFonts w:ascii="Times New Roman" w:hAnsi="Times New Roman"/>
          <w:b w:val="false"/>
          <w:i/>
          <w:color w:val="000000"/>
          <w:sz w:val="22"/>
        </w:rPr>
        <w:t xml:space="preserve">Physical examination required. </w:t>
      </w:r>
      <w:r>
        <w:rPr>
          <w:rFonts w:ascii="Times New Roman" w:hAnsi="Times New Roman"/>
          <w:b w:val="false"/>
          <w:i w:val="false"/>
          <w:color w:val="000000"/>
          <w:sz w:val="22"/>
        </w:rPr>
        <w:t>A physician shall not induce an abortion by providing an abortion-inducing drug unless the physician has first performed a physical examination of the woman to determine, and document in the woman’s medical record, the gestational age and intrauterine location of the pregnancy.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13.10(3)</w:t>
      </w:r>
      <w:r>
        <w:rPr>
          <w:rFonts w:ascii="Times New Roman" w:hAnsi="Times New Roman"/>
          <w:b w:val="false"/>
          <w:i w:val="false"/>
          <w:color w:val="000000"/>
          <w:sz w:val="22"/>
        </w:rPr>
        <w:t> </w:t>
      </w:r>
      <w:r>
        <w:rPr>
          <w:rFonts w:ascii="Times New Roman" w:hAnsi="Times New Roman"/>
          <w:b w:val="false"/>
          <w:i/>
          <w:color w:val="000000"/>
          <w:sz w:val="22"/>
        </w:rPr>
        <w:t xml:space="preserve">Physician’s physical presence required. </w:t>
      </w:r>
      <w:r>
        <w:rPr>
          <w:rFonts w:ascii="Times New Roman" w:hAnsi="Times New Roman"/>
          <w:b w:val="false"/>
          <w:i w:val="false"/>
          <w:color w:val="000000"/>
          <w:sz w:val="22"/>
        </w:rPr>
        <w:t>When inducing an abortion by providing an abortion-inducing drug, a physician must be physically present with the woman at the time the abortion-inducing drug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13.10(4)</w:t>
      </w:r>
      <w:r>
        <w:rPr>
          <w:rFonts w:ascii="Times New Roman" w:hAnsi="Times New Roman"/>
          <w:b w:val="false"/>
          <w:i w:val="false"/>
          <w:color w:val="000000"/>
          <w:sz w:val="22"/>
        </w:rPr>
        <w:t> </w:t>
      </w:r>
      <w:r>
        <w:rPr>
          <w:rFonts w:ascii="Times New Roman" w:hAnsi="Times New Roman"/>
          <w:b w:val="false"/>
          <w:i/>
          <w:color w:val="000000"/>
          <w:sz w:val="22"/>
        </w:rPr>
        <w:t xml:space="preserve">Follow-up appointment required. </w:t>
      </w:r>
      <w:r>
        <w:rPr>
          <w:rFonts w:ascii="Times New Roman" w:hAnsi="Times New Roman"/>
          <w:b w:val="false"/>
          <w:i w:val="false"/>
          <w:color w:val="000000"/>
          <w:sz w:val="22"/>
        </w:rPr>
        <w:t>If an abortion is induced by an abortion-inducing drug, the physician inducing the abortion must schedule a follow-up appointment with the woman at the same facility where the abortion-inducing drug was provided, 12 to 18 days after the woman’s use of an abortion-inducing drug to confirm the termination of the pregnancy and evaluate the woman’s medical condition. The physician shall use all reasonable efforts to ensure that the woman is aware of the follow-up appointment and that she returns for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13.10(5)</w:t>
      </w:r>
      <w:r>
        <w:rPr>
          <w:rFonts w:ascii="Times New Roman" w:hAnsi="Times New Roman"/>
          <w:b w:val="false"/>
          <w:i w:val="false"/>
          <w:color w:val="000000"/>
          <w:sz w:val="22"/>
        </w:rPr>
        <w:t> </w:t>
      </w:r>
      <w:r>
        <w:rPr>
          <w:rFonts w:ascii="Times New Roman" w:hAnsi="Times New Roman"/>
          <w:b w:val="false"/>
          <w:i/>
          <w:color w:val="000000"/>
          <w:sz w:val="22"/>
        </w:rPr>
        <w:t xml:space="preserve">Parental notification regarding pregnant minors. </w:t>
      </w:r>
      <w:r>
        <w:rPr>
          <w:rFonts w:ascii="Times New Roman" w:hAnsi="Times New Roman"/>
          <w:b w:val="false"/>
          <w:i w:val="false"/>
          <w:color w:val="000000"/>
          <w:sz w:val="22"/>
        </w:rPr>
        <w:t xml:space="preserve">A physician shall not induce an abortion by providing an abortion-inducing drug to a pregnant minor prior to compliance with the requirements of Iowa Code chapter </w:t>
      </w:r>
      <w:hyperlink r:id="rId31">
        <w:r>
          <w:rPr>
            <w:rStyle w:val="Hyperlink"/>
            <w:rFonts w:ascii="Times New Roman" w:hAnsi="Times New Roman"/>
            <w:b w:val="false"/>
            <w:i w:val="false"/>
            <w:color w:val="000000"/>
            <w:sz w:val="22"/>
          </w:rPr>
          <w:t>135L</w:t>
        </w:r>
      </w:hyperlink>
      <w:r>
        <w:rPr>
          <w:rFonts w:ascii="Times New Roman" w:hAnsi="Times New Roman"/>
          <w:b w:val="false"/>
          <w:i w:val="false"/>
          <w:color w:val="000000"/>
          <w:sz w:val="22"/>
        </w:rPr>
        <w:t xml:space="preserve"> and rules </w:t>
      </w:r>
      <w:hyperlink r:id="rId32">
        <w:r>
          <w:rPr>
            <w:rStyle w:val="Hyperlink"/>
            <w:rFonts w:ascii="Times New Roman" w:hAnsi="Times New Roman"/>
            <w:b w:val="false"/>
            <w:i w:val="false"/>
            <w:color w:val="000000"/>
            <w:sz w:val="22"/>
          </w:rPr>
          <w:t>641—89.12</w:t>
        </w:r>
      </w:hyperlink>
      <w:r>
        <w:rPr>
          <w:rFonts w:ascii="Times New Roman" w:hAnsi="Times New Roman"/>
          <w:b w:val="false"/>
          <w:i w:val="false"/>
          <w:color w:val="000000"/>
          <w:sz w:val="22"/>
        </w:rPr>
        <w:t xml:space="preserve">(135L) and </w:t>
      </w:r>
      <w:hyperlink r:id="rId33">
        <w:r>
          <w:rPr>
            <w:rStyle w:val="Hyperlink"/>
            <w:rFonts w:ascii="Times New Roman" w:hAnsi="Times New Roman"/>
            <w:b w:val="false"/>
            <w:i w:val="false"/>
            <w:color w:val="000000"/>
            <w:sz w:val="22"/>
          </w:rPr>
          <w:t>641—89.21</w:t>
        </w:r>
      </w:hyperlink>
      <w:r>
        <w:rPr>
          <w:rFonts w:ascii="Times New Roman" w:hAnsi="Times New Roman"/>
          <w:b w:val="false"/>
          <w:i w:val="false"/>
          <w:color w:val="000000"/>
          <w:sz w:val="22"/>
        </w:rPr>
        <w:t>(135L) adopted by the public health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1034C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653—13.11</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practice—telemedicine. </w:t>
      </w:r>
      <w:r>
        <w:rPr>
          <w:rFonts w:ascii="Times New Roman" w:hAnsi="Times New Roman"/>
          <w:b w:val="false"/>
          <w:i w:val="false"/>
          <w:color w:val="000000"/>
          <w:sz w:val="22"/>
        </w:rPr>
        <w:t>This rule establishes standards of practice for the practice of medicine using telemedicine.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board recognizes that technological advances have made it possible for licensees in one location to provide medical care to patients in another location with or without an intervening health care provider.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Telemedicine is a useful tool that, if applied appropriately, can provide important benefits to patients, including increased access to health care, expanded utilization of specialty expertise, rapid availability of patient records, and potential cost savings.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board advises that licensees using telemedicine will be held to the same standards of care and professional ethics as licensees using traditional in-person medical care.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Failure to conform to the appropriate standards of care or professional ethics while using telemedicine may subject the licensee to potential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“Asynchronous store-and-forward transmission”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“In-person encounter” </w:t>
      </w:r>
      <w:r>
        <w:rPr>
          <w:rFonts w:ascii="Times New Roman" w:hAnsi="Times New Roman"/>
          <w:b w:val="false"/>
          <w:i w:val="false"/>
          <w:color w:val="000000"/>
          <w:sz w:val="22"/>
        </w:rPr>
        <w:t>means that the physician and the patient are in the physical presence of each other and are in the same physical location during the physician-patient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medical physician or osteopathic physician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“Telemedicine” </w:t>
      </w:r>
      <w:r>
        <w:rPr>
          <w:rFonts w:ascii="Times New Roman" w:hAnsi="Times New Roman"/>
          <w:b w:val="false"/>
          <w:i w:val="false"/>
          <w:color w:val="000000"/>
          <w:sz w:val="22"/>
        </w:rPr>
        <w:t>means the practice of medicine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Telemedicine includes asynchronous store-and-forward technologies, remote monitoring, and real-time interactive services, including teleradiology and telepathology. Telemedicine shall not include the provision of medical services only through an audio-only telephone, email messages, facsimile transmissions, or U.S. mail or other parcel service, or any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“Telemedicine technologies” </w:t>
      </w:r>
      <w:r>
        <w:rPr>
          <w:rFonts w:ascii="Times New Roman" w:hAnsi="Times New Roman"/>
          <w:b w:val="false"/>
          <w:i w:val="false"/>
          <w:color w:val="000000"/>
          <w:sz w:val="22"/>
        </w:rPr>
        <w:t>means technologies and devices enabling secure electronic communications and information exchanges between a licensee in one location and a patient in another location with or without an intervening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w:t>
      </w:r>
      <w:r>
        <w:rPr>
          <w:rFonts w:ascii="Times New Roman" w:hAnsi="Times New Roman"/>
          <w:b w:val="false"/>
          <w:i w:val="false"/>
          <w:color w:val="000000"/>
          <w:sz w:val="22"/>
        </w:rPr>
        <w:t> </w:t>
      </w:r>
      <w:r>
        <w:rPr>
          <w:rFonts w:ascii="Times New Roman" w:hAnsi="Times New Roman"/>
          <w:b w:val="false"/>
          <w:i/>
          <w:color w:val="000000"/>
          <w:sz w:val="22"/>
        </w:rPr>
        <w:t xml:space="preserve">Practice guidelines. </w:t>
      </w:r>
      <w:r>
        <w:rPr>
          <w:rFonts w:ascii="Times New Roman" w:hAnsi="Times New Roman"/>
          <w:b w:val="false"/>
          <w:i w:val="false"/>
          <w:color w:val="000000"/>
          <w:sz w:val="22"/>
        </w:rPr>
        <w:t>A licensee who uses telemedicine shall utilize evidence-based telemedicine practice guidelines and standards of practice, to the degree they are available, to ensure patient safety, quality of care, and positive outcomes. The board acknowledges that some nationally recognized medical specialty organizations have established comprehensive telemedicine practice guidelines that address the clinical and technological aspects of telemedicine for many medical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13.11(3)</w:t>
      </w:r>
      <w:r>
        <w:rPr>
          <w:rFonts w:ascii="Times New Roman" w:hAnsi="Times New Roman"/>
          <w:b w:val="false"/>
          <w:i w:val="false"/>
          <w:color w:val="000000"/>
          <w:sz w:val="22"/>
        </w:rPr>
        <w:t> </w:t>
      </w:r>
      <w:r>
        <w:rPr>
          <w:rFonts w:ascii="Times New Roman" w:hAnsi="Times New Roman"/>
          <w:b w:val="false"/>
          <w:i/>
          <w:color w:val="000000"/>
          <w:sz w:val="22"/>
        </w:rPr>
        <w:t xml:space="preserve">Iowa medical license required. </w:t>
      </w:r>
      <w:r>
        <w:rPr>
          <w:rFonts w:ascii="Times New Roman" w:hAnsi="Times New Roman"/>
          <w:b w:val="false"/>
          <w:i w:val="false"/>
          <w:color w:val="000000"/>
          <w:sz w:val="22"/>
        </w:rPr>
        <w:t xml:space="preserve">A physician who uses telemedicine in the diagnosis and treatment of a patient located in Iowa shall hold an active Iowa medical license consistent with state and federal laws. Nothing in this rule shall be construed to supersede the exceptions to licensure contained in </w:t>
      </w:r>
      <w:hyperlink r:id="rId34">
        <w:r>
          <w:rPr>
            <w:rStyle w:val="Hyperlink"/>
            <w:rFonts w:ascii="Times New Roman" w:hAnsi="Times New Roman"/>
            <w:b w:val="false"/>
            <w:i w:val="false"/>
            <w:color w:val="000000"/>
            <w:sz w:val="22"/>
          </w:rPr>
          <w:t>653—subrule 9.2(2)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13.11(4)</w:t>
      </w:r>
      <w:r>
        <w:rPr>
          <w:rFonts w:ascii="Times New Roman" w:hAnsi="Times New Roman"/>
          <w:b w:val="false"/>
          <w:i w:val="false"/>
          <w:color w:val="000000"/>
          <w:sz w:val="22"/>
        </w:rPr>
        <w:t> </w:t>
      </w:r>
      <w:r>
        <w:rPr>
          <w:rFonts w:ascii="Times New Roman" w:hAnsi="Times New Roman"/>
          <w:b w:val="false"/>
          <w:i/>
          <w:color w:val="000000"/>
          <w:sz w:val="22"/>
        </w:rPr>
        <w:t xml:space="preserve">Standards of care and professional ethics. </w:t>
      </w:r>
      <w:r>
        <w:rPr>
          <w:rFonts w:ascii="Times New Roman" w:hAnsi="Times New Roman"/>
          <w:b w:val="false"/>
          <w:i w:val="false"/>
          <w:color w:val="000000"/>
          <w:sz w:val="22"/>
        </w:rPr>
        <w:t>A licensee who uses telemedicine shall be held to the same standards of care and professional ethics as a licensee using traditional in-person encounters with patients. Failure to conform to the appropriate standards of care or professional ethics while using telemedicine may be a violation of the laws and rules governing the practice of medicine and may subject the licensee to potential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13.11(5)</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licensee who uses telemedicine shall ensure that the services provided are consistent with the licensee’s scope of practice, including the licensee’s education, training, experience, ability, licensure,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13.11(6)</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patient and physician. </w:t>
      </w:r>
      <w:r>
        <w:rPr>
          <w:rFonts w:ascii="Times New Roman" w:hAnsi="Times New Roman"/>
          <w:b w:val="false"/>
          <w:i w:val="false"/>
          <w:color w:val="000000"/>
          <w:sz w:val="22"/>
        </w:rPr>
        <w:t>A licensee who uses telemedicine shall verify the identity of the patient and ensure that the patient has the ability to verify the identity, licensure status, certification, and credentials of all health care providers who provide telemedicine services prior to the provision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13.11(7)</w:t>
      </w:r>
      <w:r>
        <w:rPr>
          <w:rFonts w:ascii="Times New Roman" w:hAnsi="Times New Roman"/>
          <w:b w:val="false"/>
          <w:i w:val="false"/>
          <w:color w:val="000000"/>
          <w:sz w:val="22"/>
        </w:rPr>
        <w:t> </w:t>
      </w:r>
      <w:r>
        <w:rPr>
          <w:rFonts w:ascii="Times New Roman" w:hAnsi="Times New Roman"/>
          <w:b w:val="false"/>
          <w:i/>
          <w:color w:val="000000"/>
          <w:sz w:val="22"/>
        </w:rPr>
        <w:t xml:space="preserve">Physician-patient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uses telemedicine shall establish a valid physician-patient relationship with the person who receives telemedicine services. The physician-patient relationship begins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a health-related matter seeks assistance from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 agrees to undertake diagnosis and treatment of the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agrees to be treated by the licensee whether or not there has been an in-person encounter between the physician and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valid physician-patient relationship may be established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In-person encounter. Through an in-person medical interview and physical examination where the standard of care would require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Consultation with another licensee. Through consultation with another licensee (or other health care provider) who has an established relationship with the patient and who agrees to participate in, or supervise, the patient’s 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Telemedicine encounter. Through telemedicine, if the standard of care does not require an in-person encounter, and in accordance with evidence-based standards of practice and telemedicine practice guidelines that address the clinical and technological aspects of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13.11(8)</w:t>
      </w:r>
      <w:r>
        <w:rPr>
          <w:rFonts w:ascii="Times New Roman" w:hAnsi="Times New Roman"/>
          <w:b w:val="false"/>
          <w:i w:val="false"/>
          <w:color w:val="000000"/>
          <w:sz w:val="22"/>
        </w:rPr>
        <w:t> </w:t>
      </w:r>
      <w:r>
        <w:rPr>
          <w:rFonts w:ascii="Times New Roman" w:hAnsi="Times New Roman"/>
          <w:b w:val="false"/>
          <w:i/>
          <w:color w:val="000000"/>
          <w:sz w:val="22"/>
        </w:rPr>
        <w:t xml:space="preserve">Medical history and physical examination. </w:t>
      </w:r>
      <w:r>
        <w:rPr>
          <w:rFonts w:ascii="Times New Roman" w:hAnsi="Times New Roman"/>
          <w:b w:val="false"/>
          <w:i w:val="false"/>
          <w:color w:val="000000"/>
          <w:sz w:val="22"/>
        </w:rPr>
        <w:t>Generally, a licensee shall perform an in-person medical interview and physical examination for each patient. However, the medical interview and physical examination may not be in-person if the technology utilized in a telemedicine encounter is sufficient to establish an informed diagnosis as though the medical interview and physical examination had been performed in-person. Prior to providing treatment, including issuing prescriptions, electronically or otherwise, a licensee who uses telemedicine shall interview the patient to collect the relevant medical history and perform a physical examination, when medically necessary, sufficient for the diagnosis and treatment of the patient. An Internet questionnaire that is a static set of questions provided to the patient, to which the patient responds with a static set of answers, in contrast to an adaptive, interactive and responsive online interview, does not constitute an acceptable medical interview and physical examination for the provision of treatment, including issuance of prescriptions, electronically or otherwise,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13.11(9)</w:t>
      </w:r>
      <w:r>
        <w:rPr>
          <w:rFonts w:ascii="Times New Roman" w:hAnsi="Times New Roman"/>
          <w:b w:val="false"/>
          <w:i w:val="false"/>
          <w:color w:val="000000"/>
          <w:sz w:val="22"/>
        </w:rPr>
        <w:t> </w:t>
      </w:r>
      <w:r>
        <w:rPr>
          <w:rFonts w:ascii="Times New Roman" w:hAnsi="Times New Roman"/>
          <w:b w:val="false"/>
          <w:i/>
          <w:color w:val="000000"/>
          <w:sz w:val="22"/>
        </w:rPr>
        <w:t xml:space="preserve">Nonphysician health care providers. </w:t>
      </w:r>
      <w:r>
        <w:rPr>
          <w:rFonts w:ascii="Times New Roman" w:hAnsi="Times New Roman"/>
          <w:b w:val="false"/>
          <w:i w:val="false"/>
          <w:color w:val="000000"/>
          <w:sz w:val="22"/>
        </w:rPr>
        <w:t>If a licensee who uses telemedicine relies upon or delegates the provision of telemedicine services to a nonphysician health care provider,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systems are in place to ensure that the nonphysician health care provider is qualified and trained to provide that service within the scope of the nonphysician health care provider’s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the licensee is available in person or electronically to consult with the nonphysician health care provider, particularly in the case of injury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13.11(10)</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licensee who uses telemedicine shall ensure that the patient provides appropriate informed consent for the medical services provided, including consent for the use of telemedicine to diagnose and treat the patient,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13.11(11)</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care. </w:t>
      </w:r>
      <w:r>
        <w:rPr>
          <w:rFonts w:ascii="Times New Roman" w:hAnsi="Times New Roman"/>
          <w:b w:val="false"/>
          <w:i w:val="false"/>
          <w:color w:val="000000"/>
          <w:sz w:val="22"/>
        </w:rPr>
        <w:t>A licensee who uses telemedicine shall, when medically appropriate, identify the medical home or treating physician(s) for the patient, when available, where in-person services can be delivered in coordination with the telemedicine services. The licensee shall provide a copy of the medical record to the patient’s medical home or treating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13.11(12)</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A licensee who uses telemedicine shall have access to, or adequate knowledge of, the nature and availability of local medical resources to provide appropriate follow-up care to the patient following a telemedicine encounter.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13.11(13)</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A licensee who uses telemedicine shall refer a patient to an acute care facility or an emergency department when referral is necessary for the safety of the patient or in the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13.11(14)</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A licensee who uses telemedicine shall ensure that complete, accurate and timely medical records are maintained for the patient when appropriate, including all patient-related electronic communications, records of past care, physician-patient communications, laboratory and test results, evaluations and consultations, prescriptions, and instructions obtained or produced in connection with the use of telemedicine technologies. The licensee shall note in the patient’s record when telemedicine is used to provide diagnosis and treatment. The licensee shall ensure that the patient or another licensee designated by the patient has timely access to all information obtained during the telemedicine encounter. The licensee shall ensure that the patient receives, upon request, a summary of each telemedicine encounter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13.11(15)</w:t>
      </w:r>
      <w:r>
        <w:rPr>
          <w:rFonts w:ascii="Times New Roman" w:hAnsi="Times New Roman"/>
          <w:b w:val="false"/>
          <w:i w:val="false"/>
          <w:color w:val="000000"/>
          <w:sz w:val="22"/>
        </w:rPr>
        <w:t> </w:t>
      </w:r>
      <w:r>
        <w:rPr>
          <w:rFonts w:ascii="Times New Roman" w:hAnsi="Times New Roman"/>
          <w:b w:val="false"/>
          <w:i/>
          <w:color w:val="000000"/>
          <w:sz w:val="22"/>
        </w:rPr>
        <w:t xml:space="preserve">Privacy and security. </w:t>
      </w:r>
      <w:r>
        <w:rPr>
          <w:rFonts w:ascii="Times New Roman" w:hAnsi="Times New Roman"/>
          <w:b w:val="false"/>
          <w:i w:val="false"/>
          <w:color w:val="000000"/>
          <w:sz w:val="22"/>
        </w:rPr>
        <w:t>A licensee who uses telemedicine shall ensure that all telemedicine encounters comply with the privacy and security measures of the Health Insurance Portability and Accountability Act to ensure that all patient communications and records are secure and remain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protocols shall be established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Health care personnel who will process messages;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Hours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Types of transactions that will be permitted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Required patient information to be included in the communication, including patient name, identification number and type of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Archiving and retrieval;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Quality oversight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protocols should be periodically evaluated for currency and should be maintained in an accessible and readily available manner for review. The written protocols shall include sufficient privacy and security measures to ensure the confidentiality and integrity of patient-identifiable information, including password protection, encryption or other reliable authentication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13.11(16)</w:t>
      </w:r>
      <w:r>
        <w:rPr>
          <w:rFonts w:ascii="Times New Roman" w:hAnsi="Times New Roman"/>
          <w:b w:val="false"/>
          <w:i w:val="false"/>
          <w:color w:val="000000"/>
          <w:sz w:val="22"/>
        </w:rPr>
        <w:t> </w:t>
      </w:r>
      <w:r>
        <w:rPr>
          <w:rFonts w:ascii="Times New Roman" w:hAnsi="Times New Roman"/>
          <w:b w:val="false"/>
          <w:i/>
          <w:color w:val="000000"/>
          <w:sz w:val="22"/>
        </w:rPr>
        <w:t xml:space="preserve">Technology and equipment. </w:t>
      </w:r>
      <w:r>
        <w:rPr>
          <w:rFonts w:ascii="Times New Roman" w:hAnsi="Times New Roman"/>
          <w:b w:val="false"/>
          <w:i w:val="false"/>
          <w:color w:val="000000"/>
          <w:sz w:val="22"/>
        </w:rPr>
        <w:t>The board recognizes that three broad categories of telemedicine technologies currently exist, including asynchronous store-and-forward technologies, remote monitoring, and real-time interactive services. While some telemedicine programs are multispecialty in nature, others are tailored to specific diseases and medical specialties. The technology and equipment utilized for telemedicine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comply with all relevant safety laws, rules, regulations, and codes for technology and technical safety for devices that interact with patients or are integral to diagnostic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be of sufficient quality, size, resolution and clarity such that the licensee can safely and effectively provide the telemedicine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be compliant with the Health Insurance Portability and Accountability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13.11(17)</w:t>
      </w:r>
      <w:r>
        <w:rPr>
          <w:rFonts w:ascii="Times New Roman" w:hAnsi="Times New Roman"/>
          <w:b w:val="false"/>
          <w:i w:val="false"/>
          <w:color w:val="000000"/>
          <w:sz w:val="22"/>
        </w:rPr>
        <w:t> </w:t>
      </w:r>
      <w:r>
        <w:rPr>
          <w:rFonts w:ascii="Times New Roman" w:hAnsi="Times New Roman"/>
          <w:b w:val="false"/>
          <w:i/>
          <w:color w:val="000000"/>
          <w:sz w:val="22"/>
        </w:rPr>
        <w:t xml:space="preserve">Disclosure and functionality of telemedicine services. </w:t>
      </w:r>
      <w:r>
        <w:rPr>
          <w:rFonts w:ascii="Times New Roman" w:hAnsi="Times New Roman"/>
          <w:b w:val="false"/>
          <w:i w:val="false"/>
          <w:color w:val="000000"/>
          <w:sz w:val="22"/>
        </w:rPr>
        <w:t>A licensee who uses telemedicine shall ensure that the following information is clearly disclosed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Identity, licensure, certification, credentials, and qualifications of all health care providers who are providing the telemedicine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 in the drugs and services that can be provided via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services, cost-sharing responsibilities, and how payment is to be made, if these differ from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Financial interests, other than fees charged, in any information, products, or services provided by the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Appropriate uses and limitations of the technologies, including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Uses of and response times for emails, electronic messages and other communications transmitted via telemedicine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whom patient health information may be disclosed and for what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Rights of patients with respect to patient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Information collected and passive tracking mechanisms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13.11(18)</w:t>
      </w:r>
      <w:r>
        <w:rPr>
          <w:rFonts w:ascii="Times New Roman" w:hAnsi="Times New Roman"/>
          <w:b w:val="false"/>
          <w:i w:val="false"/>
          <w:color w:val="000000"/>
          <w:sz w:val="22"/>
        </w:rPr>
        <w:t> </w:t>
      </w:r>
      <w:r>
        <w:rPr>
          <w:rFonts w:ascii="Times New Roman" w:hAnsi="Times New Roman"/>
          <w:b w:val="false"/>
          <w:i/>
          <w:color w:val="000000"/>
          <w:sz w:val="22"/>
        </w:rPr>
        <w:t xml:space="preserve">Patient access and feedback. </w:t>
      </w:r>
      <w:r>
        <w:rPr>
          <w:rFonts w:ascii="Times New Roman" w:hAnsi="Times New Roman"/>
          <w:b w:val="false"/>
          <w:i w:val="false"/>
          <w:color w:val="000000"/>
          <w:sz w:val="22"/>
        </w:rPr>
        <w:t>A licensee who uses telemedicine shall ensure that the patient has easy access to a mechanism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access, supplement and amend patient-provided personal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provide feedback regarding the quality of the telemedicine services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register complaints. The mechanism shall include information regarding the filing of complaints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13.11(19)</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Advertising or promotion of goods or products from which the licensee(s) receives direct remuneration, benefit or incentives (other than the fees for the medical services) is prohibited to the extent that such activities are prohibited by state or federal law. Notwithstanding such prohibition, Internet services may provide links to general health information sites to enhance education; however, the licensee(s) should not benefit financially from providing such links or from the services or products marketed by such links. When providing links to other sites, licensees should be aware of the implied endorsement of the information, services or products offered from such sites. The maintenance of a preferred relationship with any pharmacy is prohibited. Licensees shall not transmit prescriptions to a specific pharmacy, or recommend a pharmacy, in exchange for any type of consideration or benefit from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13.11(20)</w:t>
      </w:r>
      <w:r>
        <w:rPr>
          <w:rFonts w:ascii="Times New Roman" w:hAnsi="Times New Roman"/>
          <w:b w:val="false"/>
          <w:i w:val="false"/>
          <w:color w:val="000000"/>
          <w:sz w:val="22"/>
        </w:rPr>
        <w:t> </w:t>
      </w:r>
      <w:r>
        <w:rPr>
          <w:rFonts w:ascii="Times New Roman" w:hAnsi="Times New Roman"/>
          <w:b w:val="false"/>
          <w:i/>
          <w:color w:val="000000"/>
          <w:sz w:val="22"/>
        </w:rPr>
        <w:t xml:space="preserve">Circumstances where the standard of care may not require a licensee to personally interview or examine a patient. </w:t>
      </w:r>
      <w:r>
        <w:rPr>
          <w:rFonts w:ascii="Times New Roman" w:hAnsi="Times New Roman"/>
          <w:b w:val="false"/>
          <w:i w:val="false"/>
          <w:color w:val="000000"/>
          <w:sz w:val="22"/>
        </w:rPr>
        <w:t>Under the following circumstances, whether or not such circumstances involve the use of telemedicine, a licensee may treat a patient who has not been personally interviewed, examined and diagnosed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prescribes medications on a short-term basis for a new patient and has scheduled or is in the process of scheduling an appointment to personally examine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institutional settings, including writing initial admission orders for a newly hospitalized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Call situations in which a licensee is taking call for another licensee who has an established physician-patient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Cross-coverage situations in which a licensee is taking call for another licensee who has an established physician-patient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patient has been examined in person by an advanced registered nurse practitioner or a physician assistant or other licensed practitioner with whom the licensee has a supervisory or collaborative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Emergency situations in which the life or health of the patient is in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Emergency situations that constitute an immediate threat to the public health including, but not limited to, empiric treatment or prophylaxis to prevent or control an infectious disease outbreak;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has diagnosed a sexually transmitted disease in a patient and the licensee prescribes or dispenses antibiotics to the patient’s named sexual partner(s) for the treatment of the sexually transmitted disease as recommended by the U.S. Centers for Disease Control and Prevention;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licensed or certified nursing facilities, residential care facilities, intermediate care facilities, assisted living facilities and hospice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13.11(21)</w:t>
      </w:r>
      <w:r>
        <w:rPr>
          <w:rFonts w:ascii="Times New Roman" w:hAnsi="Times New Roman"/>
          <w:b w:val="false"/>
          <w:i w:val="false"/>
          <w:color w:val="000000"/>
          <w:sz w:val="22"/>
        </w:rPr>
        <w:t> </w:t>
      </w:r>
      <w:r>
        <w:rPr>
          <w:rFonts w:ascii="Times New Roman" w:hAnsi="Times New Roman"/>
          <w:b w:val="false"/>
          <w:i/>
          <w:color w:val="000000"/>
          <w:sz w:val="22"/>
        </w:rPr>
        <w:t xml:space="preserve">Prescribing based solely on an Internet request, Internet questionnaire or a telephonic evaluation—prohibited. </w:t>
      </w:r>
      <w:r>
        <w:rPr>
          <w:rFonts w:ascii="Times New Roman" w:hAnsi="Times New Roman"/>
          <w:b w:val="false"/>
          <w:i w:val="false"/>
          <w:color w:val="000000"/>
          <w:sz w:val="22"/>
        </w:rPr>
        <w:t xml:space="preserve">Prescribing to a patient based solely on an Internet request or Internet questionnaire (i.e., a static questionnaire provided to a patient, to which the patient responds with a static set of answers, in contrast to an adaptive, interactive and responsive online interview) is prohibited. Absent a valid physician-patient relationship, a licensee’s prescribing to a patient based solely on a telephonic evaluation is prohibited, with the exception of the circumstances described in subrule </w:t>
      </w:r>
      <w:hyperlink r:id="rId35">
        <w:r>
          <w:rPr>
            <w:rStyle w:val="Hyperlink"/>
            <w:rFonts w:ascii="Times New Roman" w:hAnsi="Times New Roman"/>
            <w:b w:val="false"/>
            <w:i w:val="false"/>
            <w:color w:val="000000"/>
            <w:sz w:val="22"/>
          </w:rPr>
          <w:t>13.11(20)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13.11(22)</w:t>
      </w:r>
      <w:r>
        <w:rPr>
          <w:rFonts w:ascii="Times New Roman" w:hAnsi="Times New Roman"/>
          <w:b w:val="false"/>
          <w:i w:val="false"/>
          <w:color w:val="000000"/>
          <w:sz w:val="22"/>
        </w:rPr>
        <w:t> </w:t>
      </w:r>
      <w:r>
        <w:rPr>
          <w:rFonts w:ascii="Times New Roman" w:hAnsi="Times New Roman"/>
          <w:b w:val="false"/>
          <w:i/>
          <w:color w:val="000000"/>
          <w:sz w:val="22"/>
        </w:rPr>
        <w:t xml:space="preserve">Medical abortion. </w:t>
      </w:r>
      <w:r>
        <w:rPr>
          <w:rFonts w:ascii="Times New Roman" w:hAnsi="Times New Roman"/>
          <w:b w:val="false"/>
          <w:i w:val="false"/>
          <w:color w:val="000000"/>
          <w:sz w:val="22"/>
        </w:rPr>
        <w:t xml:space="preserve">Nothing in this rule shall be interpreted to contradict or supersede the requirements established in rule </w:t>
      </w:r>
      <w:hyperlink r:id="rId36">
        <w:r>
          <w:rPr>
            <w:rStyle w:val="Hyperlink"/>
            <w:rFonts w:ascii="Times New Roman" w:hAnsi="Times New Roman"/>
            <w:b w:val="false"/>
            <w:i w:val="false"/>
            <w:color w:val="000000"/>
            <w:sz w:val="22"/>
          </w:rPr>
          <w:t>653—13.10</w:t>
        </w:r>
      </w:hyperlink>
      <w:r>
        <w:rPr>
          <w:rFonts w:ascii="Times New Roman" w:hAnsi="Times New Roman"/>
          <w:b w:val="false"/>
          <w:i w:val="false"/>
          <w:color w:val="000000"/>
          <w:sz w:val="22"/>
        </w:rPr>
        <w:t>(147,148,272C).</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1983C</w:t>
      </w:r>
      <w:r>
        <w:rPr>
          <w:rFonts w:ascii="Times New Roman" w:hAnsi="Times New Roman"/>
          <w:b w:val="false"/>
          <w:i w:val="false"/>
          <w:color w:val="000000"/>
          <w:sz w:val="16"/>
        </w:rPr>
        <w:t>, IAB 4/29/15, effective 6/3/15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653—13.12</w:t>
      </w:r>
      <w:r>
        <w:rPr>
          <w:rFonts w:ascii="Times New Roman" w:hAnsi="Times New Roman"/>
          <w:b/>
          <w:i w:val="false"/>
          <w:color w:val="000000"/>
          <w:sz w:val="22"/>
        </w:rPr>
        <w:t xml:space="preserve">(135,147,148,272C,280) </w:t>
      </w:r>
      <w:r>
        <w:rPr>
          <w:rFonts w:ascii="Times New Roman" w:hAnsi="Times New Roman"/>
          <w:b/>
          <w:i w:val="false"/>
          <w:color w:val="000000"/>
          <w:sz w:val="22"/>
        </w:rPr>
        <w:t xml:space="preserve">Standards of practice—prescribing epinephrine auto-injectors, bronchodilator canisters, bronchodilator canisters and spacers, or opioid antagonists in the name of an authorized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val="false"/>
          <w:color w:val="000000"/>
          <w:sz w:val="22"/>
        </w:rPr>
        <w:t>Definition.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facility” </w:t>
      </w:r>
      <w:r>
        <w:rPr>
          <w:rFonts w:ascii="Times New Roman" w:hAnsi="Times New Roman"/>
          <w:b w:val="false"/>
          <w:i w:val="false"/>
          <w:color w:val="000000"/>
          <w:sz w:val="22"/>
        </w:rPr>
        <w:t xml:space="preserve">means a facility as defined in Iowa Code section </w:t>
      </w:r>
      <w:hyperlink r:id="rId40">
        <w:r>
          <w:rPr>
            <w:rStyle w:val="Hyperlink"/>
            <w:rFonts w:ascii="Times New Roman" w:hAnsi="Times New Roman"/>
            <w:b w:val="false"/>
            <w:i w:val="false"/>
            <w:color w:val="000000"/>
            <w:sz w:val="22"/>
          </w:rPr>
          <w:t>135.185(1)</w:t>
        </w:r>
      </w:hyperlink>
      <w:r>
        <w:rPr>
          <w:rFonts w:ascii="Times New Roman" w:hAnsi="Times New Roman"/>
          <w:b w:val="false"/>
          <w:i w:val="false"/>
          <w:color w:val="000000"/>
          <w:sz w:val="22"/>
        </w:rPr>
        <w:t>, a school district, or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other provision of law to the contrary, a physician may prescribe epinephrine auto-injectors, bronchodilator canisters, bronchodilator canisters and spacers, or opioid antagonists in the name of an authorized facility to be maintained for use pursuant to Iowa Code sections </w:t>
      </w:r>
      <w:hyperlink r:id="rId41">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prescribes epinephrine auto-injectors, bronchodilator canisters, bronchodilator canisters and spacers, or opioid antagonists in the name of an authorized facility to be maintained for use pursuant to Iowa Code sections </w:t>
      </w:r>
      <w:hyperlink r:id="rId45">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 provided the physician has acted reasonably and in good faith, shall not be liable for any injury arising from the provision, administration, or assistance in the administration of an epinephrine auto-injector, bronchodilator canisters, bronchodilator canisters and spacers, or opioid antagonists.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2387C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6941C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653—13.13</w:t>
      </w:r>
      <w:r>
        <w:rPr>
          <w:rFonts w:ascii="Times New Roman" w:hAnsi="Times New Roman"/>
          <w:b/>
          <w:i w:val="false"/>
          <w:color w:val="000000"/>
          <w:sz w:val="22"/>
        </w:rPr>
        <w:t xml:space="preserve">(144E,147,148,272C) </w:t>
      </w:r>
      <w:r>
        <w:rPr>
          <w:rFonts w:ascii="Times New Roman" w:hAnsi="Times New Roman"/>
          <w:b/>
          <w:i w:val="false"/>
          <w:color w:val="000000"/>
          <w:sz w:val="22"/>
        </w:rPr>
        <w:t xml:space="preserve">Standards of practice—experimental treatments for patients with a terminal illness.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13.13(1)</w:t>
      </w:r>
      <w:r>
        <w:rPr>
          <w:rFonts w:ascii="Times New Roman" w:hAnsi="Times New Roman"/>
          <w:b w:val="false"/>
          <w:i w:val="false"/>
          <w:color w:val="000000"/>
          <w:sz w:val="22"/>
        </w:rPr>
        <w:t> </w:t>
      </w:r>
      <w:r>
        <w:rPr>
          <w:rFonts w:ascii="Times New Roman" w:hAnsi="Times New Roman"/>
          <w:b w:val="false"/>
          <w:i/>
          <w:color w:val="000000"/>
          <w:sz w:val="22"/>
        </w:rPr>
        <w:t xml:space="preserve">Exemption from discipline. </w:t>
      </w:r>
      <w:r>
        <w:rPr>
          <w:rFonts w:ascii="Times New Roman" w:hAnsi="Times New Roman"/>
          <w:b w:val="false"/>
          <w:i w:val="false"/>
          <w:color w:val="000000"/>
          <w:sz w:val="22"/>
        </w:rPr>
        <w:t>To the extent consistent with state law, the board shall not revoke, fail to renew, suspend, or take any action against a physician’s license based solely on the physician’s recommendations to an eligible patient regarding access to or treatment with an investigational drug, biological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13.13(2)</w:t>
      </w:r>
      <w:r>
        <w:rPr>
          <w:rFonts w:ascii="Times New Roman" w:hAnsi="Times New Roman"/>
          <w:b w:val="false"/>
          <w:i w:val="false"/>
          <w:color w:val="000000"/>
          <w:sz w:val="22"/>
        </w:rPr>
        <w:t> </w:t>
      </w:r>
      <w:r>
        <w:rPr>
          <w:rFonts w:ascii="Times New Roman" w:hAnsi="Times New Roman"/>
          <w:b w:val="false"/>
          <w:i/>
          <w:color w:val="000000"/>
          <w:sz w:val="22"/>
        </w:rPr>
        <w:t xml:space="preserve">Eligible patient. </w:t>
      </w:r>
      <w:r>
        <w:rPr>
          <w:rFonts w:ascii="Times New Roman" w:hAnsi="Times New Roman"/>
          <w:b w:val="false"/>
          <w:i w:val="false"/>
          <w:color w:val="000000"/>
          <w:sz w:val="22"/>
        </w:rPr>
        <w:t>A physician shall ensure that a patient meets all of the following conditions prior to the use of an investigational drug, biological product, or device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patient has a terminal illness, attested to by the patient’s treating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patient has considered and rejected or has tried and failed to respond to all other treatment options approved by the U.S. Food and Drug Administration (FDA).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patient has received a recommendation from the patient’s physician for an investigational drug, biological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patient has given written informed consent for the use of the investigational drug, biological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patient has documentation from the patient’s physician that the patient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13.13(3)</w:t>
      </w:r>
      <w:r>
        <w:rPr>
          <w:rFonts w:ascii="Times New Roman" w:hAnsi="Times New Roman"/>
          <w:b w:val="false"/>
          <w:i w:val="false"/>
          <w:color w:val="000000"/>
          <w:sz w:val="22"/>
        </w:rPr>
        <w:t> </w:t>
      </w:r>
      <w:r>
        <w:rPr>
          <w:rFonts w:ascii="Times New Roman" w:hAnsi="Times New Roman"/>
          <w:b w:val="false"/>
          <w:i/>
          <w:color w:val="000000"/>
          <w:sz w:val="22"/>
        </w:rPr>
        <w:t xml:space="preserve">Investigational drug, biological product, or device. </w:t>
      </w:r>
      <w:r>
        <w:rPr>
          <w:rFonts w:ascii="Times New Roman" w:hAnsi="Times New Roman"/>
          <w:b w:val="false"/>
          <w:i w:val="false"/>
          <w:color w:val="000000"/>
          <w:sz w:val="22"/>
        </w:rPr>
        <w:t>A physician may recommend access to or treatment with an investigational drug, biological product, or device that has successfully completed phase 1 of an FDA-approved clinical trial but has not yet been approved for general use by the FDA and remains under investigation in an FDA-approved clinical trial.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13.13(4)</w:t>
      </w:r>
      <w:r>
        <w:rPr>
          <w:rFonts w:ascii="Times New Roman" w:hAnsi="Times New Roman"/>
          <w:b w:val="false"/>
          <w:i w:val="false"/>
          <w:color w:val="000000"/>
          <w:sz w:val="22"/>
        </w:rPr>
        <w:t> </w:t>
      </w:r>
      <w:r>
        <w:rPr>
          <w:rFonts w:ascii="Times New Roman" w:hAnsi="Times New Roman"/>
          <w:b w:val="false"/>
          <w:i/>
          <w:color w:val="000000"/>
          <w:sz w:val="22"/>
        </w:rPr>
        <w:t xml:space="preserve">Terminal illness. </w:t>
      </w:r>
      <w:r>
        <w:rPr>
          <w:rFonts w:ascii="Times New Roman" w:hAnsi="Times New Roman"/>
          <w:b w:val="false"/>
          <w:i w:val="false"/>
          <w:color w:val="000000"/>
          <w:sz w:val="22"/>
        </w:rPr>
        <w:t>A physician shall ensure that a patient has a terminal illness prior to the use of an investigational drug, biological product, or device pursuant to this rule. A terminal illness is a progressive disease or medical or surgical condition that entails significant functional impairment and that is not considered by a treating physician to be reversible even with administration of treatments approved by the FDA and that, without life-sustaining procedures, will result in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13.13(5)</w:t>
      </w:r>
      <w:r>
        <w:rPr>
          <w:rFonts w:ascii="Times New Roman" w:hAnsi="Times New Roman"/>
          <w:b w:val="false"/>
          <w:i w:val="false"/>
          <w:color w:val="000000"/>
          <w:sz w:val="22"/>
        </w:rPr>
        <w:t> </w:t>
      </w:r>
      <w:r>
        <w:rPr>
          <w:rFonts w:ascii="Times New Roman" w:hAnsi="Times New Roman"/>
          <w:b w:val="false"/>
          <w:i/>
          <w:color w:val="000000"/>
          <w:sz w:val="22"/>
        </w:rPr>
        <w:t xml:space="preserve">Written informed consent. </w:t>
      </w:r>
      <w:r>
        <w:rPr>
          <w:rFonts w:ascii="Times New Roman" w:hAnsi="Times New Roman"/>
          <w:b w:val="false"/>
          <w:i w:val="false"/>
          <w:color w:val="000000"/>
          <w:sz w:val="22"/>
        </w:rPr>
        <w:t>A physician shall obtain written informed consent prior to the use of an investigational drug, biological product, or device pursuant to this rule. Written informed consent is a written document that is signed by a patient, a parent of a minor patient, or a legal guardian or other legal representative of the patient and attested to by the patient’s treating physician and a witness and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products and treatments approved by the FDA for the disease or condition from which the patient suffers.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attestation that the patient concurs with the patient’s treating physician in believing that all products and treatments approved by the FDA are unlikely to prolong the patient’s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 identification of the specific proposed investigational drug, biological product, or device that the patient is seeking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best and worst potential outcomes of using the investigational drug, biological product, or device and a realistic description of the most likely outcome. The description shall include the possibility that new, unanticipated, different, or worse symptoms might result and that death could be hastened by use of the proposed investigational drug, biological product, or device. The description shall be based on the treating physician’s knowledge of the proposed investigational drug, biological product, or device in conjunction with an awareness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patient’s health plan or third-party administrator and provider are not obligated to pay for any care or treatments consequent to the use of the investigational drug, biological product, or device, unless the patient’s health plan or third-party administrator and provider are specifically required to do so by law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patient’s eligibility for hospice care may be withdrawn if the patient begins curative treatment with the investigational drug, biological product, or device and that hospice care may be reinstated if treatment ends and the patient meets hospice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patient understands that the patient is liable for all expenses consequent to the use of the investigational drug, biological product, or device and that this liability extends to the patient’s estate unless a contract between the patient and the manufacturer of the investigational drug, biological product, or device states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13.13(6)</w:t>
      </w:r>
      <w:r>
        <w:rPr>
          <w:rFonts w:ascii="Times New Roman" w:hAnsi="Times New Roman"/>
          <w:b w:val="false"/>
          <w:i w:val="false"/>
          <w:color w:val="000000"/>
          <w:sz w:val="22"/>
        </w:rPr>
        <w:t> </w:t>
      </w:r>
      <w:r>
        <w:rPr>
          <w:rFonts w:ascii="Times New Roman" w:hAnsi="Times New Roman"/>
          <w:b w:val="false"/>
          <w:i/>
          <w:color w:val="000000"/>
          <w:sz w:val="22"/>
        </w:rPr>
        <w:t xml:space="preserve">Assisting suicide. </w:t>
      </w:r>
      <w:r>
        <w:rPr>
          <w:rFonts w:ascii="Times New Roman" w:hAnsi="Times New Roman"/>
          <w:b w:val="false"/>
          <w:i w:val="false"/>
          <w:color w:val="000000"/>
          <w:sz w:val="22"/>
        </w:rPr>
        <w:t xml:space="preserve">This rule shall not be construed to allow a patient’s treating physician to assist the patient in committing or attempting to commit suicide as prohibited in Iowa Code section </w:t>
      </w:r>
      <w:hyperlink r:id="rId49">
        <w:r>
          <w:rPr>
            <w:rStyle w:val="Hyperlink"/>
            <w:rFonts w:ascii="Times New Roman" w:hAnsi="Times New Roman"/>
            <w:b w:val="false"/>
            <w:i w:val="false"/>
            <w:color w:val="000000"/>
            <w:sz w:val="22"/>
          </w:rPr>
          <w:t>707A.2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13.13(7)</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A physician may be subject to disciplinary action for violation of rule 653—13.13(144E,147,148,272C) or 653—Chapter 23. Grounds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recommends access to or treatment with an investigational drug, biological product, or device to an individual who is not an eligible patient pursuant to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obtain appropriate written informed consent prior to recommending access to or treatment with an investigational drug, biological product, or device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assists the patient in committing or attempting to commit suicide as prohibited in Iowa Code section </w:t>
      </w:r>
      <w:hyperlink r:id="rId50">
        <w:r>
          <w:rPr>
            <w:rStyle w:val="Hyperlink"/>
            <w:rFonts w:ascii="Times New Roman" w:hAnsi="Times New Roman"/>
            <w:b w:val="false"/>
            <w:i w:val="false"/>
            <w:color w:val="000000"/>
            <w:sz w:val="22"/>
          </w:rPr>
          <w:t>707A.2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51">
        <w:r>
          <w:rPr>
            <w:rStyle w:val="Hyperlink"/>
            <w:rFonts w:ascii="Times New Roman" w:hAnsi="Times New Roman"/>
            <w:b w:val="false"/>
            <w:i w:val="false"/>
            <w:color w:val="000000"/>
            <w:sz w:val="22"/>
          </w:rPr>
          <w:t>144E</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3588C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653—13.14</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practice—tick-borne disease diagnosis and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13.14(1)</w:t>
      </w:r>
      <w:r>
        <w:rPr>
          <w:rFonts w:ascii="Times New Roman" w:hAnsi="Times New Roman"/>
          <w:b w:val="false"/>
          <w:i w:val="false"/>
          <w:color w:val="000000"/>
          <w:sz w:val="22"/>
        </w:rPr>
        <w:t> </w:t>
      </w:r>
      <w:r>
        <w:rPr>
          <w:rFonts w:ascii="Times New Roman" w:hAnsi="Times New Roman"/>
          <w:b w:val="false"/>
          <w:i/>
          <w:color w:val="000000"/>
          <w:sz w:val="22"/>
        </w:rPr>
        <w:t xml:space="preserve">Exemption from discipline. </w:t>
      </w:r>
      <w:r>
        <w:rPr>
          <w:rFonts w:ascii="Times New Roman" w:hAnsi="Times New Roman"/>
          <w:b w:val="false"/>
          <w:i w:val="false"/>
          <w:color w:val="000000"/>
          <w:sz w:val="22"/>
        </w:rPr>
        <w:t xml:space="preserve">A person licensed by the board under Iowa Code chapter </w:t>
      </w:r>
      <w:hyperlink r:id="rId5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shall not be subject to discipline under this chapter or the board’s enabling statute based solely on the physician’s recommendation or provision of a treatment method for Lyme disease or other tick-borne disease if the recommendation or provision of such treatment meets all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treatment is provided after an examination is performed and informed consent is received from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identifies a medical reason for recommending or providing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treatment is provided after the physician informs the patient about other recognized treatment options and describes to the patient the physician’s education, experience, and credentials regarding the treatment of Lyme disease or other tick-borne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uses the physician’s own medical judgment based on a thorough review of all available clinical information and Lyme disease or other tick-borne disease literature to determine the best course of treatment for the individual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treatment will not, in the opinion of the physician, result in the direct and proximate death of or serious bodily injury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13.14(2)</w:t>
      </w:r>
      <w:r>
        <w:rPr>
          <w:rFonts w:ascii="Times New Roman" w:hAnsi="Times New Roman"/>
          <w:b w:val="false"/>
          <w:i w:val="false"/>
          <w:color w:val="000000"/>
          <w:sz w:val="22"/>
        </w:rPr>
        <w:t> </w:t>
      </w:r>
      <w:r>
        <w:rPr>
          <w:rFonts w:ascii="Times New Roman" w:hAnsi="Times New Roman"/>
          <w:b w:val="false"/>
          <w:i/>
          <w:color w:val="000000"/>
          <w:sz w:val="22"/>
        </w:rPr>
        <w:t xml:space="preserve">Lyme disease. </w:t>
      </w:r>
      <w:r>
        <w:rPr>
          <w:rFonts w:ascii="Times New Roman" w:hAnsi="Times New Roman"/>
          <w:b w:val="false"/>
          <w:i w:val="false"/>
          <w:color w:val="000000"/>
          <w:sz w:val="22"/>
        </w:rPr>
        <w:t xml:space="preserve">According to the Centers for Disease Control and Prevention (CDC), Lyme disease is caused by the bacterium </w:t>
      </w:r>
      <w:r>
        <w:rPr>
          <w:rFonts w:ascii="Times New Roman" w:hAnsi="Times New Roman"/>
          <w:b w:val="false"/>
          <w:i/>
          <w:color w:val="000000"/>
          <w:sz w:val="22"/>
        </w:rPr>
        <w:t>Borrelia burgdorferi</w:t>
      </w:r>
      <w:r>
        <w:rPr>
          <w:rFonts w:ascii="Times New Roman" w:hAnsi="Times New Roman"/>
          <w:b w:val="false"/>
          <w:i w:val="false"/>
          <w:color w:val="000000"/>
          <w:sz w:val="22"/>
        </w:rPr>
        <w:t xml:space="preserve"> and is transmitted to humans through the bite of infected blacklegged ticks, commonly known as deer ticks. Typical symptoms include fever, headache, fatigue, and a characteristic skin rash called erythema migrans. If left untreated, infection can spread to joints, the heart, and the nervous system. Lyme disease is diagnosed based on symptoms, physical findings (e.g., a rash), and the possibility of exposure to infected ticks. Laboratory testing is helpful if used correctly and performed with validated methods. Steps to prevent Lyme disease include using insect repellent, removing ticks promptly, applying pesticides, and reducing tick habitat. The ticks that transmit Lyme disease can occasionally transmit other tick-borne diseases as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13.14(3)</w:t>
      </w:r>
      <w:r>
        <w:rPr>
          <w:rFonts w:ascii="Times New Roman" w:hAnsi="Times New Roman"/>
          <w:b w:val="false"/>
          <w:i w:val="false"/>
          <w:color w:val="000000"/>
          <w:sz w:val="22"/>
        </w:rPr>
        <w:t> </w:t>
      </w:r>
      <w:r>
        <w:rPr>
          <w:rFonts w:ascii="Times New Roman" w:hAnsi="Times New Roman"/>
          <w:b w:val="false"/>
          <w:i/>
          <w:color w:val="000000"/>
          <w:sz w:val="22"/>
        </w:rPr>
        <w:t xml:space="preserve">Lyme disease treatment. </w:t>
      </w:r>
      <w:r>
        <w:rPr>
          <w:rFonts w:ascii="Times New Roman" w:hAnsi="Times New Roman"/>
          <w:b w:val="false"/>
          <w:i w:val="false"/>
          <w:color w:val="000000"/>
          <w:sz w:val="22"/>
        </w:rPr>
        <w:t>Most cases of Lyme disease can be treated successfully with a few weeks of antibiotics. Over the past several years, the International Lyme and Associated Diseases Society (ILADS) has supported longer courses of antibiotics for some patients, versus the prescribed treatment durations identified by the Infectious Diseases Society of America (IDSA) and referenced by the CDC. While IDSA has expressed concern about overtreatment, ILADS points out that treatment decisions should be based on a risk-benefit analysis. Both groups have published evidence-based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13.14(4)</w:t>
      </w:r>
      <w:r>
        <w:rPr>
          <w:rFonts w:ascii="Times New Roman" w:hAnsi="Times New Roman"/>
          <w:b w:val="false"/>
          <w:i w:val="false"/>
          <w:color w:val="000000"/>
          <w:sz w:val="22"/>
        </w:rPr>
        <w:t> </w:t>
      </w:r>
      <w:r>
        <w:rPr>
          <w:rFonts w:ascii="Times New Roman" w:hAnsi="Times New Roman"/>
          <w:b w:val="false"/>
          <w:i/>
          <w:color w:val="000000"/>
          <w:sz w:val="22"/>
        </w:rPr>
        <w:t xml:space="preserve">Tick-borne diseases. </w:t>
      </w:r>
      <w:r>
        <w:rPr>
          <w:rFonts w:ascii="Times New Roman" w:hAnsi="Times New Roman"/>
          <w:b w:val="false"/>
          <w:i w:val="false"/>
          <w:color w:val="000000"/>
          <w:sz w:val="22"/>
        </w:rPr>
        <w:t>According to the CDC, tick-borne diseases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Anaplasmosis</w:t>
      </w:r>
      <w:r>
        <w:rPr>
          <w:rFonts w:ascii="Times New Roman" w:hAnsi="Times New Roman"/>
          <w:b w:val="false"/>
          <w:i w:val="false"/>
          <w:color w:val="000000"/>
          <w:sz w:val="22"/>
        </w:rPr>
        <w:t xml:space="preserve"> is transmitted to humans by tick bites primarily from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in the northeastern and upper midwestern regions of the United States (U.S.) and the western blacklegged tick (</w:t>
      </w:r>
      <w:r>
        <w:rPr>
          <w:rFonts w:ascii="Times New Roman" w:hAnsi="Times New Roman"/>
          <w:b w:val="false"/>
          <w:i/>
          <w:color w:val="000000"/>
          <w:sz w:val="22"/>
        </w:rPr>
        <w:t>Ixodes pacificus</w:t>
      </w:r>
      <w:r>
        <w:rPr>
          <w:rFonts w:ascii="Times New Roman" w:hAnsi="Times New Roman"/>
          <w:b w:val="false"/>
          <w:i w:val="false"/>
          <w:color w:val="000000"/>
          <w:sz w:val="22"/>
        </w:rPr>
        <w:t>) along the Pacific coast.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Babesiosis</w:t>
      </w:r>
      <w:r>
        <w:rPr>
          <w:rFonts w:ascii="Times New Roman" w:hAnsi="Times New Roman"/>
          <w:b w:val="false"/>
          <w:i w:val="false"/>
          <w:color w:val="000000"/>
          <w:sz w:val="22"/>
        </w:rPr>
        <w:t xml:space="preserve"> is caused by microscopic parasites that infect red blood cells. Most human cases of babesiosis in the U.S. are caused by </w:t>
      </w:r>
      <w:r>
        <w:rPr>
          <w:rFonts w:ascii="Times New Roman" w:hAnsi="Times New Roman"/>
          <w:b w:val="false"/>
          <w:i/>
          <w:color w:val="000000"/>
          <w:sz w:val="22"/>
        </w:rPr>
        <w:t>Babesia microti</w:t>
      </w:r>
      <w:r>
        <w:rPr>
          <w:rFonts w:ascii="Times New Roman" w:hAnsi="Times New Roman"/>
          <w:b w:val="false"/>
          <w:i w:val="false"/>
          <w:color w:val="000000"/>
          <w:sz w:val="22"/>
        </w:rPr>
        <w:t xml:space="preserve">. </w:t>
      </w:r>
      <w:r>
        <w:rPr>
          <w:rFonts w:ascii="Times New Roman" w:hAnsi="Times New Roman"/>
          <w:b w:val="false"/>
          <w:i/>
          <w:color w:val="000000"/>
          <w:sz w:val="22"/>
        </w:rPr>
        <w:t>Babesia microti</w:t>
      </w:r>
      <w:r>
        <w:rPr>
          <w:rFonts w:ascii="Times New Roman" w:hAnsi="Times New Roman"/>
          <w:b w:val="false"/>
          <w:i w:val="false"/>
          <w:color w:val="000000"/>
          <w:sz w:val="22"/>
        </w:rPr>
        <w:t xml:space="preserve">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and is found primarily in the northeastern and upper midwestern regions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Borrelia mayonii</w:t>
      </w:r>
      <w:r>
        <w:rPr>
          <w:rFonts w:ascii="Times New Roman" w:hAnsi="Times New Roman"/>
          <w:b w:val="false"/>
          <w:i w:val="false"/>
          <w:color w:val="000000"/>
          <w:sz w:val="22"/>
        </w:rPr>
        <w:t xml:space="preserve"> infection has recently been described as a cause of illness in the upper midwestern region of the U.S. This infection has been found in blacklegged ticks (</w:t>
      </w:r>
      <w:r>
        <w:rPr>
          <w:rFonts w:ascii="Times New Roman" w:hAnsi="Times New Roman"/>
          <w:b w:val="false"/>
          <w:i/>
          <w:color w:val="000000"/>
          <w:sz w:val="22"/>
        </w:rPr>
        <w:t>Ixodes scapularis</w:t>
      </w:r>
      <w:r>
        <w:rPr>
          <w:rFonts w:ascii="Times New Roman" w:hAnsi="Times New Roman"/>
          <w:b w:val="false"/>
          <w:i w:val="false"/>
          <w:color w:val="000000"/>
          <w:sz w:val="22"/>
        </w:rPr>
        <w:t xml:space="preserve">) in Minnesota and Wisconsin. </w:t>
      </w:r>
      <w:r>
        <w:rPr>
          <w:rFonts w:ascii="Times New Roman" w:hAnsi="Times New Roman"/>
          <w:b w:val="false"/>
          <w:i/>
          <w:color w:val="000000"/>
          <w:sz w:val="22"/>
        </w:rPr>
        <w:t>Borrelia mayonii</w:t>
      </w:r>
      <w:r>
        <w:rPr>
          <w:rFonts w:ascii="Times New Roman" w:hAnsi="Times New Roman"/>
          <w:b w:val="false"/>
          <w:i w:val="false"/>
          <w:color w:val="000000"/>
          <w:sz w:val="22"/>
        </w:rPr>
        <w:t xml:space="preserve"> is a new species and is the only species besides </w:t>
      </w:r>
      <w:r>
        <w:rPr>
          <w:rFonts w:ascii="Times New Roman" w:hAnsi="Times New Roman"/>
          <w:b w:val="false"/>
          <w:i/>
          <w:color w:val="000000"/>
          <w:sz w:val="22"/>
        </w:rPr>
        <w:t>B. burgdorferi</w:t>
      </w:r>
      <w:r>
        <w:rPr>
          <w:rFonts w:ascii="Times New Roman" w:hAnsi="Times New Roman"/>
          <w:b w:val="false"/>
          <w:i w:val="false"/>
          <w:color w:val="000000"/>
          <w:sz w:val="22"/>
        </w:rPr>
        <w:t xml:space="preserve"> known to cause Lyme disease in North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Borrelia miyamotoi</w:t>
      </w:r>
      <w:r>
        <w:rPr>
          <w:rFonts w:ascii="Times New Roman" w:hAnsi="Times New Roman"/>
          <w:b w:val="false"/>
          <w:i w:val="false"/>
          <w:color w:val="000000"/>
          <w:sz w:val="22"/>
        </w:rPr>
        <w:t xml:space="preserve"> infection has recently been described as a cause of illness in the U.S. This infection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and has a geographic range similar to that of Lyme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Bourbon virus</w:t>
      </w:r>
      <w:r>
        <w:rPr>
          <w:rFonts w:ascii="Times New Roman" w:hAnsi="Times New Roman"/>
          <w:b w:val="false"/>
          <w:i w:val="false"/>
          <w:color w:val="000000"/>
          <w:sz w:val="22"/>
        </w:rPr>
        <w:t xml:space="preserve"> infection has been identified in a limited number of patients in the midwestern and southern regions of the U.S. At this time, it is not known if the virus might be found in other areas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Colorado tick fever</w:t>
      </w:r>
      <w:r>
        <w:rPr>
          <w:rFonts w:ascii="Times New Roman" w:hAnsi="Times New Roman"/>
          <w:b w:val="false"/>
          <w:i w:val="false"/>
          <w:color w:val="000000"/>
          <w:sz w:val="22"/>
        </w:rPr>
        <w:t xml:space="preserve"> is caused by a virus transmitted by the Rocky Mountain wood tick (</w:t>
      </w:r>
      <w:r>
        <w:rPr>
          <w:rFonts w:ascii="Times New Roman" w:hAnsi="Times New Roman"/>
          <w:b w:val="false"/>
          <w:i/>
          <w:color w:val="000000"/>
          <w:sz w:val="22"/>
        </w:rPr>
        <w:t>Dermacentor andersoni</w:t>
      </w:r>
      <w:r>
        <w:rPr>
          <w:rFonts w:ascii="Times New Roman" w:hAnsi="Times New Roman"/>
          <w:b w:val="false"/>
          <w:i w:val="false"/>
          <w:color w:val="000000"/>
          <w:sz w:val="22"/>
        </w:rPr>
        <w:t>). Colorado tick fever occurs in the Rocky Mountain states at elevations of 4,000 to 10,500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Ehrlichiosis</w:t>
      </w:r>
      <w:r>
        <w:rPr>
          <w:rFonts w:ascii="Times New Roman" w:hAnsi="Times New Roman"/>
          <w:b w:val="false"/>
          <w:i w:val="false"/>
          <w:color w:val="000000"/>
          <w:sz w:val="22"/>
        </w:rPr>
        <w:t xml:space="preserve"> is transmitted to humans by the lone star tick (</w:t>
      </w:r>
      <w:r>
        <w:rPr>
          <w:rFonts w:ascii="Times New Roman" w:hAnsi="Times New Roman"/>
          <w:b w:val="false"/>
          <w:i/>
          <w:color w:val="000000"/>
          <w:sz w:val="22"/>
        </w:rPr>
        <w:t>Amblyomma americanum</w:t>
      </w:r>
      <w:r>
        <w:rPr>
          <w:rFonts w:ascii="Times New Roman" w:hAnsi="Times New Roman"/>
          <w:b w:val="false"/>
          <w:i w:val="false"/>
          <w:color w:val="000000"/>
          <w:sz w:val="22"/>
        </w:rPr>
        <w:t>), found primarily in the south central and eastern regions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Heartland virus</w:t>
      </w:r>
      <w:r>
        <w:rPr>
          <w:rFonts w:ascii="Times New Roman" w:hAnsi="Times New Roman"/>
          <w:b w:val="false"/>
          <w:i w:val="false"/>
          <w:color w:val="000000"/>
          <w:sz w:val="22"/>
        </w:rPr>
        <w:t xml:space="preserve"> cases have been identified in the midwestern and southern regions of the U.S. Studies suggest that lone star ticks (</w:t>
      </w:r>
      <w:r>
        <w:rPr>
          <w:rFonts w:ascii="Times New Roman" w:hAnsi="Times New Roman"/>
          <w:b w:val="false"/>
          <w:i/>
          <w:color w:val="000000"/>
          <w:sz w:val="22"/>
        </w:rPr>
        <w:t>Amblyomma americanum</w:t>
      </w:r>
      <w:r>
        <w:rPr>
          <w:rFonts w:ascii="Times New Roman" w:hAnsi="Times New Roman"/>
          <w:b w:val="false"/>
          <w:i w:val="false"/>
          <w:color w:val="000000"/>
          <w:sz w:val="22"/>
        </w:rPr>
        <w:t>) can transmit the virus. It is unknown if the virus may be found in other areas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Lyme disease</w:t>
      </w:r>
      <w:r>
        <w:rPr>
          <w:rFonts w:ascii="Times New Roman" w:hAnsi="Times New Roman"/>
          <w:b w:val="false"/>
          <w:i w:val="false"/>
          <w:color w:val="000000"/>
          <w:sz w:val="22"/>
        </w:rPr>
        <w:t xml:space="preserve">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in the northeastern and upper midwestern regions of the U.S. and by the western blacklegged tick (</w:t>
      </w:r>
      <w:r>
        <w:rPr>
          <w:rFonts w:ascii="Times New Roman" w:hAnsi="Times New Roman"/>
          <w:b w:val="false"/>
          <w:i/>
          <w:color w:val="000000"/>
          <w:sz w:val="22"/>
        </w:rPr>
        <w:t>Ixodes pacificus</w:t>
      </w:r>
      <w:r>
        <w:rPr>
          <w:rFonts w:ascii="Times New Roman" w:hAnsi="Times New Roman"/>
          <w:b w:val="false"/>
          <w:i w:val="false"/>
          <w:color w:val="000000"/>
          <w:sz w:val="22"/>
        </w:rPr>
        <w:t>) along the Pacific coast.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Powassan disease</w:t>
      </w:r>
      <w:r>
        <w:rPr>
          <w:rFonts w:ascii="Times New Roman" w:hAnsi="Times New Roman"/>
          <w:b w:val="false"/>
          <w:i w:val="false"/>
          <w:color w:val="000000"/>
          <w:sz w:val="22"/>
        </w:rPr>
        <w:t xml:space="preserve">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and the groundhog tick (</w:t>
      </w:r>
      <w:r>
        <w:rPr>
          <w:rFonts w:ascii="Times New Roman" w:hAnsi="Times New Roman"/>
          <w:b w:val="false"/>
          <w:i/>
          <w:color w:val="000000"/>
          <w:sz w:val="22"/>
        </w:rPr>
        <w:t>Ixodes cookei</w:t>
      </w:r>
      <w:r>
        <w:rPr>
          <w:rFonts w:ascii="Times New Roman" w:hAnsi="Times New Roman"/>
          <w:b w:val="false"/>
          <w:i w:val="false"/>
          <w:color w:val="000000"/>
          <w:sz w:val="22"/>
        </w:rPr>
        <w:t>). Cases have been reported primarily from northeastern states and the Great Lakes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Rickettsia parkeri rickettsiosis</w:t>
      </w:r>
      <w:r>
        <w:rPr>
          <w:rFonts w:ascii="Times New Roman" w:hAnsi="Times New Roman"/>
          <w:b w:val="false"/>
          <w:i w:val="false"/>
          <w:color w:val="000000"/>
          <w:sz w:val="22"/>
        </w:rPr>
        <w:t xml:space="preserve"> is transmitted to humans by the Gulf Coast tick (</w:t>
      </w:r>
      <w:r>
        <w:rPr>
          <w:rFonts w:ascii="Times New Roman" w:hAnsi="Times New Roman"/>
          <w:b w:val="false"/>
          <w:i/>
          <w:color w:val="000000"/>
          <w:sz w:val="22"/>
        </w:rPr>
        <w:t>Amblyomma maculatum</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Rocky Mountain spotted fever</w:t>
      </w:r>
      <w:r>
        <w:rPr>
          <w:rFonts w:ascii="Times New Roman" w:hAnsi="Times New Roman"/>
          <w:b w:val="false"/>
          <w:i w:val="false"/>
          <w:color w:val="000000"/>
          <w:sz w:val="22"/>
        </w:rPr>
        <w:t xml:space="preserve"> is transmitted by the American dog tick (</w:t>
      </w:r>
      <w:r>
        <w:rPr>
          <w:rFonts w:ascii="Times New Roman" w:hAnsi="Times New Roman"/>
          <w:b w:val="false"/>
          <w:i/>
          <w:color w:val="000000"/>
          <w:sz w:val="22"/>
        </w:rPr>
        <w:t>Dermacentor variabilis</w:t>
      </w:r>
      <w:r>
        <w:rPr>
          <w:rFonts w:ascii="Times New Roman" w:hAnsi="Times New Roman"/>
          <w:b w:val="false"/>
          <w:i w:val="false"/>
          <w:color w:val="000000"/>
          <w:sz w:val="22"/>
        </w:rPr>
        <w:t>), Rocky Mountain wood tick (</w:t>
      </w:r>
      <w:r>
        <w:rPr>
          <w:rFonts w:ascii="Times New Roman" w:hAnsi="Times New Roman"/>
          <w:b w:val="false"/>
          <w:i/>
          <w:color w:val="000000"/>
          <w:sz w:val="22"/>
        </w:rPr>
        <w:t>Dermacentor andersoni</w:t>
      </w:r>
      <w:r>
        <w:rPr>
          <w:rFonts w:ascii="Times New Roman" w:hAnsi="Times New Roman"/>
          <w:b w:val="false"/>
          <w:i w:val="false"/>
          <w:color w:val="000000"/>
          <w:sz w:val="22"/>
        </w:rPr>
        <w:t>), and the brown dog tick (</w:t>
      </w:r>
      <w:r>
        <w:rPr>
          <w:rFonts w:ascii="Times New Roman" w:hAnsi="Times New Roman"/>
          <w:b w:val="false"/>
          <w:i/>
          <w:color w:val="000000"/>
          <w:sz w:val="22"/>
        </w:rPr>
        <w:t>Rhipicephalus sanguineus</w:t>
      </w:r>
      <w:r>
        <w:rPr>
          <w:rFonts w:ascii="Times New Roman" w:hAnsi="Times New Roman"/>
          <w:b w:val="false"/>
          <w:i w:val="false"/>
          <w:color w:val="000000"/>
          <w:sz w:val="22"/>
        </w:rPr>
        <w:t>) in the U.S. The brown dog tick and other tick species are associated with Rocky Mountain spotted fever in Central America and South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Southern tick-associated rash illness</w:t>
      </w:r>
      <w:r>
        <w:rPr>
          <w:rFonts w:ascii="Times New Roman" w:hAnsi="Times New Roman"/>
          <w:b w:val="false"/>
          <w:i w:val="false"/>
          <w:color w:val="000000"/>
          <w:sz w:val="22"/>
        </w:rPr>
        <w:t xml:space="preserve"> is transmitted via bites from the lone star tick (</w:t>
      </w:r>
      <w:r>
        <w:rPr>
          <w:rFonts w:ascii="Times New Roman" w:hAnsi="Times New Roman"/>
          <w:b w:val="false"/>
          <w:i/>
          <w:color w:val="000000"/>
          <w:sz w:val="22"/>
        </w:rPr>
        <w:t>Amblyomma americanum</w:t>
      </w:r>
      <w:r>
        <w:rPr>
          <w:rFonts w:ascii="Times New Roman" w:hAnsi="Times New Roman"/>
          <w:b w:val="false"/>
          <w:i w:val="false"/>
          <w:color w:val="000000"/>
          <w:sz w:val="22"/>
        </w:rPr>
        <w:t>) found in the southeastern and eastern regions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Tick-borne relapsing fever</w:t>
      </w:r>
      <w:r>
        <w:rPr>
          <w:rFonts w:ascii="Times New Roman" w:hAnsi="Times New Roman"/>
          <w:b w:val="false"/>
          <w:i w:val="false"/>
          <w:color w:val="000000"/>
          <w:sz w:val="22"/>
        </w:rPr>
        <w:t xml:space="preserve"> is transmitted to humans through the bite of infected soft ticks. Tick-borne relapsing fever has been reported in 15 states: Arizona, California, Colorado, Idaho, Kansas, Montana, Nevada, New Mexico, Ohio, Oklahoma, Oregon, Texas, Utah, Washington, and Wyoming and is associated with sleeping in rustic cabins and vacation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Tularemia</w:t>
      </w:r>
      <w:r>
        <w:rPr>
          <w:rFonts w:ascii="Times New Roman" w:hAnsi="Times New Roman"/>
          <w:b w:val="false"/>
          <w:i w:val="false"/>
          <w:color w:val="000000"/>
          <w:sz w:val="22"/>
        </w:rPr>
        <w:t xml:space="preserve"> is transmitted to humans by the dog tick (</w:t>
      </w:r>
      <w:r>
        <w:rPr>
          <w:rFonts w:ascii="Times New Roman" w:hAnsi="Times New Roman"/>
          <w:b w:val="false"/>
          <w:i/>
          <w:color w:val="000000"/>
          <w:sz w:val="22"/>
        </w:rPr>
        <w:t>Dermacentor variabilis</w:t>
      </w:r>
      <w:r>
        <w:rPr>
          <w:rFonts w:ascii="Times New Roman" w:hAnsi="Times New Roman"/>
          <w:b w:val="false"/>
          <w:i w:val="false"/>
          <w:color w:val="000000"/>
          <w:sz w:val="22"/>
        </w:rPr>
        <w:t>), the wood tick (</w:t>
      </w:r>
      <w:r>
        <w:rPr>
          <w:rFonts w:ascii="Times New Roman" w:hAnsi="Times New Roman"/>
          <w:b w:val="false"/>
          <w:i/>
          <w:color w:val="000000"/>
          <w:sz w:val="22"/>
        </w:rPr>
        <w:t>Dermacentor andersoni</w:t>
      </w:r>
      <w:r>
        <w:rPr>
          <w:rFonts w:ascii="Times New Roman" w:hAnsi="Times New Roman"/>
          <w:b w:val="false"/>
          <w:i w:val="false"/>
          <w:color w:val="000000"/>
          <w:sz w:val="22"/>
        </w:rPr>
        <w:t>), and the lone star tick (</w:t>
      </w:r>
      <w:r>
        <w:rPr>
          <w:rFonts w:ascii="Times New Roman" w:hAnsi="Times New Roman"/>
          <w:b w:val="false"/>
          <w:i/>
          <w:color w:val="000000"/>
          <w:sz w:val="22"/>
        </w:rPr>
        <w:t>Amblyomma americanum</w:t>
      </w:r>
      <w:r>
        <w:rPr>
          <w:rFonts w:ascii="Times New Roman" w:hAnsi="Times New Roman"/>
          <w:b w:val="false"/>
          <w:i w:val="false"/>
          <w:color w:val="000000"/>
          <w:sz w:val="22"/>
        </w:rPr>
        <w:t>). Tularemia occurs throughout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364D rickettsiosis</w:t>
      </w:r>
      <w:r>
        <w:rPr>
          <w:rFonts w:ascii="Times New Roman" w:hAnsi="Times New Roman"/>
          <w:b w:val="false"/>
          <w:i w:val="false"/>
          <w:color w:val="000000"/>
          <w:sz w:val="22"/>
        </w:rPr>
        <w:t xml:space="preserve"> (</w:t>
      </w:r>
      <w:r>
        <w:rPr>
          <w:rFonts w:ascii="Times New Roman" w:hAnsi="Times New Roman"/>
          <w:b w:val="false"/>
          <w:i/>
          <w:color w:val="000000"/>
          <w:sz w:val="22"/>
        </w:rPr>
        <w:t>Rickettsia phillipi</w:t>
      </w:r>
      <w:r>
        <w:rPr>
          <w:rFonts w:ascii="Times New Roman" w:hAnsi="Times New Roman"/>
          <w:b w:val="false"/>
          <w:i w:val="false"/>
          <w:color w:val="000000"/>
          <w:sz w:val="22"/>
        </w:rPr>
        <w:t>) is transmitted to humans by the Pacific Coast tick (</w:t>
      </w:r>
      <w:r>
        <w:rPr>
          <w:rFonts w:ascii="Times New Roman" w:hAnsi="Times New Roman"/>
          <w:b w:val="false"/>
          <w:i/>
          <w:color w:val="000000"/>
          <w:sz w:val="22"/>
        </w:rPr>
        <w:t>Dermacentor occidentalis</w:t>
      </w:r>
      <w:r>
        <w:rPr>
          <w:rFonts w:ascii="Times New Roman" w:hAnsi="Times New Roman"/>
          <w:b w:val="false"/>
          <w:i w:val="false"/>
          <w:color w:val="000000"/>
          <w:sz w:val="22"/>
        </w:rPr>
        <w:t>). This is a new disease that has been found in California.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13.14(5)</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these rules or the rules found in </w:t>
      </w:r>
      <w:hyperlink r:id="rId56">
        <w:r>
          <w:rPr>
            <w:rStyle w:val="Hyperlink"/>
            <w:rFonts w:ascii="Times New Roman" w:hAnsi="Times New Roman"/>
            <w:b w:val="false"/>
            <w:i w:val="false"/>
            <w:color w:val="000000"/>
            <w:sz w:val="22"/>
          </w:rPr>
          <w:t>653—Chapter 23</w:t>
        </w:r>
      </w:hyperlink>
      <w:r>
        <w:rPr>
          <w:rFonts w:ascii="Times New Roman" w:hAnsi="Times New Roman"/>
          <w:b w:val="false"/>
          <w:i w:val="false"/>
          <w:color w:val="000000"/>
          <w:sz w:val="22"/>
        </w:rPr>
        <w:t>. Grounds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perform and document an appropriate examination or fails to obtain and document appropriate informed consent from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identify and document a medical reason for recommending or providing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inform the patient about other recognized treatment options or fails to describe to the patient the physician’s education, experience, and credentials regarding the treatment of Lyme disease or other tick-borne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use the physician’s own medical judgment based on a thorough review of all available clinical information and Lyme disease or other tick-borne disease literature to determine the best course of treatment for the individual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treatment provided, in the opinion of the physician, will likely result in the direct and proximate death of or serious bodily injury to the patient.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5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3589C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653—13.15</w:t>
      </w:r>
      <w:r>
        <w:rPr>
          <w:rFonts w:ascii="Times New Roman" w:hAnsi="Times New Roman"/>
          <w:b/>
          <w:i w:val="false"/>
          <w:color w:val="000000"/>
          <w:sz w:val="22"/>
        </w:rPr>
        <w:t xml:space="preserve">(124E,147,148,272C) </w:t>
      </w:r>
      <w:r>
        <w:rPr>
          <w:rFonts w:ascii="Times New Roman" w:hAnsi="Times New Roman"/>
          <w:b/>
          <w:i w:val="false"/>
          <w:color w:val="000000"/>
          <w:sz w:val="22"/>
        </w:rPr>
        <w:t xml:space="preserve">Standards of practice—medical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medicine” </w:t>
      </w:r>
      <w:r>
        <w:rPr>
          <w:rFonts w:ascii="Times New Roman" w:hAnsi="Times New Roman"/>
          <w:b w:val="false"/>
          <w:i w:val="false"/>
          <w:color w:val="000000"/>
          <w:sz w:val="22"/>
        </w:rPr>
        <w:t xml:space="preserve">means the board established pursuant to Iowa Code chapters </w:t>
      </w:r>
      <w:hyperlink r:id="rId6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“Bordering state” </w:t>
      </w:r>
      <w:r>
        <w:rPr>
          <w:rFonts w:ascii="Times New Roman" w:hAnsi="Times New Roman"/>
          <w:b w:val="false"/>
          <w:i w:val="false"/>
          <w:color w:val="000000"/>
          <w:sz w:val="22"/>
        </w:rPr>
        <w:t xml:space="preserve">means the same as defined in Iowa Code section </w:t>
      </w:r>
      <w:hyperlink r:id="rId62">
        <w:r>
          <w:rPr>
            <w:rStyle w:val="Hyperlink"/>
            <w:rFonts w:ascii="Times New Roman" w:hAnsi="Times New Roman"/>
            <w:b w:val="false"/>
            <w:i w:val="false"/>
            <w:color w:val="000000"/>
            <w:sz w:val="22"/>
          </w:rPr>
          <w:t>331.910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“Debilitating medical condition”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Cancer, if the underlying condition or treatment produces one or more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Severe or chronic pain.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Nausea or severe vomiting.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Cachexia or severe wasting.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Multiple sclerosis with severe and persistent muscle spasms.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Seizures, including those characteristic of epilepsy.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AIDS or HIV as defined in Iowa Code section </w:t>
      </w:r>
      <w:hyperlink r:id="rId63">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Crohn’s disease.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Amyotrophic lateral sclerosis.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terminal illness, with a probable life expectancy of under one year, if the illness or its treatment produces one or more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Severe or chronic pain.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Nausea or severe vomiting.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Cachexia or severe wasting.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Parkinson’s disease.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Chronic pain.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Ulcerative colitis.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Severe, intractable autism with self-injurious or aggressive behaviors.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Corticobasal degeneration.</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Post-traumatic stress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and quantity” </w:t>
      </w:r>
      <w:r>
        <w:rPr>
          <w:rFonts w:ascii="Times New Roman" w:hAnsi="Times New Roman"/>
          <w:b w:val="false"/>
          <w:i w:val="false"/>
          <w:color w:val="000000"/>
          <w:sz w:val="22"/>
        </w:rPr>
        <w:t xml:space="preserve">means the types and amounts of medical cannabidiol allowed to be dispensed to a patient or primary caregiver as approved by the department subject to recommendation by the medical cannabidiol board and approval by the board of medicine.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w:t>
      </w:r>
      <w:r>
        <w:rPr>
          <w:rFonts w:ascii="Times New Roman" w:hAnsi="Times New Roman"/>
          <w:b w:val="false"/>
          <w:i w:val="false"/>
          <w:color w:val="000000"/>
          <w:sz w:val="22"/>
        </w:rPr>
        <w:t xml:space="preserve">means any pharmaceutical grade cannabinoid found in the plant </w:t>
      </w:r>
      <w:r>
        <w:rPr>
          <w:rFonts w:ascii="Times New Roman" w:hAnsi="Times New Roman"/>
          <w:b w:val="false"/>
          <w:i/>
          <w:color w:val="000000"/>
          <w:sz w:val="22"/>
        </w:rPr>
        <w:t>Cannabis sativa</w:t>
      </w:r>
      <w:r>
        <w:rPr>
          <w:rFonts w:ascii="Times New Roman" w:hAnsi="Times New Roman"/>
          <w:b w:val="false"/>
          <w:i w:val="false"/>
          <w:color w:val="000000"/>
          <w:sz w:val="22"/>
        </w:rPr>
        <w:t xml:space="preserve"> L. or </w:t>
      </w:r>
      <w:r>
        <w:rPr>
          <w:rFonts w:ascii="Times New Roman" w:hAnsi="Times New Roman"/>
          <w:b w:val="false"/>
          <w:i/>
          <w:color w:val="000000"/>
          <w:sz w:val="22"/>
        </w:rPr>
        <w:t>Cannabis indica</w:t>
      </w:r>
      <w:r>
        <w:rPr>
          <w:rFonts w:ascii="Times New Roman" w:hAnsi="Times New Roman"/>
          <w:b w:val="false"/>
          <w:i w:val="false"/>
          <w:color w:val="000000"/>
          <w:sz w:val="22"/>
        </w:rPr>
        <w:t xml:space="preserve"> or any other preparation thereof that is delivered in a form recommended by the medical cannabidiol board, approved by the board of medicine, and adopted by the department pursuant to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board” </w:t>
      </w:r>
      <w:r>
        <w:rPr>
          <w:rFonts w:ascii="Times New Roman" w:hAnsi="Times New Roman"/>
          <w:b w:val="false"/>
          <w:i w:val="false"/>
          <w:color w:val="000000"/>
          <w:sz w:val="22"/>
        </w:rPr>
        <w:t xml:space="preserve">means the board established pursuant to Iowa Code section </w:t>
      </w:r>
      <w:hyperlink r:id="rId64">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caregiver” </w:t>
      </w:r>
      <w:r>
        <w:rPr>
          <w:rFonts w:ascii="Times New Roman" w:hAnsi="Times New Roman"/>
          <w:b w:val="false"/>
          <w:i w:val="false"/>
          <w:color w:val="000000"/>
          <w:sz w:val="22"/>
        </w:rPr>
        <w:t>means a person who is a resident of this state or a bordering state, including but not limited to a parent or legal guardian, at least 18 years of age, who has been designated by a patient’s health care practitioner as a necessary caretaker taking responsibility for managing the well-being of the patient with respect to the use of medical cannabidiol pursuant to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“Untreatable pain” </w:t>
      </w:r>
      <w:r>
        <w:rPr>
          <w:rFonts w:ascii="Times New Roman" w:hAnsi="Times New Roman"/>
          <w:b w:val="false"/>
          <w:i w:val="false"/>
          <w:color w:val="000000"/>
          <w:sz w:val="22"/>
        </w:rPr>
        <w:t>means any pain whose cause cannot be removed and, according to generally accepted medical practice, the full range of pain management modalities appropriate for the patient has been used without adequate result or with intolerable side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certification” </w:t>
      </w:r>
      <w:r>
        <w:rPr>
          <w:rFonts w:ascii="Times New Roman" w:hAnsi="Times New Roman"/>
          <w:b w:val="false"/>
          <w:i w:val="false"/>
          <w:color w:val="000000"/>
          <w:sz w:val="22"/>
        </w:rPr>
        <w:t xml:space="preserve">means a document signed by a physician licensed pursuant to Iowa Code chapter </w:t>
      </w:r>
      <w:hyperlink r:id="rId6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with whom the patient has established a patient-physician relationship and who is the patient’s primary care provider which states that the patient has a debilitating medical condition and identifies that condition and provides any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13.15(2)</w:t>
      </w:r>
      <w:r>
        <w:rPr>
          <w:rFonts w:ascii="Times New Roman" w:hAnsi="Times New Roman"/>
          <w:b w:val="false"/>
          <w:i w:val="false"/>
          <w:color w:val="000000"/>
          <w:sz w:val="22"/>
        </w:rPr>
        <w:t> </w:t>
      </w:r>
      <w:r>
        <w:rPr>
          <w:rFonts w:ascii="Times New Roman" w:hAnsi="Times New Roman"/>
          <w:b w:val="false"/>
          <w:i/>
          <w:color w:val="000000"/>
          <w:sz w:val="22"/>
        </w:rPr>
        <w:t xml:space="preserve">Written certification. </w:t>
      </w:r>
      <w:r>
        <w:rPr>
          <w:rFonts w:ascii="Times New Roman" w:hAnsi="Times New Roman"/>
          <w:b w:val="false"/>
          <w:i w:val="false"/>
          <w:color w:val="000000"/>
          <w:sz w:val="22"/>
        </w:rPr>
        <w:t xml:space="preserve">A physician who is a patient’s primary care provider may provide the patient a written certification of diagnosis if, after examining and treating the patient, the physician determines, in the physician’s medical judgment, that the patient suffers from a debilitating medical condition that qualifies for the use of medical cannabidiol pursuant to Iowa Code chapter </w:t>
      </w:r>
      <w:hyperlink r:id="rId66">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shall provide explanatory information as provided by the department to the patient about the therapeutic use of medical cannabidiol and the possible risks, benefits, and side effects of the proposed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Subsequently, the physician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on an annual basis, if the patient continues to suffer from a debilitating medical condition and, if so, may issue the patient a new written certification of that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Otherwise comply with all requirements established by the department pursuant to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may provide, but has no duty to provide, a written certification pursuant to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13.15(3)</w:t>
      </w:r>
      <w:r>
        <w:rPr>
          <w:rFonts w:ascii="Times New Roman" w:hAnsi="Times New Roman"/>
          <w:b w:val="false"/>
          <w:i w:val="false"/>
          <w:color w:val="000000"/>
          <w:sz w:val="22"/>
        </w:rPr>
        <w:t> </w:t>
      </w:r>
      <w:r>
        <w:rPr>
          <w:rFonts w:ascii="Times New Roman" w:hAnsi="Times New Roman"/>
          <w:b w:val="false"/>
          <w:i/>
          <w:color w:val="000000"/>
          <w:sz w:val="22"/>
        </w:rPr>
        <w:t xml:space="preserve">Adding or removing debilitating medical conditions and amending form and quantity of medical cannabidiol. </w:t>
      </w:r>
      <w:r>
        <w:rPr>
          <w:rFonts w:ascii="Times New Roman" w:hAnsi="Times New Roman"/>
          <w:b w:val="false"/>
          <w:i w:val="false"/>
          <w:color w:val="000000"/>
          <w:sz w:val="22"/>
        </w:rPr>
        <w:t xml:space="preserve">Recommendations made by the medical cannabidiol board pursuant to Iowa Code section </w:t>
      </w:r>
      <w:hyperlink r:id="rId67">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xml:space="preserve"> relating to the addition or removal of allowable debilitating medical conditions for which the medical use of cannabidiol would be medically beneficial or to the amendment of the form and quantity of allowable medical uses of cannabidiol shall be made to the board of medicine for consideration. The medical cannabidiol board shall submit a written recommendation, a copy of the petition and all other information received during consideration of the petition. The board of medicine shall consider the information received from the medical cannabidiol board and may seek information from other sources if it is deemed relevant by the board of medicine. The decision regarding a recommendation by the medical cannabidiol board is at the sole discretion of the board of medicine. The board of medicine shall make its decision within 180 days of receipt of the recommendation from the medical cannabidiol board. If the recommendation is approved by the board of medicine, it shall be adopted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13.15(4)</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 xml:space="preserve">A physician shall not share office space with, accept referrals from, or have any financial relationship with a medical cannabidiol manufacturer or dispensary.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13.15(5)</w:t>
      </w:r>
      <w:r>
        <w:rPr>
          <w:rFonts w:ascii="Times New Roman" w:hAnsi="Times New Roman"/>
          <w:b w:val="false"/>
          <w:i w:val="false"/>
          <w:color w:val="000000"/>
          <w:sz w:val="22"/>
        </w:rPr>
        <w:t> </w:t>
      </w:r>
      <w:r>
        <w:rPr>
          <w:rFonts w:ascii="Times New Roman" w:hAnsi="Times New Roman"/>
          <w:b w:val="false"/>
          <w:i/>
          <w:color w:val="000000"/>
          <w:sz w:val="22"/>
        </w:rPr>
        <w:t xml:space="preserve">Criminal prosecution. </w:t>
      </w:r>
      <w:r>
        <w:rPr>
          <w:rFonts w:ascii="Times New Roman" w:hAnsi="Times New Roman"/>
          <w:b w:val="false"/>
          <w:i w:val="false"/>
          <w:color w:val="000000"/>
          <w:sz w:val="22"/>
        </w:rPr>
        <w:t xml:space="preserve">A physician, including any authorized agent or employee thereof, shall not be subject to prosecution for the unlawful certification, possession, or administration of marijuana under the laws of this state for activities arising directly out of or directly related to the certification or use of medical cannabidiol in the treatment of a patient diagnosed with a debilitating medical condition as authorized by Iowa Code chapter </w:t>
      </w:r>
      <w:hyperlink r:id="rId68">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13.15(6)</w:t>
      </w:r>
      <w:r>
        <w:rPr>
          <w:rFonts w:ascii="Times New Roman" w:hAnsi="Times New Roman"/>
          <w:b w:val="false"/>
          <w:i w:val="false"/>
          <w:color w:val="000000"/>
          <w:sz w:val="22"/>
        </w:rPr>
        <w:t> </w:t>
      </w:r>
      <w:r>
        <w:rPr>
          <w:rFonts w:ascii="Times New Roman" w:hAnsi="Times New Roman"/>
          <w:b w:val="false"/>
          <w:i/>
          <w:color w:val="000000"/>
          <w:sz w:val="22"/>
        </w:rPr>
        <w:t xml:space="preserve">Civil or disciplinary penalties. </w:t>
      </w:r>
      <w:r>
        <w:rPr>
          <w:rFonts w:ascii="Times New Roman" w:hAnsi="Times New Roman"/>
          <w:b w:val="false"/>
          <w:i w:val="false"/>
          <w:color w:val="000000"/>
          <w:sz w:val="22"/>
        </w:rPr>
        <w:t xml:space="preserve">A physician, including any authorized agent or employee thereof, shall not be subject to any civil or disciplinary penalties by the board of medicine or any business, occupational, or professional licensing board or entity, solely for activities conducted relating to a patient’s possession or use of medical cannabidiol as authorized by Iowa Code chapter </w:t>
      </w:r>
      <w:hyperlink r:id="rId69">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Nothing in this rule prevents the board of medicine from taking action in response to violations of any other sections of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13.15(7)</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A physician may be subject to disciplinary action for violation of these rules or the rules found in 653—Chapter 23. Grounds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an individual a written certification without establishing a patient-physician relationship, including examining and treating the individual, or without being the individual’s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provides a patient a written certification without determining, in the physician’s medical judgment, that the patient suffers from a debilitating medical condition that qualifies for the use of medical cannabidiol pursuant to Iowa Code chapter </w:t>
      </w:r>
      <w:hyperlink r:id="rId70">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a patient a written certification without providing explanatory information as provided by the department to the patient about the therapeutic use of medical cannabidiol and the possible risks, benefits, and side effects of the proposed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an individual a new written certification without determining, on an annual basis, that the patient continues to suffer from a debilitating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physician shares office space with, accepts referrals from, or has a financial relationship with a medical cannabidiol manufacturer or dispensary.</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71">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3830C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i w:val="false"/>
          <w:color w:val="000000"/>
          <w:sz w:val="16"/>
        </w:rPr>
        <w:t>ARC 4248C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i w:val="false"/>
          <w:color w:val="000000"/>
          <w:sz w:val="16"/>
        </w:rPr>
        <w:t>ARC 4377C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4658C</w:t>
      </w:r>
      <w:r>
        <w:rPr>
          <w:rFonts w:ascii="Times New Roman" w:hAnsi="Times New Roman"/>
          <w:b w:val="false"/>
          <w:i w:val="false"/>
          <w:color w:val="000000"/>
          <w:sz w:val="16"/>
        </w:rPr>
        <w:t>, IAB 9/11/19, effective 10/16/19</w:t>
      </w:r>
      <w:r>
        <w:rPr>
          <w:rFonts w:ascii="Times New Roman" w:hAnsi="Times New Roman"/>
          <w:b w:val="false"/>
          <w:i w:val="false"/>
          <w:color w:val="000000"/>
          <w:sz w:val="16"/>
        </w:rPr>
        <w:t xml:space="preserve">; </w:t>
      </w:r>
      <w:r>
        <w:rPr>
          <w:rFonts w:ascii="Times New Roman" w:hAnsi="Times New Roman"/>
          <w:b/>
          <w:i w:val="false"/>
          <w:color w:val="000000"/>
          <w:sz w:val="16"/>
        </w:rPr>
        <w:t>ARC 5861C</w:t>
      </w:r>
      <w:r>
        <w:rPr>
          <w:rFonts w:ascii="Times New Roman" w:hAnsi="Times New Roman"/>
          <w:b w:val="false"/>
          <w:i w:val="false"/>
          <w:color w:val="000000"/>
          <w:sz w:val="16"/>
        </w:rPr>
        <w:t>, IAB 8/25/21, effective 9/29/21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653—13.16</w:t>
      </w:r>
      <w:r>
        <w:rPr>
          <w:rFonts w:ascii="Times New Roman" w:hAnsi="Times New Roman"/>
          <w:b/>
          <w:i w:val="false"/>
          <w:color w:val="000000"/>
          <w:sz w:val="22"/>
        </w:rPr>
        <w:t xml:space="preserve">(146A) </w:t>
      </w:r>
      <w:r>
        <w:rPr>
          <w:rFonts w:ascii="Times New Roman" w:hAnsi="Times New Roman"/>
          <w:b/>
          <w:i w:val="false"/>
          <w:color w:val="000000"/>
          <w:sz w:val="22"/>
        </w:rPr>
        <w:t xml:space="preserve">Abortion prerequisites.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13.16(1)</w:t>
      </w:r>
      <w:r>
        <w:rPr>
          <w:rFonts w:ascii="Times New Roman" w:hAnsi="Times New Roman"/>
          <w:b w:val="false"/>
          <w:i w:val="false"/>
          <w:color w:val="000000"/>
          <w:sz w:val="22"/>
        </w:rPr>
        <w:t> </w:t>
      </w:r>
      <w:r>
        <w:rPr>
          <w:rFonts w:ascii="Times New Roman" w:hAnsi="Times New Roman"/>
          <w:b w:val="false"/>
          <w:i/>
          <w:color w:val="000000"/>
          <w:sz w:val="22"/>
        </w:rPr>
        <w:t xml:space="preserve">Written certification. </w:t>
      </w:r>
      <w:r>
        <w:rPr>
          <w:rFonts w:ascii="Times New Roman" w:hAnsi="Times New Roman"/>
          <w:b w:val="false"/>
          <w:i w:val="false"/>
          <w:color w:val="000000"/>
          <w:sz w:val="22"/>
        </w:rPr>
        <w:t xml:space="preserve">At least 24 hours prior to performing an abortion, a physician shall obtain written certification from the pregnant woman of each prerequisite as required in Iowa Code sections </w:t>
      </w:r>
      <w:hyperlink r:id="rId75">
        <w:r>
          <w:rPr>
            <w:rStyle w:val="Hyperlink"/>
            <w:rFonts w:ascii="Times New Roman" w:hAnsi="Times New Roman"/>
            <w:b w:val="false"/>
            <w:i w:val="false"/>
            <w:color w:val="000000"/>
            <w:sz w:val="22"/>
          </w:rPr>
          <w:t>146A.1(1)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hyperlink r:id="rId76">
        <w:r>
          <w:rPr>
            <w:rStyle w:val="Hyperlink"/>
            <w:rFonts w:ascii="Times New Roman" w:hAnsi="Times New Roman"/>
            <w:b w:val="false"/>
            <w:i w:val="false"/>
            <w:color w:val="000000"/>
            <w:sz w:val="22"/>
          </w:rPr>
          <w:t>146A.1(1)</w:t>
        </w:r>
      </w:hyperlink>
      <w:r>
        <w:rPr>
          <w:rFonts w:ascii="Times New Roman" w:hAnsi="Times New Roman"/>
          <w:b w:val="false"/>
          <w:i/>
          <w:color w:val="000000"/>
          <w:sz w:val="22"/>
        </w:rPr>
        <w:t>“d”</w:t>
      </w:r>
      <w:r>
        <w:rPr>
          <w:rFonts w:ascii="Times New Roman" w:hAnsi="Times New Roman"/>
          <w:b w:val="false"/>
          <w:i w:val="false"/>
          <w:color w:val="000000"/>
          <w:sz w:val="22"/>
        </w:rPr>
        <w:t xml:space="preserve">(1). The written certification shall list each required prerequisite separately and shall include a line for date and signature of the pregnant woman. The physician shall maintain a copy of the certification as part of the pregnant woman’s medical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This rule shall not apply to abortions performed in a medical emergency, as provided in Iowa Code section </w:t>
      </w:r>
      <w:hyperlink r:id="rId77">
        <w:r>
          <w:rPr>
            <w:rStyle w:val="Hyperlink"/>
            <w:rFonts w:ascii="Times New Roman" w:hAnsi="Times New Roman"/>
            <w:b w:val="false"/>
            <w:i w:val="false"/>
            <w:color w:val="000000"/>
            <w:sz w:val="22"/>
          </w:rPr>
          <w:t>146A.1(2)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13.16(3)</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 xml:space="preserve">Failure to comply with this rule or the requirements of Iowa Code section </w:t>
      </w:r>
      <w:hyperlink r:id="rId78">
        <w:r>
          <w:rPr>
            <w:rStyle w:val="Hyperlink"/>
            <w:rFonts w:ascii="Times New Roman" w:hAnsi="Times New Roman"/>
            <w:b w:val="false"/>
            <w:i w:val="false"/>
            <w:color w:val="000000"/>
            <w:sz w:val="22"/>
          </w:rPr>
          <w:t>146A.1</w:t>
        </w:r>
      </w:hyperlink>
      <w:r>
        <w:rPr>
          <w:rFonts w:ascii="Times New Roman" w:hAnsi="Times New Roman"/>
          <w:b w:val="false"/>
          <w:i w:val="false"/>
          <w:color w:val="000000"/>
          <w:sz w:val="22"/>
        </w:rPr>
        <w:t xml:space="preserve"> may constitute grounds for discipline.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9">
        <w:r>
          <w:rPr>
            <w:rStyle w:val="Hyperlink"/>
            <w:rFonts w:ascii="Times New Roman" w:hAnsi="Times New Roman"/>
            <w:b w:val="false"/>
            <w:i w:val="false"/>
            <w:color w:val="000000"/>
            <w:sz w:val="22"/>
          </w:rPr>
          <w:t>146A.1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6684C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653—13.17</w:t>
      </w:r>
      <w:r>
        <w:rPr>
          <w:rFonts w:ascii="Times New Roman" w:hAnsi="Times New Roman"/>
          <w:b/>
          <w:i w:val="false"/>
          <w:color w:val="000000"/>
          <w:sz w:val="22"/>
        </w:rPr>
        <w:t xml:space="preserve">(135L,146A,146E,147,148,272C) </w:t>
      </w:r>
      <w:r>
        <w:rPr>
          <w:rFonts w:ascii="Times New Roman" w:hAnsi="Times New Roman"/>
          <w:b/>
          <w:i w:val="false"/>
          <w:color w:val="000000"/>
          <w:sz w:val="22"/>
        </w:rPr>
        <w:t xml:space="preserve">Standards of practice for physicians who perform or induce abortions—definitions—detection of fetal heartbeat—fetal heartbeat exceptions—discipline.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13.17(1)</w:t>
      </w:r>
      <w:r>
        <w:rPr>
          <w:rFonts w:ascii="Times New Roman" w:hAnsi="Times New Roman"/>
          <w:b w:val="false"/>
          <w:i w:val="false"/>
          <w:color w:val="000000"/>
          <w:sz w:val="22"/>
        </w:rPr>
        <w:t> </w:t>
      </w:r>
      <w:r>
        <w:rPr>
          <w:rFonts w:ascii="Times New Roman" w:hAnsi="Times New Roman"/>
          <w:b w:val="false"/>
          <w:i/>
          <w:color w:val="000000"/>
          <w:sz w:val="22"/>
        </w:rPr>
        <w:t xml:space="preserve">Standards of practice. </w:t>
      </w:r>
      <w:r>
        <w:rPr>
          <w:rFonts w:ascii="Times New Roman" w:hAnsi="Times New Roman"/>
          <w:b w:val="false"/>
          <w:i w:val="false"/>
          <w:color w:val="000000"/>
          <w:sz w:val="22"/>
        </w:rPr>
        <w:t xml:space="preserve">This rule sets forth the standards of practice for physicians who perform or induce abortions. More information is contained in Iowa Code section </w:t>
      </w:r>
      <w:hyperlink r:id="rId80">
        <w:r>
          <w:rPr>
            <w:rStyle w:val="Hyperlink"/>
            <w:rFonts w:ascii="Times New Roman" w:hAnsi="Times New Roman"/>
            <w:b w:val="false"/>
            <w:i w:val="false"/>
            <w:color w:val="000000"/>
            <w:sz w:val="22"/>
          </w:rPr>
          <w:t>146E.2(5)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As used in this rule or in Iowa Code chapter </w:t>
      </w:r>
      <w:hyperlink r:id="rId81">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health agency” </w:t>
      </w:r>
      <w:r>
        <w:rPr>
          <w:rFonts w:ascii="Times New Roman" w:hAnsi="Times New Roman"/>
          <w:b w:val="false"/>
          <w:i w:val="false"/>
          <w:color w:val="000000"/>
          <w:sz w:val="22"/>
        </w:rPr>
        <w:t>means any establishment, facility, organization, or other entity that is not owned by a federal, state, or local government that either is a health care provider or employs or provides the services of a health care provider. Establishments, facilities, organizations, or other entities that are health care providers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hospital as defined in Iowa Code section </w:t>
      </w:r>
      <w:hyperlink r:id="rId82">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health care facility as defined in Iowa Code section </w:t>
      </w:r>
      <w:hyperlink r:id="rId83">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health facility as defined in Iowa Code section </w:t>
      </w:r>
      <w:hyperlink r:id="rId84">
        <w:r>
          <w:rPr>
            <w:rStyle w:val="Hyperlink"/>
            <w:rFonts w:ascii="Times New Roman" w:hAnsi="Times New Roman"/>
            <w:b w:val="false"/>
            <w:i w:val="false"/>
            <w:color w:val="000000"/>
            <w:sz w:val="22"/>
          </w:rPr>
          <w:t>135P.1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similar entity that either is a health care provider or employs or provides the services of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agency” </w:t>
      </w:r>
      <w:r>
        <w:rPr>
          <w:rFonts w:ascii="Times New Roman" w:hAnsi="Times New Roman"/>
          <w:b w:val="false"/>
          <w:i w:val="false"/>
          <w:color w:val="000000"/>
          <w:sz w:val="22"/>
        </w:rPr>
        <w:t xml:space="preserve">means any establishment; facility; organization; administrative division; or entity that is owned by a federal, state, or local government that either is a health care provider or employs or provides the services of a health care provider. Establishments, facilities, organizations, administrative divisions, or other entities that are health care providers include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hospital as defined in Iowa Code section </w:t>
      </w:r>
      <w:hyperlink r:id="rId85">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health care facility as defined in Iowa Code section </w:t>
      </w:r>
      <w:hyperlink r:id="rId8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health facility as defined in Iowa Code section </w:t>
      </w:r>
      <w:hyperlink r:id="rId87">
        <w:r>
          <w:rPr>
            <w:rStyle w:val="Hyperlink"/>
            <w:rFonts w:ascii="Times New Roman" w:hAnsi="Times New Roman"/>
            <w:b w:val="false"/>
            <w:i w:val="false"/>
            <w:color w:val="000000"/>
            <w:sz w:val="22"/>
          </w:rPr>
          <w:t>135P.1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similar entity that either is a health care provider or employs or provides the services of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medical practice” </w:t>
      </w:r>
      <w:r>
        <w:rPr>
          <w:rFonts w:ascii="Times New Roman" w:hAnsi="Times New Roman"/>
          <w:b w:val="false"/>
          <w:i w:val="false"/>
          <w:color w:val="000000"/>
          <w:sz w:val="22"/>
        </w:rPr>
        <w:t xml:space="preserve">means the degree of skill, care, and diligence that a physician of the same medical specialty would employ in like circumstances. As applied to the method used to determine the presence of a fetal heartbeat for purposes of Iowa Code chapter </w:t>
      </w:r>
      <w:hyperlink r:id="rId88">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and this rule, “standard medical practice” includes employing the appropriate means of detection depending on the estimated gestational age of the unborn child and the condition of the woman and her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 pregnancy is the result of a rape” </w:t>
      </w:r>
      <w:r>
        <w:rPr>
          <w:rFonts w:ascii="Times New Roman" w:hAnsi="Times New Roman"/>
          <w:b w:val="false"/>
          <w:i w:val="false"/>
          <w:color w:val="000000"/>
          <w:sz w:val="22"/>
        </w:rPr>
        <w:t xml:space="preserve">means a circumstance in which the pregnancy is the result of conduct that would constitute an offense under Iowa Code section </w:t>
      </w:r>
      <w:hyperlink r:id="rId89">
        <w:r>
          <w:rPr>
            <w:rStyle w:val="Hyperlink"/>
            <w:rFonts w:ascii="Times New Roman" w:hAnsi="Times New Roman"/>
            <w:b w:val="false"/>
            <w:i w:val="false"/>
            <w:color w:val="000000"/>
            <w:sz w:val="22"/>
          </w:rPr>
          <w:t>709.2</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709.3</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709.4</w:t>
        </w:r>
      </w:hyperlink>
      <w:r>
        <w:rPr>
          <w:rFonts w:ascii="Times New Roman" w:hAnsi="Times New Roman"/>
          <w:b w:val="false"/>
          <w:i w:val="false"/>
          <w:color w:val="000000"/>
          <w:sz w:val="22"/>
        </w:rPr>
        <w:t xml:space="preserve">, or </w:t>
      </w:r>
      <w:hyperlink r:id="rId92">
        <w:r>
          <w:rPr>
            <w:rStyle w:val="Hyperlink"/>
            <w:rFonts w:ascii="Times New Roman" w:hAnsi="Times New Roman"/>
            <w:b w:val="false"/>
            <w:i w:val="false"/>
            <w:color w:val="000000"/>
            <w:sz w:val="22"/>
          </w:rPr>
          <w:t>709.4A</w:t>
        </w:r>
      </w:hyperlink>
      <w:r>
        <w:rPr>
          <w:rFonts w:ascii="Times New Roman" w:hAnsi="Times New Roman"/>
          <w:b w:val="false"/>
          <w:i w:val="false"/>
          <w:color w:val="000000"/>
          <w:sz w:val="22"/>
        </w:rPr>
        <w:t xml:space="preserve"> when perpetrated against a female, regardless of where the conduct occurred.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 pregnancy is the result of incest” </w:t>
      </w:r>
      <w:r>
        <w:rPr>
          <w:rFonts w:ascii="Times New Roman" w:hAnsi="Times New Roman"/>
          <w:b w:val="false"/>
          <w:i w:val="false"/>
          <w:color w:val="000000"/>
          <w:sz w:val="22"/>
        </w:rPr>
        <w:t>means a circumstance in which a sex act occurs between closely related persons that involves a vaginal penetration that causes a pregnancy. The closely related persons must be related, either legitimately or illegitimately, as an ancestor, descendant, brother or sister of the whole or half blood, aunt, uncle, niece, or nephew. For purposes of this rule, a closely related person includes a stepparent, stepchild, or stepsibling, including siblings through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“Unborn child” </w:t>
      </w:r>
      <w:r>
        <w:rPr>
          <w:rFonts w:ascii="Times New Roman" w:hAnsi="Times New Roman"/>
          <w:b w:val="false"/>
          <w:i w:val="false"/>
          <w:color w:val="000000"/>
          <w:sz w:val="22"/>
        </w:rPr>
        <w:t xml:space="preserve">means an individual organism of the species </w:t>
      </w:r>
      <w:r>
        <w:rPr>
          <w:rFonts w:ascii="Times New Roman" w:hAnsi="Times New Roman"/>
          <w:b w:val="false"/>
          <w:i/>
          <w:color w:val="000000"/>
          <w:sz w:val="22"/>
        </w:rPr>
        <w:t>Homo sapiens</w:t>
      </w:r>
      <w:r>
        <w:rPr>
          <w:rFonts w:ascii="Times New Roman" w:hAnsi="Times New Roman"/>
          <w:b w:val="false"/>
          <w:i w:val="false"/>
          <w:color w:val="000000"/>
          <w:sz w:val="22"/>
        </w:rPr>
        <w:t xml:space="preserve"> from fertilization to live birth—that is, at all stages of development, including embryo and fetus.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“Woman” </w:t>
      </w:r>
      <w:r>
        <w:rPr>
          <w:rFonts w:ascii="Times New Roman" w:hAnsi="Times New Roman"/>
          <w:b w:val="false"/>
          <w:i w:val="false"/>
          <w:color w:val="000000"/>
          <w:sz w:val="22"/>
        </w:rPr>
        <w:t xml:space="preserve">means a female individual regardless of her 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13.17(3)</w:t>
      </w:r>
      <w:r>
        <w:rPr>
          <w:rFonts w:ascii="Times New Roman" w:hAnsi="Times New Roman"/>
          <w:b w:val="false"/>
          <w:i w:val="false"/>
          <w:color w:val="000000"/>
          <w:sz w:val="22"/>
        </w:rPr>
        <w:t> </w:t>
      </w:r>
      <w:r>
        <w:rPr>
          <w:rFonts w:ascii="Times New Roman" w:hAnsi="Times New Roman"/>
          <w:b w:val="false"/>
          <w:i/>
          <w:color w:val="000000"/>
          <w:sz w:val="22"/>
        </w:rPr>
        <w:t xml:space="preserve">Detection of fetal heartbeat. </w:t>
      </w:r>
      <w:r>
        <w:rPr>
          <w:rFonts w:ascii="Times New Roman" w:hAnsi="Times New Roman"/>
          <w:b w:val="false"/>
          <w:i w:val="false"/>
          <w:color w:val="000000"/>
          <w:sz w:val="22"/>
        </w:rPr>
        <w:t>A physician who intends to perform or induce an abortion must determine via ultrasound whether the woman is carrying an unborn child with a detectable fetal heartbeat.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Obligation. </w:t>
      </w:r>
      <w:r>
        <w:rPr>
          <w:rFonts w:ascii="Times New Roman" w:hAnsi="Times New Roman"/>
          <w:b w:val="false"/>
          <w:i w:val="false"/>
          <w:color w:val="000000"/>
          <w:sz w:val="22"/>
        </w:rPr>
        <w:t>The obligation under this rule requires a bona fide effort to detect a fetal heartbeat in the unborn child. This effort must be made in good faith and according to standard medical practice and reasonable medical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 xml:space="preserve">The physician shall perform a transabdominal pelvic ultrasound on the woman to determine whether the unborn child has a detectable fetal heartbeat. This shall be performed in a manner consistent with standard medical practice, with real-time ultrasound equipment with a transducer of appropriate frequency. The equipment must be properly maintained and in proper functioning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13.17(4)</w:t>
      </w:r>
      <w:r>
        <w:rPr>
          <w:rFonts w:ascii="Times New Roman" w:hAnsi="Times New Roman"/>
          <w:b w:val="false"/>
          <w:i w:val="false"/>
          <w:color w:val="000000"/>
          <w:sz w:val="22"/>
        </w:rPr>
        <w:t> </w:t>
      </w:r>
      <w:r>
        <w:rPr>
          <w:rFonts w:ascii="Times New Roman" w:hAnsi="Times New Roman"/>
          <w:b w:val="false"/>
          <w:i/>
          <w:color w:val="000000"/>
          <w:sz w:val="22"/>
        </w:rPr>
        <w:t xml:space="preserve">Fetal heartbeat exceptions. </w:t>
      </w:r>
      <w:r>
        <w:rPr>
          <w:rFonts w:ascii="Times New Roman" w:hAnsi="Times New Roman"/>
          <w:b w:val="false"/>
          <w:i w:val="false"/>
          <w:color w:val="000000"/>
          <w:sz w:val="22"/>
        </w:rPr>
        <w:t xml:space="preserve">The following applies to a physician who intends to perform or induce an abortion under a fetal heartbeat exception as defined in Iowa Code chapter </w:t>
      </w:r>
      <w:hyperlink r:id="rId93">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Incest or rape. </w:t>
      </w:r>
      <w:r>
        <w:rPr>
          <w:rFonts w:ascii="Times New Roman" w:hAnsi="Times New Roman"/>
          <w:b w:val="false"/>
          <w:i w:val="false"/>
          <w:color w:val="000000"/>
          <w:sz w:val="22"/>
        </w:rPr>
        <w:t xml:space="preserve">For purposes of this rule, a pregnancy resulting from incest or rape may be reported within the appropriate time frame to a licensed physician whose services are retained for an abortion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determine whether the pregnancy is the result of incest, a physician who intends to perform or induce an abortion must use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sex act occurred between the woman and a closely related person, meaning, either legitimately or illegitimately, an ancestor, descendant, brother or sister of the whole or half blood, aunt, uncle, niece, or nephew, including a stepparent, stepchild, or stepsibling to include an adopted sibling.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the act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initial reporting was to someone other than the physician who intends to perform or induce an abortion, the date the act was reported to a law enforcement agency, public health agency, private health agency, or family physician.</w:t>
      </w:r>
    </w:p>
    <w:p>
      <w:pPr>
        <w:spacing w:before="0" w:after="0"/>
        <w:ind w:left="120"/>
        <w:jc w:val="both"/>
      </w:pPr>
      <w:r>
        <w:rPr>
          <w:rFonts w:ascii="Times New Roman" w:hAnsi="Times New Roman"/>
          <w:b w:val="false"/>
          <w:i w:val="false"/>
          <w:color w:val="000000"/>
          <w:sz w:val="22"/>
        </w:rPr>
        <w:t xml:space="preserve">The physician who intends to perform or induce an abortion shall use this information to determine whether the fetal heartbeat exception for incest applies. This information does not prescribe the manner in which the physician is to obtain this information. This information and its source shall be documented in the woman’s medical records. </w:t>
      </w:r>
    </w:p>
    <w:p>
      <w:pPr>
        <w:spacing w:before="0" w:after="0"/>
        <w:ind w:left="120"/>
        <w:jc w:val="both"/>
      </w:pPr>
      <w:r>
        <w:rPr>
          <w:rFonts w:ascii="Times New Roman" w:hAnsi="Times New Roman"/>
          <w:b w:val="false"/>
          <w:i w:val="false"/>
          <w:color w:val="000000"/>
          <w:sz w:val="22"/>
        </w:rPr>
        <w:t xml:space="preserve">The physician who intends to perform or induce an abortion may rely on the information received upon a good-faith assessment that the information is true. The physician who intends to perform or induce an abortion may require the person providing the information to sign a certification form attesting that the information is true.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determine whether the pregnancy is the result of a rape, a physician who intends to perform or induce an abortion must use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sex act that caused the pregnancy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 of the woman seeking an abortion at the time of that sex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sex act constituted a rape.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rape was perpetrated against the woman seeking an abortion.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initial reporting was to someone other than the physician who intends to perform or induce an abortion, the date the rape was reported to a law enforcement agency, public health agency, private health agency, or family physician.</w:t>
      </w:r>
    </w:p>
    <w:p>
      <w:pPr>
        <w:spacing w:before="0" w:after="0"/>
        <w:ind w:left="120"/>
        <w:jc w:val="both"/>
      </w:pPr>
      <w:r>
        <w:rPr>
          <w:rFonts w:ascii="Times New Roman" w:hAnsi="Times New Roman"/>
          <w:b w:val="false"/>
          <w:i w:val="false"/>
          <w:color w:val="000000"/>
          <w:sz w:val="22"/>
        </w:rPr>
        <w:t>The physician who intends to perform or induce an abortion shall use this information to determine whether the fetal heartbeat exception for rape applies. This rule does not prescribe the manner in which the physician is to obtain this information. This information and its source shall be documented in the woman’s medical records.</w:t>
      </w:r>
    </w:p>
    <w:p>
      <w:pPr>
        <w:spacing w:before="0" w:after="0"/>
        <w:ind w:left="120"/>
        <w:jc w:val="both"/>
      </w:pPr>
      <w:r>
        <w:rPr>
          <w:rFonts w:ascii="Times New Roman" w:hAnsi="Times New Roman"/>
          <w:b w:val="false"/>
          <w:i w:val="false"/>
          <w:color w:val="000000"/>
          <w:sz w:val="22"/>
        </w:rPr>
        <w:t xml:space="preserve">The physician who intends to perform or induce an abortion may rely on the information received upon a good-faith assessment that the information is true. The physician who intends to perform or induce an abortion may require the person providing the information to sign a certification form attesting that the information is true.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Fetal abnormality. </w:t>
      </w:r>
      <w:r>
        <w:rPr>
          <w:rFonts w:ascii="Times New Roman" w:hAnsi="Times New Roman"/>
          <w:b w:val="false"/>
          <w:i w:val="false"/>
          <w:color w:val="000000"/>
          <w:sz w:val="22"/>
        </w:rPr>
        <w:t>A certification from an attending physician that a fetus has a fetal abnormality that in the attending physician’s reasonable medical judgment is incompatible with life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diagnosis of the abnormality;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basis for the diagnosis, including the tests and procedures performed, the results of those tests and procedures, and why those results support the diagnosis;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why the abnormality is incompatible with life.</w:t>
      </w:r>
    </w:p>
    <w:p>
      <w:pPr>
        <w:spacing w:before="0" w:after="0"/>
        <w:ind w:left="120"/>
        <w:jc w:val="both"/>
      </w:pPr>
      <w:r>
        <w:rPr>
          <w:rFonts w:ascii="Times New Roman" w:hAnsi="Times New Roman"/>
          <w:b w:val="false"/>
          <w:i w:val="false"/>
          <w:color w:val="000000"/>
          <w:sz w:val="22"/>
        </w:rPr>
        <w:t>The diagnosis and the attending physician’s conclusion must be reached in good faith following a bona fide effort, consistent with standard medical practice and reasonable medical judgment, to determine the health of the fetus. The certification must be signed by the attending physician. A physician who intends to perform or induce an abortion may rely in good faith on a certification from an attending physician if the physician who intends to perform or induce an abortion has a copy of the certification. The certification must be included in the woman’s medical records by the physician who intends to perform or induce an abortion.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13.17(5)</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 xml:space="preserve">Failure to comply with this rule or the requirements of Iowa Code chapter </w:t>
      </w:r>
      <w:hyperlink r:id="rId94">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may constitute grounds for discipline.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5">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653—13.18</w:t>
      </w:r>
      <w:r>
        <w:rPr>
          <w:rFonts w:ascii="Times New Roman" w:hAnsi="Times New Roman"/>
          <w:b w:val="false"/>
          <w:i w:val="false"/>
          <w:color w:val="000000"/>
          <w:sz w:val="22"/>
        </w:rPr>
        <w:t xml:space="preserve"> and </w:t>
      </w:r>
      <w:r>
        <w:rPr>
          <w:rFonts w:ascii="Times New Roman" w:hAnsi="Times New Roman"/>
          <w:b/>
          <w:i w:val="false"/>
          <w:color w:val="000000"/>
          <w:sz w:val="22"/>
        </w:rPr>
        <w:t>13.19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653—13.20</w:t>
      </w:r>
      <w:r>
        <w:rPr>
          <w:rFonts w:ascii="Times New Roman" w:hAnsi="Times New Roman"/>
          <w:b/>
          <w:i w:val="false"/>
          <w:color w:val="000000"/>
          <w:sz w:val="22"/>
        </w:rPr>
        <w:t xml:space="preserve">(147,148) </w:t>
      </w:r>
      <w:r>
        <w:rPr>
          <w:rFonts w:ascii="Times New Roman" w:hAnsi="Times New Roman"/>
          <w:b/>
          <w:i w:val="false"/>
          <w:color w:val="000000"/>
          <w:sz w:val="22"/>
        </w:rPr>
        <w:t xml:space="preserve">Principles of medical ethics. </w:t>
      </w:r>
      <w:r>
        <w:rPr>
          <w:rFonts w:ascii="Times New Roman" w:hAnsi="Times New Roman"/>
          <w:b w:val="false"/>
          <w:i w:val="false"/>
          <w:color w:val="000000"/>
          <w:sz w:val="22"/>
        </w:rPr>
        <w:t>The Code of Medical Ethics (2002-2003) prepared and approved by the American Medical Association and the Code of Ethics (2002-2003) prepared and approved by the American Osteopathic Association shall be utilized by the board as guiding principles in the practice of medicine and surgery and osteopathic medicine and surgery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13.20(1)</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physician should not provide medical services under terms or conditions which tend to interfere with or impair the free and complete exercise of the physician’s medical judgment and skill or tend to cause a deterioration of the quality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Any fee charged by a physician shall be reasonable.</w:t>
      </w:r>
    </w:p>
    <w:p>
      <w:pPr>
        <w:spacing w:before="0" w:after="0"/>
        <w:ind w:left="120"/>
        <w:jc w:val="both"/>
      </w:pPr>
      <w:r>
        <w:rPr>
          <w:rFonts w:ascii="Times New Roman" w:hAnsi="Times New Roman"/>
          <w:b/>
          <w:i w:val="false"/>
          <w:color w:val="000000"/>
          <w:sz w:val="22"/>
        </w:rPr>
        <w:t>653—13.21</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Waiver prohibited. </w:t>
      </w:r>
      <w:r>
        <w:rPr>
          <w:rFonts w:ascii="Times New Roman" w:hAnsi="Times New Roman"/>
          <w:b w:val="false"/>
          <w:i w:val="false"/>
          <w:color w:val="000000"/>
          <w:sz w:val="22"/>
        </w:rPr>
        <w:t xml:space="preserve">Rules in this chapter are not subject to waiver pursuant to </w:t>
      </w:r>
      <w:hyperlink r:id="rId96">
        <w:r>
          <w:rPr>
            <w:rStyle w:val="Hyperlink"/>
            <w:rFonts w:ascii="Times New Roman" w:hAnsi="Times New Roman"/>
            <w:b w:val="false"/>
            <w:i w:val="false"/>
            <w:color w:val="000000"/>
            <w:sz w:val="22"/>
          </w:rPr>
          <w:t>653—Chapter 3</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3/13/81, Notice 1/7/81—published 4/1/81, effective 5/6/81]</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5/11/90, Notice 3/7/90—published 5/30/90, effective 6/6/90]</w:t>
      </w:r>
    </w:p>
    <w:p>
      <w:pPr>
        <w:spacing w:before="0" w:after="0"/>
        <w:ind w:left="120"/>
        <w:jc w:val="center"/>
      </w:pPr>
      <w:r>
        <w:rPr>
          <w:rFonts w:ascii="Times New Roman" w:hAnsi="Times New Roman"/>
          <w:b w:val="false"/>
          <w:i w:val="false"/>
          <w:color w:val="000000"/>
          <w:sz w:val="21"/>
        </w:rPr>
        <w:t>[Filed 3/22/96, Notice 9/27/95—published 4/10/96, effective 6/15/96]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11/22/96, Notice 8/28/96—published 12/18/96, effective 1/22/97]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11/7/00, Notice 4/19/00—published 11/29/00, effective 1/3/01]</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2/16/01, Notice 12/27/00—published 3/7/01, effective 4/11/01]</w:t>
      </w:r>
    </w:p>
    <w:p>
      <w:pPr>
        <w:spacing w:before="0" w:after="0"/>
        <w:ind w:left="120"/>
        <w:jc w:val="center"/>
      </w:pPr>
      <w:r>
        <w:rPr>
          <w:rFonts w:ascii="Times New Roman" w:hAnsi="Times New Roman"/>
          <w:b w:val="false"/>
          <w:i w:val="false"/>
          <w:color w:val="000000"/>
          <w:sz w:val="21"/>
        </w:rPr>
        <w:t>[Filed emergency 8/31/01 after Notice 7/25/01—published 9/19/01, effective 8/31/01]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1/3/03, Notice 11/27/02—published 1/22/03, effective 2/26/03]</w:t>
      </w:r>
    </w:p>
    <w:p>
      <w:pPr>
        <w:spacing w:before="0" w:after="0"/>
        <w:ind w:left="120"/>
        <w:jc w:val="center"/>
      </w:pPr>
      <w:r>
        <w:rPr>
          <w:rFonts w:ascii="Times New Roman" w:hAnsi="Times New Roman"/>
          <w:b w:val="false"/>
          <w:i w:val="false"/>
          <w:color w:val="000000"/>
          <w:sz w:val="21"/>
        </w:rPr>
        <w:t>[Filed 12/4/03, Notice 8/20/03—published 12/24/03, effective 1/28/04]</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5/3/06, Notice 2/15/06—published 5/24/06, effective 10/1/06]</w:t>
      </w:r>
    </w:p>
    <w:p>
      <w:pPr>
        <w:spacing w:before="0" w:after="0"/>
        <w:ind w:left="120"/>
        <w:jc w:val="center"/>
      </w:pPr>
      <w:r>
        <w:rPr>
          <w:rFonts w:ascii="Times New Roman" w:hAnsi="Times New Roman"/>
          <w:b w:val="false"/>
          <w:i w:val="false"/>
          <w:color w:val="000000"/>
          <w:sz w:val="21"/>
        </w:rPr>
        <w:t>[Filed 6/28/07, Notice 5/9/07—published 8/1/07, effective 9/5/07]</w:t>
      </w:r>
    </w:p>
    <w:p>
      <w:pPr>
        <w:spacing w:before="0" w:after="0"/>
        <w:ind w:left="120"/>
        <w:jc w:val="center"/>
      </w:pPr>
      <w:r>
        <w:rPr>
          <w:rFonts w:ascii="Times New Roman" w:hAnsi="Times New Roman"/>
          <w:b w:val="false"/>
          <w:i w:val="false"/>
          <w:color w:val="000000"/>
          <w:sz w:val="21"/>
        </w:rPr>
        <w:t>[Filed 4/3/08, Notice 2/13/08—published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8918B</w:t>
      </w:r>
      <w:r>
        <w:rPr>
          <w:rFonts w:ascii="Times New Roman" w:hAnsi="Times New Roman"/>
          <w:b w:val="false"/>
          <w:i w:val="false"/>
          <w:color w:val="000000"/>
          <w:sz w:val="21"/>
        </w:rPr>
        <w:t xml:space="preserve"> (Notice ARC 8579B, IAB 3/10/10)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9088B</w:t>
      </w:r>
      <w:r>
        <w:rPr>
          <w:rFonts w:ascii="Times New Roman" w:hAnsi="Times New Roman"/>
          <w:b w:val="false"/>
          <w:i w:val="false"/>
          <w:color w:val="000000"/>
          <w:sz w:val="21"/>
        </w:rPr>
        <w:t xml:space="preserve"> (Notice ARC 8925B, IAB 6/30/10)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9599B</w:t>
      </w:r>
      <w:r>
        <w:rPr>
          <w:rFonts w:ascii="Times New Roman" w:hAnsi="Times New Roman"/>
          <w:b w:val="false"/>
          <w:i w:val="false"/>
          <w:color w:val="000000"/>
          <w:sz w:val="21"/>
        </w:rPr>
        <w:t xml:space="preserve"> (Notice ARC 9414B,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1033C</w:t>
      </w:r>
      <w:r>
        <w:rPr>
          <w:rFonts w:ascii="Times New Roman" w:hAnsi="Times New Roman"/>
          <w:b w:val="false"/>
          <w:i w:val="false"/>
          <w:color w:val="000000"/>
          <w:sz w:val="21"/>
        </w:rPr>
        <w:t xml:space="preserve"> (Notice ARC 0890C,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1034C</w:t>
      </w:r>
      <w:r>
        <w:rPr>
          <w:rFonts w:ascii="Times New Roman" w:hAnsi="Times New Roman"/>
          <w:b w:val="false"/>
          <w:i w:val="false"/>
          <w:color w:val="000000"/>
          <w:sz w:val="21"/>
        </w:rPr>
        <w:t xml:space="preserve"> (Notice ARC 0891C,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1983C</w:t>
      </w:r>
      <w:r>
        <w:rPr>
          <w:rFonts w:ascii="Times New Roman" w:hAnsi="Times New Roman"/>
          <w:b w:val="false"/>
          <w:i w:val="false"/>
          <w:color w:val="000000"/>
          <w:sz w:val="21"/>
        </w:rPr>
        <w:t xml:space="preserve"> (Notice ARC 1769C, IAB 12/10/14)</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2387C</w:t>
      </w:r>
      <w:r>
        <w:rPr>
          <w:rFonts w:ascii="Times New Roman" w:hAnsi="Times New Roman"/>
          <w:b w:val="false"/>
          <w:i w:val="false"/>
          <w:color w:val="000000"/>
          <w:sz w:val="21"/>
        </w:rPr>
        <w:t xml:space="preserve"> (Notice ARC 2249C, IAB 11/25/15)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2705C</w:t>
      </w:r>
      <w:r>
        <w:rPr>
          <w:rFonts w:ascii="Times New Roman" w:hAnsi="Times New Roman"/>
          <w:b w:val="false"/>
          <w:i w:val="false"/>
          <w:color w:val="000000"/>
          <w:sz w:val="21"/>
        </w:rPr>
        <w:t xml:space="preserve"> (Notice ARC 2535C, IAB 5/11/16)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3588C</w:t>
      </w:r>
      <w:r>
        <w:rPr>
          <w:rFonts w:ascii="Times New Roman" w:hAnsi="Times New Roman"/>
          <w:b w:val="false"/>
          <w:i w:val="false"/>
          <w:color w:val="000000"/>
          <w:sz w:val="21"/>
        </w:rPr>
        <w:t xml:space="preserve"> (Notice ARC 3360C, IAB 10/11/17)</w:t>
      </w:r>
      <w:r>
        <w:rPr>
          <w:rFonts w:ascii="Times New Roman" w:hAnsi="Times New Roman"/>
          <w:b w:val="false"/>
          <w:i w:val="false"/>
          <w:color w:val="000000"/>
          <w:sz w:val="21"/>
        </w:rPr>
        <w:t>, IAB 1/17/18, effective 2/21/18]</w:t>
      </w:r>
      <w:r>
        <w:br/>
      </w:r>
      <w:r>
        <w:rPr>
          <w:rFonts w:ascii="Times New Roman" w:hAnsi="Times New Roman"/>
          <w:b w:val="false"/>
          <w:i w:val="false"/>
          <w:color w:val="000000"/>
          <w:sz w:val="21"/>
        </w:rPr>
        <w:t>[Filed ARC 3589C</w:t>
      </w:r>
      <w:r>
        <w:rPr>
          <w:rFonts w:ascii="Times New Roman" w:hAnsi="Times New Roman"/>
          <w:b w:val="false"/>
          <w:i w:val="false"/>
          <w:color w:val="000000"/>
          <w:sz w:val="21"/>
        </w:rPr>
        <w:t xml:space="preserve"> (Notice ARC 3361C, IAB 10/11/17)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3830C</w:t>
      </w:r>
      <w:r>
        <w:rPr>
          <w:rFonts w:ascii="Times New Roman" w:hAnsi="Times New Roman"/>
          <w:b w:val="false"/>
          <w:i w:val="false"/>
          <w:color w:val="000000"/>
          <w:sz w:val="21"/>
        </w:rPr>
        <w:t xml:space="preserve"> (Notice ARC 3675C, IAB 3/14/18)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4247C</w:t>
      </w:r>
      <w:r>
        <w:rPr>
          <w:rFonts w:ascii="Times New Roman" w:hAnsi="Times New Roman"/>
          <w:b w:val="false"/>
          <w:i w:val="false"/>
          <w:color w:val="000000"/>
          <w:sz w:val="21"/>
        </w:rPr>
        <w:t xml:space="preserve"> (Notice ARC 4093C, IAB 10/24/18)</w:t>
      </w:r>
      <w:r>
        <w:rPr>
          <w:rFonts w:ascii="Times New Roman" w:hAnsi="Times New Roman"/>
          <w:b w:val="false"/>
          <w:i w:val="false"/>
          <w:color w:val="000000"/>
          <w:sz w:val="21"/>
        </w:rPr>
        <w:t>, IAB 1/16/19, effective 2/20/19]</w:t>
      </w:r>
      <w:r>
        <w:br/>
      </w:r>
      <w:r>
        <w:rPr>
          <w:rFonts w:ascii="Times New Roman" w:hAnsi="Times New Roman"/>
          <w:b w:val="false"/>
          <w:i w:val="false"/>
          <w:color w:val="000000"/>
          <w:sz w:val="21"/>
        </w:rPr>
        <w:t>[Filed ARC 4248C</w:t>
      </w:r>
      <w:r>
        <w:rPr>
          <w:rFonts w:ascii="Times New Roman" w:hAnsi="Times New Roman"/>
          <w:b w:val="false"/>
          <w:i w:val="false"/>
          <w:color w:val="000000"/>
          <w:sz w:val="21"/>
        </w:rPr>
        <w:t xml:space="preserve"> (Notice ARC 4082C, IAB 10/24/18)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4377C</w:t>
      </w:r>
      <w:r>
        <w:rPr>
          <w:rFonts w:ascii="Times New Roman" w:hAnsi="Times New Roman"/>
          <w:b w:val="false"/>
          <w:i w:val="false"/>
          <w:color w:val="000000"/>
          <w:sz w:val="21"/>
        </w:rPr>
        <w:t xml:space="preserve"> (Notice ARC 4241C,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4658C</w:t>
      </w:r>
      <w:r>
        <w:rPr>
          <w:rFonts w:ascii="Times New Roman" w:hAnsi="Times New Roman"/>
          <w:b w:val="false"/>
          <w:i w:val="false"/>
          <w:color w:val="000000"/>
          <w:sz w:val="21"/>
        </w:rPr>
        <w:t xml:space="preserve"> (Notice ARC 4445C, IAB 5/22/19)</w:t>
      </w:r>
      <w:r>
        <w:rPr>
          <w:rFonts w:ascii="Times New Roman" w:hAnsi="Times New Roman"/>
          <w:b w:val="false"/>
          <w:i w:val="false"/>
          <w:color w:val="000000"/>
          <w:sz w:val="21"/>
        </w:rPr>
        <w:t>, IAB 9/11/19, effective 10/16/19]</w:t>
      </w:r>
    </w:p>
    <w:p>
      <w:pPr>
        <w:spacing w:before="0" w:after="0"/>
        <w:ind w:left="120"/>
        <w:jc w:val="center"/>
      </w:pPr>
      <w:r>
        <w:rPr>
          <w:rFonts w:ascii="Times New Roman" w:hAnsi="Times New Roman"/>
          <w:b w:val="false"/>
          <w:i w:val="false"/>
          <w:color w:val="000000"/>
          <w:sz w:val="21"/>
        </w:rPr>
        <w:t>[Filed ARC 4714C</w:t>
      </w:r>
      <w:r>
        <w:rPr>
          <w:rFonts w:ascii="Times New Roman" w:hAnsi="Times New Roman"/>
          <w:b w:val="false"/>
          <w:i w:val="false"/>
          <w:color w:val="000000"/>
          <w:sz w:val="21"/>
        </w:rPr>
        <w:t xml:space="preserve"> (Notice ARC 4382C, IAB 4/10/19)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5861C</w:t>
      </w:r>
      <w:r>
        <w:rPr>
          <w:rFonts w:ascii="Times New Roman" w:hAnsi="Times New Roman"/>
          <w:b w:val="false"/>
          <w:i w:val="false"/>
          <w:color w:val="000000"/>
          <w:sz w:val="21"/>
        </w:rPr>
        <w:t xml:space="preserve"> (Notice ARC 5668C,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6442C</w:t>
      </w:r>
      <w:r>
        <w:rPr>
          <w:rFonts w:ascii="Times New Roman" w:hAnsi="Times New Roman"/>
          <w:b w:val="false"/>
          <w:i w:val="false"/>
          <w:color w:val="000000"/>
          <w:sz w:val="21"/>
        </w:rPr>
        <w:t xml:space="preserve"> (Notice ARC 6284C, IAB 4/6/22)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6683C</w:t>
      </w:r>
      <w:r>
        <w:rPr>
          <w:rFonts w:ascii="Times New Roman" w:hAnsi="Times New Roman"/>
          <w:b w:val="false"/>
          <w:i w:val="false"/>
          <w:color w:val="000000"/>
          <w:sz w:val="21"/>
        </w:rPr>
        <w:t xml:space="preserve"> (Notice ARC 6381C, IAB 6/29/22)</w:t>
      </w:r>
      <w:r>
        <w:rPr>
          <w:rFonts w:ascii="Times New Roman" w:hAnsi="Times New Roman"/>
          <w:b w:val="false"/>
          <w:i w:val="false"/>
          <w:color w:val="000000"/>
          <w:sz w:val="21"/>
        </w:rPr>
        <w:t>, IAB 11/30/22, effective 1/4/23]</w:t>
      </w:r>
      <w:r>
        <w:br/>
      </w:r>
      <w:r>
        <w:rPr>
          <w:rFonts w:ascii="Times New Roman" w:hAnsi="Times New Roman"/>
          <w:b w:val="false"/>
          <w:i w:val="false"/>
          <w:color w:val="000000"/>
          <w:sz w:val="21"/>
        </w:rPr>
        <w:t>[Filed ARC 6684C</w:t>
      </w:r>
      <w:r>
        <w:rPr>
          <w:rFonts w:ascii="Times New Roman" w:hAnsi="Times New Roman"/>
          <w:b w:val="false"/>
          <w:i w:val="false"/>
          <w:color w:val="000000"/>
          <w:sz w:val="21"/>
        </w:rPr>
        <w:t xml:space="preserve"> (Notice ARC 6461C, IAB 8/10/22)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6941C</w:t>
      </w:r>
      <w:r>
        <w:rPr>
          <w:rFonts w:ascii="Times New Roman" w:hAnsi="Times New Roman"/>
          <w:b w:val="false"/>
          <w:i w:val="false"/>
          <w:color w:val="000000"/>
          <w:sz w:val="21"/>
        </w:rPr>
        <w:t xml:space="preserve"> (Notice ARC 6694C, IAB 11/30/22)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7720C</w:t>
      </w:r>
      <w:r>
        <w:rPr>
          <w:rFonts w:ascii="Times New Roman" w:hAnsi="Times New Roman"/>
          <w:b w:val="false"/>
          <w:i w:val="false"/>
          <w:color w:val="000000"/>
          <w:sz w:val="21"/>
        </w:rPr>
        <w:t xml:space="preserve"> (Notice ARC 7170C, IAB 12/13/23)</w:t>
      </w:r>
      <w:r>
        <w:rPr>
          <w:rFonts w:ascii="Times New Roman" w:hAnsi="Times New Roman"/>
          <w:b w:val="false"/>
          <w:i w:val="false"/>
          <w:color w:val="000000"/>
          <w:sz w:val="21"/>
        </w:rPr>
        <w:t>, IAB 3/20/24, effective 4/24/24]</w:t>
      </w:r>
    </w:p>
    <w:p>
      <w:pPr>
        <w:pBdr>
          <w:bottom w:space="2"/>
        </w:pBdr>
        <w:spacing w:before="0" w:after="0"/>
        <w:ind w:left="120"/>
        <w:jc w:val="both"/>
      </w:pPr>
      <w:r>
        <w:rPr>
          <w:rFonts w:ascii="Times New Roman" w:hAnsi="Times New Roman"/>
          <w:b w:val="false"/>
          <w:i w:val="false"/>
          <w:color w:val="000000"/>
          <w:sz w:val="22"/>
        </w:rPr>
        <w:t>Effective date of 13.2(148,272C) delayed 70 days by the Administrative Rules Review Committee at its meeting held May 14, 1996.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3.13.1.pdf" Type="http://schemas.openxmlformats.org/officeDocument/2006/relationships/hyperlink" Id="rId5"/>
    <Relationship TargetMode="External" Target="https://www.legis.iowa.gov/docs/iac/rule/653.13.1.pdf" Type="http://schemas.openxmlformats.org/officeDocument/2006/relationships/hyperlink" Id="rId6"/>
    <Relationship TargetMode="External" Target="https://www.legis.iowa.gov/docs/iac/rule/653.13.1.pdf" Type="http://schemas.openxmlformats.org/officeDocument/2006/relationships/hyperlink" Id="rId7"/>
    <Relationship TargetMode="External" Target="https://www.legis.iowa.gov/docs/ico/chapter/147.55.pdf" Type="http://schemas.openxmlformats.org/officeDocument/2006/relationships/hyperlink" Id="rId8"/>
    <Relationship TargetMode="External" Target="https://www.legis.iowa.gov/docs/ico/chapter/148.6.pdf" Type="http://schemas.openxmlformats.org/officeDocument/2006/relationships/hyperlink" Id="rId9"/>
    <Relationship TargetMode="External" Target="https://www.legis.iowa.gov/docs/ico/chapter/272C.3.pdf" Type="http://schemas.openxmlformats.org/officeDocument/2006/relationships/hyperlink" Id="rId10"/>
    <Relationship TargetMode="External" Target="https://www.legis.iowa.gov/docs/ico/chapter/272C.4.pdf" Type="http://schemas.openxmlformats.org/officeDocument/2006/relationships/hyperlink" Id="rId11"/>
    <Relationship TargetMode="External" Target="http://www.medicalboard.iowa.gov" Type="http://schemas.openxmlformats.org/officeDocument/2006/relationships/hyperlink" Id="rId12"/>
    <Relationship TargetMode="External" Target="https://www.legis.iowa.gov/docs/ico/chapter/124.551-558.pdf" Type="http://schemas.openxmlformats.org/officeDocument/2006/relationships/hyperlink" Id="rId13"/>
    <Relationship TargetMode="External" Target="http://www.medicalboard.iowa.gov" Type="http://schemas.openxmlformats.org/officeDocument/2006/relationships/hyperlink" Id="rId14"/>
    <Relationship TargetMode="External" Target="https://www.legis.iowa.gov/docs/ico/chapter/124.308.pdf" Type="http://schemas.openxmlformats.org/officeDocument/2006/relationships/hyperlink" Id="rId15"/>
    <Relationship TargetMode="External" Target="https://www.legis.iowa.gov/docs/iac/chapter/653.23.pdf" Type="http://schemas.openxmlformats.org/officeDocument/2006/relationships/hyperlink" Id="rId16"/>
    <Relationship TargetMode="External" Target="https://www.legis.iowa.gov/docs/ico/chapter/124.553.pdf" Type="http://schemas.openxmlformats.org/officeDocument/2006/relationships/hyperlink" Id="rId17"/>
    <Relationship TargetMode="External" Target="https://www.legis.iowa.gov/docs/ico/chapter/124.553.pdf" Type="http://schemas.openxmlformats.org/officeDocument/2006/relationships/hyperlink" Id="rId18"/>
    <Relationship TargetMode="External" Target="https://www.legis.iowa.gov/docs/ico/chapter/124.pdf" Type="http://schemas.openxmlformats.org/officeDocument/2006/relationships/hyperlink" Id="rId19"/>
    <Relationship TargetMode="External" Target="https://www.legis.iowa.gov/docs/ico/chapter/124.553.pdf" Type="http://schemas.openxmlformats.org/officeDocument/2006/relationships/hyperlink" Id="rId20"/>
    <Relationship TargetMode="External" Target="https://www.legis.iowa.gov/docs/ico/chapter/124.553.pdf" Type="http://schemas.openxmlformats.org/officeDocument/2006/relationships/hyperlink" Id="rId21"/>
    <Relationship TargetMode="External" Target="https://www.legis.iowa.gov/docs/ico/chapter/124.pdf" Type="http://schemas.openxmlformats.org/officeDocument/2006/relationships/hyperlink" Id="rId22"/>
    <Relationship TargetMode="External" Target="https://www.legis.iowa.gov/docs/ico/chapter/148.pdf" Type="http://schemas.openxmlformats.org/officeDocument/2006/relationships/hyperlink" Id="rId23"/>
    <Relationship TargetMode="External" Target="https://www.legis.iowa.gov/docs/ico/chapter/272C.pdf" Type="http://schemas.openxmlformats.org/officeDocument/2006/relationships/hyperlink" Id="rId24"/>
    <Relationship TargetMode="External" Target="https://www.legis.iowa.gov/docs/ico/chapter/147.pdf" Type="http://schemas.openxmlformats.org/officeDocument/2006/relationships/hyperlink" Id="rId25"/>
    <Relationship TargetMode="External" Target="https://www.legis.iowa.gov/docs/ico/chapter/148.pdf" Type="http://schemas.openxmlformats.org/officeDocument/2006/relationships/hyperlink" Id="rId26"/>
    <Relationship TargetMode="External" Target="https://www.legis.iowa.gov/docs/ico/chapter/147.107.pdf" Type="http://schemas.openxmlformats.org/officeDocument/2006/relationships/hyperlink" Id="rId27"/>
    <Relationship TargetMode="External" Target="https://www.legis.iowa.gov/docs/ico/chapter/614.8.pdf" Type="http://schemas.openxmlformats.org/officeDocument/2006/relationships/hyperlink" Id="rId28"/>
    <Relationship TargetMode="External" Target="https://www.legis.iowa.gov/docs/iac/chapter/645.326.pdf" Type="http://schemas.openxmlformats.org/officeDocument/2006/relationships/hyperlink" Id="rId29"/>
    <Relationship TargetMode="External" Target="https://www.legis.iowa.gov/docs/iac/chapter/645.327.pdf" Type="http://schemas.openxmlformats.org/officeDocument/2006/relationships/hyperlink" Id="rId30"/>
    <Relationship TargetMode="External" Target="https://www.legis.iowa.gov/docs/ico/chapter/135L.pdf" Type="http://schemas.openxmlformats.org/officeDocument/2006/relationships/hyperlink" Id="rId31"/>
    <Relationship TargetMode="External" Target="https://www.legis.iowa.gov/docs/iac/rule/641.89.12.pdf" Type="http://schemas.openxmlformats.org/officeDocument/2006/relationships/hyperlink" Id="rId32"/>
    <Relationship TargetMode="External" Target="https://www.legis.iowa.gov/docs/iac/rule/641.89.21.pdf" Type="http://schemas.openxmlformats.org/officeDocument/2006/relationships/hyperlink" Id="rId33"/>
    <Relationship TargetMode="External" Target="https://www.legis.iowa.gov/docs/iac/rule/653.9.2.pdf" Type="http://schemas.openxmlformats.org/officeDocument/2006/relationships/hyperlink" Id="rId34"/>
    <Relationship TargetMode="External" Target="https://www.legis.iowa.gov/docs/iac/rule/653.13.11.pdf" Type="http://schemas.openxmlformats.org/officeDocument/2006/relationships/hyperlink" Id="rId35"/>
    <Relationship TargetMode="External" Target="https://www.legis.iowa.gov/docs/iac/rule/653.13.10.pdf" Type="http://schemas.openxmlformats.org/officeDocument/2006/relationships/hyperlink" Id="rId36"/>
    <Relationship TargetMode="External" Target="https://www.legis.iowa.gov/docs/ico/chapter/147.pdf" Type="http://schemas.openxmlformats.org/officeDocument/2006/relationships/hyperlink" Id="rId37"/>
    <Relationship TargetMode="External" Target="https://www.legis.iowa.gov/docs/ico/chapter/148.pdf" Type="http://schemas.openxmlformats.org/officeDocument/2006/relationships/hyperlink" Id="rId38"/>
    <Relationship TargetMode="External" Target="https://www.legis.iowa.gov/docs/ico/chapter/272C.pdf" Type="http://schemas.openxmlformats.org/officeDocument/2006/relationships/hyperlink" Id="rId39"/>
    <Relationship TargetMode="External" Target="https://www.legis.iowa.gov/docs/ico/chapter/135.185.pdf" Type="http://schemas.openxmlformats.org/officeDocument/2006/relationships/hyperlink" Id="rId40"/>
    <Relationship TargetMode="External" Target="https://www.legis.iowa.gov/docs/ico/chapter/135.185.pdf" Type="http://schemas.openxmlformats.org/officeDocument/2006/relationships/hyperlink" Id="rId41"/>
    <Relationship TargetMode="External" Target="https://www.legis.iowa.gov/docs/ico/chapter/135.190.pdf" Type="http://schemas.openxmlformats.org/officeDocument/2006/relationships/hyperlink" Id="rId42"/>
    <Relationship TargetMode="External" Target="https://www.legis.iowa.gov/docs/ico/chapter/280.16.pdf" Type="http://schemas.openxmlformats.org/officeDocument/2006/relationships/hyperlink" Id="rId43"/>
    <Relationship TargetMode="External" Target="https://www.legis.iowa.gov/docs/ico/chapter/280.16A.pdf" Type="http://schemas.openxmlformats.org/officeDocument/2006/relationships/hyperlink" Id="rId44"/>
    <Relationship TargetMode="External" Target="https://www.legis.iowa.gov/docs/ico/chapter/135.185.pdf" Type="http://schemas.openxmlformats.org/officeDocument/2006/relationships/hyperlink" Id="rId45"/>
    <Relationship TargetMode="External" Target="https://www.legis.iowa.gov/docs/ico/chapter/135.190.pdf" Type="http://schemas.openxmlformats.org/officeDocument/2006/relationships/hyperlink" Id="rId46"/>
    <Relationship TargetMode="External" Target="https://www.legis.iowa.gov/docs/ico/chapter/280.16.pdf" Type="http://schemas.openxmlformats.org/officeDocument/2006/relationships/hyperlink" Id="rId47"/>
    <Relationship TargetMode="External" Target="https://www.legis.iowa.gov/docs/ico/chapter/280.16A.pdf" Type="http://schemas.openxmlformats.org/officeDocument/2006/relationships/hyperlink" Id="rId48"/>
    <Relationship TargetMode="External" Target="https://www.legis.iowa.gov/docs/ico/chapter/707A.2.pdf" Type="http://schemas.openxmlformats.org/officeDocument/2006/relationships/hyperlink" Id="rId49"/>
    <Relationship TargetMode="External" Target="https://www.legis.iowa.gov/docs/ico/chapter/707A.2.pdf" Type="http://schemas.openxmlformats.org/officeDocument/2006/relationships/hyperlink" Id="rId50"/>
    <Relationship TargetMode="External" Target="https://www.legis.iowa.gov/docs/ico/chapter/144E.pdf" Type="http://schemas.openxmlformats.org/officeDocument/2006/relationships/hyperlink" Id="rId51"/>
    <Relationship TargetMode="External" Target="https://www.legis.iowa.gov/docs/ico/chapter/147.pdf" Type="http://schemas.openxmlformats.org/officeDocument/2006/relationships/hyperlink" Id="rId52"/>
    <Relationship TargetMode="External" Target="https://www.legis.iowa.gov/docs/ico/chapter/148.pdf" Type="http://schemas.openxmlformats.org/officeDocument/2006/relationships/hyperlink" Id="rId53"/>
    <Relationship TargetMode="External" Target="https://www.legis.iowa.gov/docs/ico/chapter/272C.pdf" Type="http://schemas.openxmlformats.org/officeDocument/2006/relationships/hyperlink" Id="rId54"/>
    <Relationship TargetMode="External" Target="https://www.legis.iowa.gov/docs/ico/chapter/148.pdf" Type="http://schemas.openxmlformats.org/officeDocument/2006/relationships/hyperlink" Id="rId55"/>
    <Relationship TargetMode="External" Target="https://www.legis.iowa.gov/docs/iac/chapter/653.23.pdf" Type="http://schemas.openxmlformats.org/officeDocument/2006/relationships/hyperlink" Id="rId56"/>
    <Relationship TargetMode="External" Target="https://www.legis.iowa.gov/docs/ico/chapter/147.pdf" Type="http://schemas.openxmlformats.org/officeDocument/2006/relationships/hyperlink" Id="rId57"/>
    <Relationship TargetMode="External" Target="https://www.legis.iowa.gov/docs/ico/chapter/148.pdf" Type="http://schemas.openxmlformats.org/officeDocument/2006/relationships/hyperlink" Id="rId58"/>
    <Relationship TargetMode="External" Target="https://www.legis.iowa.gov/docs/ico/chapter/272C.pdf" Type="http://schemas.openxmlformats.org/officeDocument/2006/relationships/hyperlink" Id="rId59"/>
    <Relationship TargetMode="External" Target="https://www.legis.iowa.gov/docs/ico/chapter/147.pdf" Type="http://schemas.openxmlformats.org/officeDocument/2006/relationships/hyperlink" Id="rId60"/>
    <Relationship TargetMode="External" Target="https://www.legis.iowa.gov/docs/ico/chapter/148.pdf" Type="http://schemas.openxmlformats.org/officeDocument/2006/relationships/hyperlink" Id="rId61"/>
    <Relationship TargetMode="External" Target="https://www.legis.iowa.gov/docs/ico/chapter/331.910.pdf" Type="http://schemas.openxmlformats.org/officeDocument/2006/relationships/hyperlink" Id="rId62"/>
    <Relationship TargetMode="External" Target="https://www.legis.iowa.gov/docs/ico/chapter/141A.1.pdf" Type="http://schemas.openxmlformats.org/officeDocument/2006/relationships/hyperlink" Id="rId63"/>
    <Relationship TargetMode="External" Target="https://www.legis.iowa.gov/docs/ico/chapter/124E.5.pdf" Type="http://schemas.openxmlformats.org/officeDocument/2006/relationships/hyperlink" Id="rId64"/>
    <Relationship TargetMode="External" Target="https://www.legis.iowa.gov/docs/ico/chapter/148.pdf" Type="http://schemas.openxmlformats.org/officeDocument/2006/relationships/hyperlink" Id="rId65"/>
    <Relationship TargetMode="External" Target="https://www.legis.iowa.gov/docs/ico/chapter/124E.pdf" Type="http://schemas.openxmlformats.org/officeDocument/2006/relationships/hyperlink" Id="rId66"/>
    <Relationship TargetMode="External" Target="https://www.legis.iowa.gov/docs/ico/chapter/124E.5.pdf" Type="http://schemas.openxmlformats.org/officeDocument/2006/relationships/hyperlink" Id="rId67"/>
    <Relationship TargetMode="External" Target="https://www.legis.iowa.gov/docs/ico/chapter/124E.pdf" Type="http://schemas.openxmlformats.org/officeDocument/2006/relationships/hyperlink" Id="rId68"/>
    <Relationship TargetMode="External" Target="https://www.legis.iowa.gov/docs/ico/chapter/124E.pdf" Type="http://schemas.openxmlformats.org/officeDocument/2006/relationships/hyperlink" Id="rId69"/>
    <Relationship TargetMode="External" Target="https://www.legis.iowa.gov/docs/ico/chapter/124E.pdf" Type="http://schemas.openxmlformats.org/officeDocument/2006/relationships/hyperlink" Id="rId70"/>
    <Relationship TargetMode="External" Target="https://www.legis.iowa.gov/docs/ico/chapter/124E.pdf" Type="http://schemas.openxmlformats.org/officeDocument/2006/relationships/hyperlink" Id="rId71"/>
    <Relationship TargetMode="External" Target="https://www.legis.iowa.gov/docs/ico/chapter/147.pdf" Type="http://schemas.openxmlformats.org/officeDocument/2006/relationships/hyperlink" Id="rId72"/>
    <Relationship TargetMode="External" Target="https://www.legis.iowa.gov/docs/ico/chapter/148.pdf" Type="http://schemas.openxmlformats.org/officeDocument/2006/relationships/hyperlink" Id="rId73"/>
    <Relationship TargetMode="External" Target="https://www.legis.iowa.gov/docs/ico/chapter/272C.pdf" Type="http://schemas.openxmlformats.org/officeDocument/2006/relationships/hyperlink" Id="rId74"/>
    <Relationship TargetMode="External" Target="https://www.legis.iowa.gov/docs/ico/chapter/146A.1.pdf" Type="http://schemas.openxmlformats.org/officeDocument/2006/relationships/hyperlink" Id="rId75"/>
    <Relationship TargetMode="External" Target="https://www.legis.iowa.gov/docs/ico/chapter/146A.1.pdf" Type="http://schemas.openxmlformats.org/officeDocument/2006/relationships/hyperlink" Id="rId76"/>
    <Relationship TargetMode="External" Target="https://www.legis.iowa.gov/docs/ico/chapter/146A.1.pdf" Type="http://schemas.openxmlformats.org/officeDocument/2006/relationships/hyperlink" Id="rId77"/>
    <Relationship TargetMode="External" Target="https://www.legis.iowa.gov/docs/ico/chapter/146A.1.pdf" Type="http://schemas.openxmlformats.org/officeDocument/2006/relationships/hyperlink" Id="rId78"/>
    <Relationship TargetMode="External" Target="https://www.legis.iowa.gov/docs/ico/chapter/146A.1.pdf" Type="http://schemas.openxmlformats.org/officeDocument/2006/relationships/hyperlink" Id="rId79"/>
    <Relationship TargetMode="External" Target="https://www.legis.iowa.gov/docs/ico/chapter/146E.2.pdf" Type="http://schemas.openxmlformats.org/officeDocument/2006/relationships/hyperlink" Id="rId80"/>
    <Relationship TargetMode="External" Target="https://www.legis.iowa.gov/docs/ico/chapter/146E.pdf" Type="http://schemas.openxmlformats.org/officeDocument/2006/relationships/hyperlink" Id="rId81"/>
    <Relationship TargetMode="External" Target="https://www.legis.iowa.gov/docs/ico/chapter/135B.1.pdf" Type="http://schemas.openxmlformats.org/officeDocument/2006/relationships/hyperlink" Id="rId82"/>
    <Relationship TargetMode="External" Target="https://www.legis.iowa.gov/docs/ico/chapter/135C.1.pdf" Type="http://schemas.openxmlformats.org/officeDocument/2006/relationships/hyperlink" Id="rId83"/>
    <Relationship TargetMode="External" Target="https://www.legis.iowa.gov/docs/ico/chapter/135P.1.pdf" Type="http://schemas.openxmlformats.org/officeDocument/2006/relationships/hyperlink" Id="rId84"/>
    <Relationship TargetMode="External" Target="https://www.legis.iowa.gov/docs/ico/chapter/135B.1.pdf" Type="http://schemas.openxmlformats.org/officeDocument/2006/relationships/hyperlink" Id="rId85"/>
    <Relationship TargetMode="External" Target="https://www.legis.iowa.gov/docs/ico/chapter/135C.1.pdf" Type="http://schemas.openxmlformats.org/officeDocument/2006/relationships/hyperlink" Id="rId86"/>
    <Relationship TargetMode="External" Target="https://www.legis.iowa.gov/docs/ico/chapter/135P.1.pdf" Type="http://schemas.openxmlformats.org/officeDocument/2006/relationships/hyperlink" Id="rId87"/>
    <Relationship TargetMode="External" Target="https://www.legis.iowa.gov/docs/ico/chapter/146E.pdf" Type="http://schemas.openxmlformats.org/officeDocument/2006/relationships/hyperlink" Id="rId88"/>
    <Relationship TargetMode="External" Target="https://www.legis.iowa.gov/docs/ico/chapter/709.2.pdf" Type="http://schemas.openxmlformats.org/officeDocument/2006/relationships/hyperlink" Id="rId89"/>
    <Relationship TargetMode="External" Target="https://www.legis.iowa.gov/docs/ico/chapter/709.3.pdf" Type="http://schemas.openxmlformats.org/officeDocument/2006/relationships/hyperlink" Id="rId90"/>
    <Relationship TargetMode="External" Target="https://www.legis.iowa.gov/docs/ico/chapter/709.4.pdf" Type="http://schemas.openxmlformats.org/officeDocument/2006/relationships/hyperlink" Id="rId91"/>
    <Relationship TargetMode="External" Target="https://www.legis.iowa.gov/docs/ico/chapter/709.4A.pdf" Type="http://schemas.openxmlformats.org/officeDocument/2006/relationships/hyperlink" Id="rId92"/>
    <Relationship TargetMode="External" Target="https://www.legis.iowa.gov/docs/ico/chapter/146E.pdf" Type="http://schemas.openxmlformats.org/officeDocument/2006/relationships/hyperlink" Id="rId93"/>
    <Relationship TargetMode="External" Target="https://www.legis.iowa.gov/docs/ico/chapter/146E.pdf" Type="http://schemas.openxmlformats.org/officeDocument/2006/relationships/hyperlink" Id="rId94"/>
    <Relationship TargetMode="External" Target="https://www.legis.iowa.gov/docs/ico/chapter/146E.pdf" Type="http://schemas.openxmlformats.org/officeDocument/2006/relationships/hyperlink" Id="rId95"/>
    <Relationship TargetMode="External" Target="https://www.legis.iowa.gov/docs/iac/chapter/653.3.pdf" Type="http://schemas.openxmlformats.org/officeDocument/2006/relationships/hyperlink" Id="rId9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