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NONPAYMENT OF STATE DEBT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653—12.1</w:t>
      </w:r>
      <w:r>
        <w:rPr>
          <w:rFonts w:ascii="Times New Roman" w:hAnsi="Times New Roman"/>
          <w:b/>
          <w:i w:val="false"/>
          <w:color w:val="000000"/>
          <w:sz w:val="22"/>
        </w:rPr>
        <w:t xml:space="preserve">(272D)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Iowa Code sections </w:t>
      </w:r>
      <w:hyperlink r:id="rId5">
        <w:r>
          <w:rPr>
            <w:rStyle w:val="Hyperlink"/>
            <w:rFonts w:ascii="Times New Roman" w:hAnsi="Times New Roman"/>
            <w:b w:val="false"/>
            <w:i w:val="false"/>
            <w:color w:val="000000"/>
            <w:sz w:val="22"/>
          </w:rPr>
          <w:t>272D.1 to 272D.9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individual who is seeking the issuance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“Centralized collection unit” </w:t>
      </w:r>
      <w:r>
        <w:rPr>
          <w:rFonts w:ascii="Times New Roman" w:hAnsi="Times New Roman"/>
          <w:b w:val="false"/>
          <w:i w:val="false"/>
          <w:color w:val="000000"/>
          <w:sz w:val="22"/>
        </w:rPr>
        <w:t>means the centralized collection unit of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noncompliance” </w:t>
      </w:r>
      <w:r>
        <w:rPr>
          <w:rFonts w:ascii="Times New Roman" w:hAnsi="Times New Roman"/>
          <w:b w:val="false"/>
          <w:i w:val="false"/>
          <w:color w:val="000000"/>
          <w:sz w:val="22"/>
        </w:rPr>
        <w:t>means a document known as a certificate of noncompliance which is provided by the centralized collection unit of the department of revenue certifying that the named applicant or licensee has an outstanding liability placed with the unit and has not entered into an approved payment plan to pay the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“Denial notice” </w:t>
      </w:r>
      <w:r>
        <w:rPr>
          <w:rFonts w:ascii="Times New Roman" w:hAnsi="Times New Roman"/>
          <w:b w:val="false"/>
          <w:i w:val="false"/>
          <w:color w:val="000000"/>
          <w:sz w:val="22"/>
        </w:rPr>
        <w:t>means a board notification denying an application for the issuance or renewal of a license as required by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“Revocation or suspension notice” </w:t>
      </w:r>
      <w:r>
        <w:rPr>
          <w:rFonts w:ascii="Times New Roman" w:hAnsi="Times New Roman"/>
          <w:b w:val="false"/>
          <w:i w:val="false"/>
          <w:color w:val="000000"/>
          <w:sz w:val="22"/>
        </w:rPr>
        <w:t>means a board notification suspending a license for an indefinite or specified period of time or a notification revoking a license as required by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“Withdrawal certificate” </w:t>
      </w:r>
      <w:r>
        <w:rPr>
          <w:rFonts w:ascii="Times New Roman" w:hAnsi="Times New Roman"/>
          <w:b w:val="false"/>
          <w:i w:val="false"/>
          <w:color w:val="000000"/>
          <w:sz w:val="22"/>
        </w:rPr>
        <w:t>means a document provided by the centralized collection unit certifying that the certificate of noncompliance is withdrawn and that the board may proceed with issuance, reinstatement, or renewal of a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8353B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653—12.2</w:t>
      </w:r>
      <w:r>
        <w:rPr>
          <w:rFonts w:ascii="Times New Roman" w:hAnsi="Times New Roman"/>
          <w:b/>
          <w:i w:val="false"/>
          <w:color w:val="000000"/>
          <w:sz w:val="22"/>
        </w:rPr>
        <w:t xml:space="preserve">(272D) </w:t>
      </w:r>
      <w:r>
        <w:rPr>
          <w:rFonts w:ascii="Times New Roman" w:hAnsi="Times New Roman"/>
          <w:b/>
          <w:i w:val="false"/>
          <w:color w:val="000000"/>
          <w:sz w:val="22"/>
        </w:rPr>
        <w:t xml:space="preserve">Issuance or renewal of a license—denial. </w:t>
      </w:r>
      <w:r>
        <w:rPr>
          <w:rFonts w:ascii="Times New Roman" w:hAnsi="Times New Roman"/>
          <w:b w:val="false"/>
          <w:i w:val="false"/>
          <w:color w:val="000000"/>
          <w:sz w:val="22"/>
        </w:rPr>
        <w:t>The board shall deny the issuance or renewal of a license upon the receipt of a certificate of noncompliance from the centralized collection unit. This rule shall apply in addition to the procedures set forth in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w:t>
      </w:r>
      <w:r>
        <w:rPr>
          <w:rFonts w:ascii="Times New Roman" w:hAnsi="Times New Roman"/>
          <w:b w:val="false"/>
          <w:i w:val="false"/>
          <w:color w:val="000000"/>
          <w:sz w:val="22"/>
        </w:rPr>
        <w:t> </w:t>
      </w:r>
      <w:r>
        <w:rPr>
          <w:rFonts w:ascii="Times New Roman" w:hAnsi="Times New Roman"/>
          <w:b w:val="false"/>
          <w:i/>
          <w:color w:val="000000"/>
          <w:sz w:val="22"/>
        </w:rPr>
        <w:t xml:space="preserve">Service of denial notice. </w:t>
      </w:r>
      <w:r>
        <w:rPr>
          <w:rFonts w:ascii="Times New Roman" w:hAnsi="Times New Roman"/>
          <w:b w:val="false"/>
          <w:i w:val="false"/>
          <w:color w:val="000000"/>
          <w:sz w:val="22"/>
        </w:rPr>
        <w:t>Notice shall be served upon the applicant or licensee by certified mail, return receipt requested; by personal service;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denial. </w:t>
      </w:r>
      <w:r>
        <w:rPr>
          <w:rFonts w:ascii="Times New Roman" w:hAnsi="Times New Roman"/>
          <w:b w:val="false"/>
          <w:i w:val="false"/>
          <w:color w:val="000000"/>
          <w:sz w:val="22"/>
        </w:rPr>
        <w:t>The effective date of the denial of the issuance or renewal of a license, as specified in the denial notice, shall be 60 days following service of the denial notice upon the applicant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w:t>
      </w:r>
      <w:r>
        <w:rPr>
          <w:rFonts w:ascii="Times New Roman" w:hAnsi="Times New Roman"/>
          <w:b w:val="false"/>
          <w:i w:val="false"/>
          <w:color w:val="000000"/>
          <w:sz w:val="22"/>
        </w:rPr>
        <w:t> </w:t>
      </w:r>
      <w:r>
        <w:rPr>
          <w:rFonts w:ascii="Times New Roman" w:hAnsi="Times New Roman"/>
          <w:b w:val="false"/>
          <w:i/>
          <w:color w:val="000000"/>
          <w:sz w:val="22"/>
        </w:rPr>
        <w:t xml:space="preserve">Preparation and service of denial notice. </w:t>
      </w:r>
      <w:r>
        <w:rPr>
          <w:rFonts w:ascii="Times New Roman" w:hAnsi="Times New Roman"/>
          <w:b w:val="false"/>
          <w:i w:val="false"/>
          <w:color w:val="000000"/>
          <w:sz w:val="22"/>
        </w:rPr>
        <w:t>The executive director of the board is authorized to prepare and serve the denial notice upon the applicant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12.2(4)</w:t>
      </w:r>
      <w:r>
        <w:rPr>
          <w:rFonts w:ascii="Times New Roman" w:hAnsi="Times New Roman"/>
          <w:b w:val="false"/>
          <w:i w:val="false"/>
          <w:color w:val="000000"/>
          <w:sz w:val="22"/>
        </w:rPr>
        <w:t> </w:t>
      </w:r>
      <w:r>
        <w:rPr>
          <w:rFonts w:ascii="Times New Roman" w:hAnsi="Times New Roman"/>
          <w:b w:val="false"/>
          <w:i/>
          <w:color w:val="000000"/>
          <w:sz w:val="22"/>
        </w:rPr>
        <w:t xml:space="preserve">Licensees and applicants responsible to inform board. </w:t>
      </w:r>
      <w:r>
        <w:rPr>
          <w:rFonts w:ascii="Times New Roman" w:hAnsi="Times New Roman"/>
          <w:b w:val="false"/>
          <w:i w:val="false"/>
          <w:color w:val="000000"/>
          <w:sz w:val="22"/>
        </w:rPr>
        <w:t>Licensees and applicants shall keep the board informed of all court actions and all centralized collection unit actions taken under or in connection with the Act. Licensees and applicants shall also provide the board copies, within seven days of filing or issuance, of all applications filed with the district court pursuant to the Act, all court orders entered in such actions, and withdrawals of certificates issued by the centralized collection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12.2(5)</w:t>
      </w:r>
      <w:r>
        <w:rPr>
          <w:rFonts w:ascii="Times New Roman" w:hAnsi="Times New Roman"/>
          <w:b w:val="false"/>
          <w:i w:val="false"/>
          <w:color w:val="000000"/>
          <w:sz w:val="22"/>
        </w:rPr>
        <w:t> </w:t>
      </w:r>
      <w:r>
        <w:rPr>
          <w:rFonts w:ascii="Times New Roman" w:hAnsi="Times New Roman"/>
          <w:b w:val="false"/>
          <w:i/>
          <w:color w:val="000000"/>
          <w:sz w:val="22"/>
        </w:rPr>
        <w:t xml:space="preserve">Reinstatement following license denial. </w:t>
      </w:r>
      <w:r>
        <w:rPr>
          <w:rFonts w:ascii="Times New Roman" w:hAnsi="Times New Roman"/>
          <w:b w:val="false"/>
          <w:i w:val="false"/>
          <w:color w:val="000000"/>
          <w:sz w:val="22"/>
        </w:rPr>
        <w:t>All board fees required for application, license renewal, or license reinstatement must be paid by applicants or licensees before a license will be issued, renewed, or reinstated after the board has denied the issuance or renewal of a license pursuant to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12.2(6)</w:t>
      </w:r>
      <w:r>
        <w:rPr>
          <w:rFonts w:ascii="Times New Roman" w:hAnsi="Times New Roman"/>
          <w:b w:val="false"/>
          <w:i w:val="false"/>
          <w:color w:val="000000"/>
          <w:sz w:val="22"/>
        </w:rPr>
        <w:t> </w:t>
      </w:r>
      <w:r>
        <w:rPr>
          <w:rFonts w:ascii="Times New Roman" w:hAnsi="Times New Roman"/>
          <w:b w:val="false"/>
          <w:i/>
          <w:color w:val="000000"/>
          <w:sz w:val="22"/>
        </w:rPr>
        <w:t xml:space="preserve">Effect of filing in district court. </w:t>
      </w:r>
      <w:r>
        <w:rPr>
          <w:rFonts w:ascii="Times New Roman" w:hAnsi="Times New Roman"/>
          <w:b w:val="false"/>
          <w:i w:val="false"/>
          <w:color w:val="000000"/>
          <w:sz w:val="22"/>
        </w:rPr>
        <w:t>In the event an applicant or a licensee files a timely district court action following service of a board denial notice, the board shall continue with the intended action described in the denial notice upon the receipt of a court order lifting the stay, dismissing the action, or otherwise directing the board to proceed. For purposes of determining the effective date of the denial of the issuance or renewal of a license, the board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12.2(7)</w:t>
      </w:r>
      <w:r>
        <w:rPr>
          <w:rFonts w:ascii="Times New Roman" w:hAnsi="Times New Roman"/>
          <w:b w:val="false"/>
          <w:i w:val="false"/>
          <w:color w:val="000000"/>
          <w:sz w:val="22"/>
        </w:rPr>
        <w:t> </w:t>
      </w:r>
      <w:r>
        <w:rPr>
          <w:rFonts w:ascii="Times New Roman" w:hAnsi="Times New Roman"/>
          <w:b w:val="false"/>
          <w:i/>
          <w:color w:val="000000"/>
          <w:sz w:val="22"/>
        </w:rPr>
        <w:t xml:space="preserve">Final notification. </w:t>
      </w:r>
      <w:r>
        <w:rPr>
          <w:rFonts w:ascii="Times New Roman" w:hAnsi="Times New Roman"/>
          <w:b w:val="false"/>
          <w:i w:val="false"/>
          <w:color w:val="000000"/>
          <w:sz w:val="22"/>
        </w:rPr>
        <w:t>The board shall notify the applicant or licensee in writing through regular first-class mail, or such other means as the board determines appropriate in the circumstances, within ten days of the effective date of the denial of the issuance or renewal of a license, and shall similarly notify the applicant or licensee if the license is issued or renewed following the board’s receipt of a withdrawal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8353B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653—12.3</w:t>
      </w:r>
      <w:r>
        <w:rPr>
          <w:rFonts w:ascii="Times New Roman" w:hAnsi="Times New Roman"/>
          <w:b/>
          <w:i w:val="false"/>
          <w:color w:val="000000"/>
          <w:sz w:val="22"/>
        </w:rPr>
        <w:t xml:space="preserve">(272D) </w:t>
      </w:r>
      <w:r>
        <w:rPr>
          <w:rFonts w:ascii="Times New Roman" w:hAnsi="Times New Roman"/>
          <w:b/>
          <w:i w:val="false"/>
          <w:color w:val="000000"/>
          <w:sz w:val="22"/>
        </w:rPr>
        <w:t xml:space="preserve">Suspension or revocation of a license. </w:t>
      </w:r>
      <w:r>
        <w:rPr>
          <w:rFonts w:ascii="Times New Roman" w:hAnsi="Times New Roman"/>
          <w:b w:val="false"/>
          <w:i w:val="false"/>
          <w:color w:val="000000"/>
          <w:sz w:val="22"/>
        </w:rPr>
        <w:t>The board shall suspend or revoke a license upon the receipt of a certificate of noncompliance from the centralized collection unit according to the procedures set forth in the Act. This rule shall apply in addition to the procedures set forth in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color w:val="000000"/>
          <w:sz w:val="22"/>
        </w:rPr>
        <w:t xml:space="preserve">Service of revocation or suspension notice. </w:t>
      </w:r>
      <w:r>
        <w:rPr>
          <w:rFonts w:ascii="Times New Roman" w:hAnsi="Times New Roman"/>
          <w:b w:val="false"/>
          <w:i w:val="false"/>
          <w:color w:val="000000"/>
          <w:sz w:val="22"/>
        </w:rPr>
        <w:t>A revocation or suspension notice shall be served upon the licensee by certified mail, return receipt requested; by personal service;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revocation or suspension. </w:t>
      </w:r>
      <w:r>
        <w:rPr>
          <w:rFonts w:ascii="Times New Roman" w:hAnsi="Times New Roman"/>
          <w:b w:val="false"/>
          <w:i w:val="false"/>
          <w:color w:val="000000"/>
          <w:sz w:val="22"/>
        </w:rPr>
        <w:t>The effective date of the suspension or revocation of a license, as specified in the revocation or suspension notice, shall be 60 days following service of the notice upon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color w:val="000000"/>
          <w:sz w:val="22"/>
        </w:rPr>
        <w:t xml:space="preserve">Preparation and service of revocation or suspension notice. </w:t>
      </w:r>
      <w:r>
        <w:rPr>
          <w:rFonts w:ascii="Times New Roman" w:hAnsi="Times New Roman"/>
          <w:b w:val="false"/>
          <w:i w:val="false"/>
          <w:color w:val="000000"/>
          <w:sz w:val="22"/>
        </w:rPr>
        <w:t>The executive director of the board is authorized to prepare and serve the revocation or suspension notice upon the licensee and is directed to notify the licensee that the license will be suspended, unless the license is already suspended on other grounds. In the event that the license is on suspension, the executive director shall notify the licensee of the board’s intention to revoke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w:t>
      </w:r>
      <w:r>
        <w:rPr>
          <w:rFonts w:ascii="Times New Roman" w:hAnsi="Times New Roman"/>
          <w:b w:val="false"/>
          <w:i w:val="false"/>
          <w:color w:val="000000"/>
          <w:sz w:val="22"/>
        </w:rPr>
        <w:t> </w:t>
      </w:r>
      <w:r>
        <w:rPr>
          <w:rFonts w:ascii="Times New Roman" w:hAnsi="Times New Roman"/>
          <w:b w:val="false"/>
          <w:i/>
          <w:color w:val="000000"/>
          <w:sz w:val="22"/>
        </w:rPr>
        <w:t xml:space="preserve">Licensee responsible to inform board. </w:t>
      </w:r>
      <w:r>
        <w:rPr>
          <w:rFonts w:ascii="Times New Roman" w:hAnsi="Times New Roman"/>
          <w:b w:val="false"/>
          <w:i w:val="false"/>
          <w:color w:val="000000"/>
          <w:sz w:val="22"/>
        </w:rPr>
        <w:t>The licensee shall keep the board informed of all court actions and all centralized collection unit actions taken under or in connection with the Act. Licensees shall also provide the board copies, within seven days of filing or issuance, of all applications filed with the district court pursuant to the Act, all court orders entered in such actions, and any withdrawal certificates issued by the centralized collection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12.3(5)</w:t>
      </w:r>
      <w:r>
        <w:rPr>
          <w:rFonts w:ascii="Times New Roman" w:hAnsi="Times New Roman"/>
          <w:b w:val="false"/>
          <w:i w:val="false"/>
          <w:color w:val="000000"/>
          <w:sz w:val="22"/>
        </w:rPr>
        <w:t> </w:t>
      </w:r>
      <w:r>
        <w:rPr>
          <w:rFonts w:ascii="Times New Roman" w:hAnsi="Times New Roman"/>
          <w:b w:val="false"/>
          <w:i/>
          <w:color w:val="000000"/>
          <w:sz w:val="22"/>
        </w:rPr>
        <w:t xml:space="preserve">Reinstatement following license suspension or revocation. </w:t>
      </w:r>
      <w:r>
        <w:rPr>
          <w:rFonts w:ascii="Times New Roman" w:hAnsi="Times New Roman"/>
          <w:b w:val="false"/>
          <w:i w:val="false"/>
          <w:color w:val="000000"/>
          <w:sz w:val="22"/>
        </w:rPr>
        <w:t>A licensee shall pay all board fees required for license renewal or license reinstatement before a license will be reinstated after the board has suspended or revoked a license pursuant to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w:t>
      </w:r>
      <w:r>
        <w:rPr>
          <w:rFonts w:ascii="Times New Roman" w:hAnsi="Times New Roman"/>
          <w:b w:val="false"/>
          <w:i w:val="false"/>
          <w:color w:val="000000"/>
          <w:sz w:val="22"/>
        </w:rPr>
        <w:t> </w:t>
      </w:r>
      <w:r>
        <w:rPr>
          <w:rFonts w:ascii="Times New Roman" w:hAnsi="Times New Roman"/>
          <w:b w:val="false"/>
          <w:i/>
          <w:color w:val="000000"/>
          <w:sz w:val="22"/>
        </w:rPr>
        <w:t xml:space="preserve">Effect of filing in district court. </w:t>
      </w:r>
      <w:r>
        <w:rPr>
          <w:rFonts w:ascii="Times New Roman" w:hAnsi="Times New Roman"/>
          <w:b w:val="false"/>
          <w:i w:val="false"/>
          <w:color w:val="000000"/>
          <w:sz w:val="22"/>
        </w:rPr>
        <w:t>In the event a licensee files a timely district court action pursuant to the Act, and following service of a revocation or suspension notice, the board shall continue with the intended action described in the revocation or suspension notice upon the receipt of a court order lifting the stay, dismissing the action, or otherwise directing the board to proceed. For purposes of determining the effective date of the license suspension or revocation, the board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12.3(7)</w:t>
      </w:r>
      <w:r>
        <w:rPr>
          <w:rFonts w:ascii="Times New Roman" w:hAnsi="Times New Roman"/>
          <w:b w:val="false"/>
          <w:i w:val="false"/>
          <w:color w:val="000000"/>
          <w:sz w:val="22"/>
        </w:rPr>
        <w:t> </w:t>
      </w:r>
      <w:r>
        <w:rPr>
          <w:rFonts w:ascii="Times New Roman" w:hAnsi="Times New Roman"/>
          <w:b w:val="false"/>
          <w:i/>
          <w:color w:val="000000"/>
          <w:sz w:val="22"/>
        </w:rPr>
        <w:t xml:space="preserve">Final notification. </w:t>
      </w:r>
      <w:r>
        <w:rPr>
          <w:rFonts w:ascii="Times New Roman" w:hAnsi="Times New Roman"/>
          <w:b w:val="false"/>
          <w:i w:val="false"/>
          <w:color w:val="000000"/>
          <w:sz w:val="22"/>
        </w:rPr>
        <w:t>The board shall notify the licensee in writing through regular first-class mail, or such other means as the board determines appropriate in the circumstances, within ten days of the effective date of the suspension or revocation of a license, and shall similarly notify the licensee if the license is reinstated following the board’s receipt of a withdrawal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8353B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8353B</w:t>
      </w:r>
      <w:r>
        <w:rPr>
          <w:rFonts w:ascii="Times New Roman" w:hAnsi="Times New Roman"/>
          <w:b w:val="false"/>
          <w:i w:val="false"/>
          <w:color w:val="000000"/>
          <w:sz w:val="21"/>
        </w:rPr>
        <w:t xml:space="preserve"> (Notice ARC 8191B, IAB 10/7/09)</w:t>
      </w:r>
      <w:r>
        <w:rPr>
          <w:rFonts w:ascii="Times New Roman" w:hAnsi="Times New Roman"/>
          <w:b w:val="false"/>
          <w:i w:val="false"/>
          <w:color w:val="000000"/>
          <w:sz w:val="21"/>
        </w:rPr>
        <w:t>, IAB 12/2/09, effective 1/6/10]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D.1-9.pdf" Type="http://schemas.openxmlformats.org/officeDocument/2006/relationships/hyperlink" Id="rId5"/>
    <Relationship TargetMode="External" Target="https://www.legis.iowa.gov/docs/ico/chapter/272D.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