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 xml:space="preserve">CONTINUING EDUCATION AND </w:t>
      </w:r>
      <w:r>
        <w:br/>
      </w:r>
      <w:r>
        <w:rPr>
          <w:rFonts w:ascii="Times New Roman" w:hAnsi="Times New Roman"/>
          <w:b w:val="false"/>
          <w:i w:val="false"/>
          <w:color w:val="000000"/>
          <w:sz w:val="21"/>
        </w:rPr>
        <w:t>TRAINING REQUIREMENTS</w:t>
      </w:r>
    </w:p>
    <w:p>
      <w:pPr>
        <w:spacing w:before="0" w:after="0"/>
        <w:ind w:left="120"/>
        <w:jc w:val="center"/>
      </w:pPr>
      <w:r>
        <w:rPr>
          <w:rFonts w:ascii="Times New Roman" w:hAnsi="Times New Roman"/>
          <w:b w:val="false"/>
          <w:i w:val="false"/>
          <w:color w:val="000000"/>
          <w:sz w:val="14"/>
        </w:rPr>
        <w:t>[Prior to 5/4/88, see 470—135.101 to 470—135.110 and 135.501 to 135.512]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653—11.1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 which is an umbrella organization for at least 24 medical specialty boards in the United States that assists the specialty boards in developing and implementing educational and professional standards to evaluate and certify physician specialists in the United States. The board recognizes specialty board certification by ABMS.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provider” </w:t>
      </w:r>
      <w:r>
        <w:rPr>
          <w:rFonts w:ascii="Times New Roman" w:hAnsi="Times New Roman"/>
          <w:b w:val="false"/>
          <w:i w:val="false"/>
          <w:color w:val="000000"/>
          <w:sz w:val="22"/>
        </w:rPr>
        <w:t>means an organization approved as a provider of category 1 credit by one of the following board-approved accrediting bodies: Accreditation Council for Continuing Medical Education, Iowa Medical Society, or the Council on Continuing Medical Education of the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duty” </w:t>
      </w:r>
      <w:r>
        <w:rPr>
          <w:rFonts w:ascii="Times New Roman" w:hAnsi="Times New Roman"/>
          <w:b w:val="false"/>
          <w:i w:val="false"/>
          <w:color w:val="000000"/>
          <w:sz w:val="22"/>
        </w:rPr>
        <w:t>means full-time training or active service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licensee” </w:t>
      </w:r>
      <w:r>
        <w:rPr>
          <w:rFonts w:ascii="Times New Roman" w:hAnsi="Times New Roman"/>
          <w:b w:val="false"/>
          <w:i w:val="false"/>
          <w:color w:val="000000"/>
          <w:sz w:val="22"/>
        </w:rPr>
        <w:t>means any person licensed to practice medicine and surgery or osteopathic medicine and surgery in Iowa who has met all conditions of licensure and maintains a current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 a professional organization of physicians and surgeons.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 which is the representative organization for osteopathic physicians (D.O.s) in the United States. The board approves osteopathic medical education programs with AOA accreditation; the board approves AOA-accredited resident training programs in osteopathic medicine and surgery at hospitals for graduates of accredited osteopathic medical schools. The board recognizes specialty board certification by AOA. The board recognizes continuing medical education accredited by the Council on Continuing Medical Education of AOA.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public health or a training program offered by a hospital, a professional organization for physicians, or the department of human services,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or credit” </w:t>
      </w:r>
      <w:r>
        <w:rPr>
          <w:rFonts w:ascii="Times New Roman" w:hAnsi="Times New Roman"/>
          <w:b w:val="false"/>
          <w:i w:val="false"/>
          <w:color w:val="000000"/>
          <w:sz w:val="22"/>
        </w:rPr>
        <w:t>means any category 1 credit offered by an accredited provider or any other program or credit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“Carryover” </w:t>
      </w:r>
      <w:r>
        <w:rPr>
          <w:rFonts w:ascii="Times New Roman" w:hAnsi="Times New Roman"/>
          <w:b w:val="false"/>
          <w:i w:val="false"/>
          <w:color w:val="000000"/>
          <w:sz w:val="22"/>
        </w:rPr>
        <w:t>means hours of category 1 credit earned in excess of the required hours in a license period that may be applied to the continuing education requirement in the subsequent license period; carryover may not exceed 20 hours of category 1 credit per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which is sponsored or jointly sponsored by an organization accredited for continuing medical education by the Accreditation Council for Continuing Medical Education, the Iowa Medical Society, or the Council on Continuing Medical Education of the AOA that is of sufficient scope and depth of coverage of a subject area or theme to form an educational unit and is planned, administered and evaluated in terms of educational objectives that define a level of knowledge or a specific performance skill to be attained by the physician completing the program.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“COMVEX-USA” </w:t>
      </w:r>
      <w:r>
        <w:rPr>
          <w:rFonts w:ascii="Times New Roman" w:hAnsi="Times New Roman"/>
          <w:b w:val="false"/>
          <w:i w:val="false"/>
          <w:color w:val="000000"/>
          <w:sz w:val="22"/>
        </w:rPr>
        <w:t>means the Comprehensive Osteopathic Medical Variable-Purpose Examination for the United States of America. The National Board of Osteopathic Medical Examiners prepares the examination and determines its passing score. A licensing authority in any jurisdiction administers the examination. COMVEX-USA is the current evaluative instrument offered to osteopathic physicians who need to demonstrate current osteopathic medical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education that is acquired by a licensee in order to maintain, improve, or expand skills and knowledge present at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 clock hour spent by a licensee in actual attendance at or completion of an approved category 1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any license that is not a current, active license. Inactive license may include licenses formerly known as delinquent, lapsed, or retired. A physician whose license is inactive continues to hold the privilege of licensure in Iowa but may not practice medicine under an Iowa license until the license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medicine and surgery or osteopathic medicine and surgery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any FDA-approved product or active pharmaceutical ingredient classified as a controlled substance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 line and is in addition to the actual fee for a service itself. For example, one who renews a license on line will pay the license renewal fee and a service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“SPEX” </w:t>
      </w:r>
      <w:r>
        <w:rPr>
          <w:rFonts w:ascii="Times New Roman" w:hAnsi="Times New Roman"/>
          <w:b w:val="false"/>
          <w:i w:val="false"/>
          <w:color w:val="000000"/>
          <w:sz w:val="22"/>
        </w:rPr>
        <w:t>means Special Licensure Examination prepared by the Federation of State Medical Boards and administered by a licensing authority in any jurisdiction. The passing score on SPEX is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w:t>
      </w:r>
      <w:r>
        <w:rPr>
          <w:rFonts w:ascii="Times New Roman" w:hAnsi="Times New Roman"/>
          <w:b w:val="false"/>
          <w:i w:val="false"/>
          <w:color w:val="000000"/>
          <w:sz w:val="22"/>
        </w:rPr>
        <w:t xml:space="preserve">means required training on chronic pain management identified in </w:t>
      </w:r>
      <w:hyperlink r:id="rId5">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w:t>
      </w:r>
      <w:r>
        <w:rPr>
          <w:rFonts w:ascii="Times New Roman" w:hAnsi="Times New Roman"/>
          <w:b w:val="false"/>
          <w:i w:val="false"/>
          <w:color w:val="000000"/>
          <w:sz w:val="22"/>
        </w:rPr>
        <w:t xml:space="preserve">means required training on end-of-life care identified in </w:t>
      </w:r>
      <w:hyperlink r:id="rId6">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abuse” </w:t>
      </w:r>
      <w:r>
        <w:rPr>
          <w:rFonts w:ascii="Times New Roman" w:hAnsi="Times New Roman"/>
          <w:b w:val="false"/>
          <w:i w:val="false"/>
          <w:color w:val="000000"/>
          <w:sz w:val="22"/>
        </w:rPr>
        <w:t xml:space="preserve">means training on identifying and reporting child abuse or dependent adult abuse required of physicians who regularly provide primary health care to children or adults, respectively. The full requirements on reporting of child abuse and the training requirements are in Iowa Code section </w:t>
      </w:r>
      <w:hyperlink r:id="rId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reporting of dependent adult abuse and the training requirements are in Iowa Code section </w:t>
      </w:r>
      <w:hyperlink r:id="rId8">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9601B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0217C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0871C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4338C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credit and alternatives.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obtained by attending category 1 credits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The board shall accept the following as equivalent to 50 hours of category 1 credit: participation in an approved resident training program or board certification or recertification by an ABMS or AOA specialty board within the licensing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The board shall in January of each year recognize the equivalent of up to 10 hours of category 1 credits for physicians who actively served as members or alternate members of the Iowa board of medicine during the previous year; for physicians who actively served as members of the Iowa physician health committee during the previous year; and for physicians who performed peer reviews for the board during the previous year. The physicians receiving recognition of category 1 credit equivalents will be notified by U.S.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mail in January by the executive director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0217C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653—11.3</w:t>
      </w:r>
      <w:r>
        <w:rPr>
          <w:rFonts w:ascii="Times New Roman" w:hAnsi="Times New Roman"/>
          <w:b/>
          <w:i w:val="false"/>
          <w:color w:val="000000"/>
          <w:sz w:val="22"/>
        </w:rPr>
        <w:t xml:space="preserve">(272C) </w:t>
      </w:r>
      <w:r>
        <w:rPr>
          <w:rFonts w:ascii="Times New Roman" w:hAnsi="Times New Roman"/>
          <w:b/>
          <w:i w:val="false"/>
          <w:color w:val="000000"/>
          <w:sz w:val="22"/>
        </w:rPr>
        <w:t xml:space="preserve">Accreditation of providers. </w:t>
      </w:r>
      <w:r>
        <w:rPr>
          <w:rFonts w:ascii="Times New Roman" w:hAnsi="Times New Roman"/>
          <w:b w:val="false"/>
          <w:i w:val="false"/>
          <w:color w:val="000000"/>
          <w:sz w:val="22"/>
        </w:rPr>
        <w:t>The board approves the Accreditation Council for Continuing Medical Education, the Iowa Medical Society, and the Council on Continuing Medical Education of the AOA as organizations acceptable to accredit providers of category 1 credits.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0217C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653—11.4</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and training requirements for renewal or reinstatement. </w:t>
      </w:r>
      <w:r>
        <w:rPr>
          <w:rFonts w:ascii="Times New Roman" w:hAnsi="Times New Roman"/>
          <w:b w:val="false"/>
          <w:i w:val="false"/>
          <w:color w:val="000000"/>
          <w:sz w:val="22"/>
        </w:rPr>
        <w:t>A licensee shall meet the requirements in this rule to qualify for renewal of a permanent license, an administrative medicine license, or special license or to qualify for reinstatement of a permanent license or an administrative medicine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permanent license or administrative medicine license renewal. </w:t>
      </w:r>
      <w:r>
        <w:rPr>
          <w:rFonts w:ascii="Times New Roman" w:hAnsi="Times New Roman"/>
          <w:b w:val="false"/>
          <w:i w:val="false"/>
          <w:color w:val="000000"/>
          <w:sz w:val="22"/>
        </w:rPr>
        <w:t>Except as provided in these rules, a total of 40 hours of category 1 credit or board-approved equivalent shall be required for biennial renewal of a permanent license or an administrative medicine license. This may include up to 20 hours of credit carried over from the previous license period and category 1 credit acquired within the current license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facilitate license renewal according to birth month, a licensee’s first license may be issued for less than 24 months. The number of hours of category 1 credit required of a licensee whose license has been issued for less than 24 months shall be reduced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desiring to obtain credit for carryover hours shall report the carryover, not to exceed 20 hours of category 1 credit, on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for special license renewal. </w:t>
      </w:r>
      <w:r>
        <w:rPr>
          <w:rFonts w:ascii="Times New Roman" w:hAnsi="Times New Roman"/>
          <w:b w:val="false"/>
          <w:i w:val="false"/>
          <w:color w:val="000000"/>
          <w:sz w:val="22"/>
        </w:rPr>
        <w:t>A total of 20 hours of category 1 credit shall be required for annual renewal of a special license. No carryover hours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child and dependent adult abuse for permanent or special license renewal. </w:t>
      </w:r>
      <w:r>
        <w:rPr>
          <w:rFonts w:ascii="Times New Roman" w:hAnsi="Times New Roman"/>
          <w:b w:val="false"/>
          <w:i w:val="false"/>
          <w:color w:val="000000"/>
          <w:sz w:val="22"/>
        </w:rPr>
        <w:t xml:space="preserve">The licensee in Iowa shall complete the training for identifying and reporting child and dependent adult abuse as part of a category 1 credit or an approved training program. The licensee may utilize category 1 credit received for this training during the license period in which the training occurred to meet continuing education requirements in paragraph </w:t>
      </w:r>
      <w:hyperlink r:id="rId9">
        <w:r>
          <w:rPr>
            <w:rStyle w:val="Hyperlink"/>
            <w:rFonts w:ascii="Times New Roman" w:hAnsi="Times New Roman"/>
            <w:b w:val="false"/>
            <w:i w:val="false"/>
            <w:color w:val="000000"/>
            <w:sz w:val="22"/>
          </w:rPr>
          <w:t>11.4(1)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to identify child abuse. A licensee who regularly provides primary health care to children in Iowa must complete at least two hours of training provided by the department of human services pursuant to Iowa Code section </w:t>
      </w:r>
      <w:hyperlink r:id="rId10">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“c”</w:t>
      </w:r>
      <w:r>
        <w:rPr>
          <w:rFonts w:ascii="Times New Roman" w:hAnsi="Times New Roman"/>
          <w:b w:val="false"/>
          <w:i w:val="false"/>
          <w:color w:val="000000"/>
          <w:sz w:val="22"/>
        </w:rPr>
        <w:t xml:space="preserve"> in child abuse identification and reporting every three years. If a licensee completes at least one hour of additional child abuse identification and reporting training prior to the three-year expiration period, the licensee shall be deemed in compliance with the training requirements of this subparagraph for an additional three years. “A licensee who regularly provides primary health care to children” means all emergency physicians, family physicians, general practice physicians, pediatricians, and psychiatrists, and any other physician who regularly provides primary health care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to identify dependent adult abuse. A licensee who regularly provides primary health care to adults in Iowa must complete at least two hours of training provided by the department of human services pursuant to Iowa Code section </w:t>
      </w:r>
      <w:hyperlink r:id="rId11">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“c”</w:t>
      </w:r>
      <w:r>
        <w:rPr>
          <w:rFonts w:ascii="Times New Roman" w:hAnsi="Times New Roman"/>
          <w:b w:val="false"/>
          <w:i w:val="false"/>
          <w:color w:val="000000"/>
          <w:sz w:val="22"/>
        </w:rPr>
        <w:t xml:space="preserve"> in dependent adult abuse identification and reporting every three years. If a licensee completes at least one hour of additional dependent adult abuse identification and reporting training prior to the three-year expiration period, the licensee shall be deemed in compliance with the training requirements of this subparagraph for an additional three years. “A licensee who regularly provides primary health care to adults” means all emergency physicians, family physicians, general practice physicians, internists, obstetricians, gynecologists, and psychiatrists, and any other physician who regularly provides primary health care to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for permanent or special license renewal. </w:t>
      </w:r>
      <w:r>
        <w:rPr>
          <w:rFonts w:ascii="Times New Roman" w:hAnsi="Times New Roman"/>
          <w:b w:val="false"/>
          <w:i w:val="false"/>
          <w:color w:val="000000"/>
          <w:sz w:val="22"/>
        </w:rPr>
        <w:t xml:space="preserve">The licensee shall complete the training for chronic pain management as part of a category 1 credit. The licensee may utilize category 1 credit received for this training during the license period in which the training occurred to meet continuing education requirements in </w:t>
      </w:r>
      <w:hyperlink r:id="rId12">
        <w:r>
          <w:rPr>
            <w:rStyle w:val="Hyperlink"/>
            <w:rFonts w:ascii="Times New Roman" w:hAnsi="Times New Roman"/>
            <w:b w:val="false"/>
            <w:i w:val="false"/>
            <w:color w:val="000000"/>
            <w:sz w:val="22"/>
          </w:rPr>
          <w:t>paragraph 11.4(1)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the previous license period must complete at least two hours of category 1 credit regarding the United States Centers for Disease Control and Prevention (CDC) guideline for prescribing opioids for chronic pain, including recommendations on limitations on dosages and the length of prescriptions, risk factors for abuse, and nonopioid and nonpharmacologic therapy options, every five years. A licensee may attest as part of the license renewal process that the licensee is not subject to the requirement to receive continuing medical education credits pursuant to this paragraph, due to the fact that the licensee did not prescribe opioids to a patient during the previous licensure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had a permanent or special license on January 1, 2019, has until January 1, 2024, to complete the chronic pain management training and shall then complete the training once every five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for permanent or special license renewal. </w:t>
      </w:r>
      <w:r>
        <w:rPr>
          <w:rFonts w:ascii="Times New Roman" w:hAnsi="Times New Roman"/>
          <w:b w:val="false"/>
          <w:i w:val="false"/>
          <w:color w:val="000000"/>
          <w:sz w:val="22"/>
        </w:rPr>
        <w:t xml:space="preserve">The licensee shall complete the training for end-of-life care as part of a category 1 credit. The licensee may utilize category 1 credit received for this training during the license period in which the training occurred to meet continuing education requirements in paragraph </w:t>
      </w:r>
      <w:hyperlink r:id="rId13">
        <w:r>
          <w:rPr>
            <w:rStyle w:val="Hyperlink"/>
            <w:rFonts w:ascii="Times New Roman" w:hAnsi="Times New Roman"/>
            <w:b w:val="false"/>
            <w:i w:val="false"/>
            <w:color w:val="000000"/>
            <w:sz w:val="22"/>
          </w:rPr>
          <w:t>11.4(1)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regularly provides direct patient care to actively dying patients in Iowa must complete at least two hours of category 1 credit for end-of-life care every five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who had a permanent or special license on January 1, 2019, has until January 1, 2024, to complete the end-of-life care training and shall then complete the training once every five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be exempt from the continuing education requirements in subrule </w:t>
      </w:r>
      <w:hyperlink r:id="rId14">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 xml:space="preserve"> when, upon license renewal, the licensee provides evidence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served honorably on active duty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practiced in another state or district and did not provide medical care, including telemedicine services, to patients located in Iowa, if the other state or district had continuing education requirements for the profession and the licensee met all requirements of that state or district for practice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requirements for training on chronic pain management and end-of-life care for license renewal shall be suspended for a licensee who provides evidence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Periods described in subparagraph </w:t>
      </w:r>
      <w:hyperlink r:id="rId15">
        <w:r>
          <w:rPr>
            <w:rStyle w:val="Hyperlink"/>
            <w:rFonts w:ascii="Times New Roman" w:hAnsi="Times New Roman"/>
            <w:b w:val="false"/>
            <w:i w:val="false"/>
            <w:color w:val="000000"/>
            <w:sz w:val="22"/>
          </w:rPr>
          <w:t>11.4(2)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(2), (3), or (4);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Periods that the licensee resided outside of Iowa and did not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Extension for completion of or exemption from renewal requirements. </w:t>
      </w:r>
      <w:r>
        <w:rPr>
          <w:rFonts w:ascii="Times New Roman" w:hAnsi="Times New Roman"/>
          <w:b w:val="false"/>
          <w:i w:val="false"/>
          <w:color w:val="000000"/>
          <w:sz w:val="22"/>
        </w:rPr>
        <w:t xml:space="preserve">The board may, in individual cases involving physical disability or illness, grant an extension of time for completion of, or an exemption from, the renewal requirements in subrule </w:t>
      </w:r>
      <w:hyperlink r:id="rId16">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requesting an extension or exemption shall complete and submit a request form to the board that sets forth the reasons for the request and has been signed by the licensee and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grant an extension of time to fulfill the requirements in subrule </w:t>
      </w:r>
      <w:hyperlink r:id="rId17">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exemption from the educational requirements for any period of time not to exceed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physical disability or illness for which an extension or exemption was granted continues beyond the period of waiver, the licensee must reapply for a continuance of the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board may, as a condition of any extension or exemption granted, require the applicant to make up a portion of the continuing education requirement by methods it prescribes.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Reinstatement requirement. </w:t>
      </w:r>
      <w:r>
        <w:rPr>
          <w:rFonts w:ascii="Times New Roman" w:hAnsi="Times New Roman"/>
          <w:b w:val="false"/>
          <w:i w:val="false"/>
          <w:color w:val="000000"/>
          <w:sz w:val="22"/>
        </w:rPr>
        <w:t>An applicant for license reinstatement whose license has been inactive for one year or more shall provide proof of successful completion of 40 hours of category 1 credit completed within 24 months prior to submission of the application for reinstatement or proof of successful completion of SPEX or COMVEX-USA within one year immediately prior to the submission of the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Cost of continuing education and training for renewal or reinstatement. </w:t>
      </w:r>
      <w:r>
        <w:rPr>
          <w:rFonts w:ascii="Times New Roman" w:hAnsi="Times New Roman"/>
          <w:b w:val="false"/>
          <w:i w:val="false"/>
          <w:color w:val="000000"/>
          <w:sz w:val="22"/>
        </w:rPr>
        <w:t xml:space="preserve">Each licensee is responsible for all costs of continuing education and training required in </w:t>
      </w:r>
      <w:hyperlink r:id="rId18">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 xml:space="preserve">A licensee shall maintain documentation of the continuing education and training requirements in </w:t>
      </w:r>
      <w:hyperlink r:id="rId19">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 including dates, subjects, duration of programs, and proof of participation, for five years after the date of the continuing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The board may audit continuing education and training documentation at any time within the five- or three-year period, as applicable. If the board conducts an audit of continuing education and training, a licensee shall respond to the board and provide all materials requested, within 30 days of a request made by board staff or within the extension of time if one has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licensee may be subject to disciplinary action for failure to comply with continuing education and training requirements in </w:t>
      </w:r>
      <w:hyperlink r:id="rId20">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9601B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0217C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0871C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2523C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see Rescission note at end of chapter; </w:t>
      </w:r>
      <w:r>
        <w:rPr>
          <w:rFonts w:ascii="Times New Roman" w:hAnsi="Times New Roman"/>
          <w:b/>
          <w:i w:val="false"/>
          <w:color w:val="000000"/>
          <w:sz w:val="16"/>
        </w:rPr>
        <w:t>ARC 4338C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4978C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653—11.5</w:t>
      </w:r>
      <w:r>
        <w:rPr>
          <w:rFonts w:ascii="Times New Roman" w:hAnsi="Times New Roman"/>
          <w:b/>
          <w:i w:val="false"/>
          <w:color w:val="000000"/>
          <w:sz w:val="22"/>
        </w:rPr>
        <w:t xml:space="preserve">(272C) </w:t>
      </w:r>
      <w:r>
        <w:rPr>
          <w:rFonts w:ascii="Times New Roman" w:hAnsi="Times New Roman"/>
          <w:b/>
          <w:i w:val="false"/>
          <w:color w:val="000000"/>
          <w:sz w:val="22"/>
        </w:rPr>
        <w:t xml:space="preserve">Failure to fulfill requirements for continuing education and training for identifying and reporting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 xml:space="preserve">Disagreement over whether material submitted fulfills the requirements specified in rule </w:t>
      </w:r>
      <w:hyperlink r:id="rId21">
        <w:r>
          <w:rPr>
            <w:rStyle w:val="Hyperlink"/>
            <w:rFonts w:ascii="Times New Roman" w:hAnsi="Times New Roman"/>
            <w:b w:val="false"/>
            <w:i w:val="false"/>
            <w:color w:val="000000"/>
            <w:sz w:val="22"/>
          </w:rPr>
          <w:t>653—11.4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will attempt to work with a licensee or applicant to resolve any discrepancy concerning credit for renewal 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resolution is not possible, staff shall refer the matter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matter of a licensee seeking license renewal, staff shall renew the license if all other matters are in order and inform the licensee that the matter is being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matter of an applicant seeking reinstatement, staff shall reinstate the license if all other matters are in order and inform the applicant that the matter is being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consider the staff’s recommendation for denial of credit for continuing education or training for identifying and reporting abuse, chronic pain management, and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committee approves the credit, it shall authorize the staff to inform the licensee or applicant that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committee disapproves the credit, it shall refer the matter to the board with a recommendation for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the committee’s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board approves the credit, it shall authorize the staff to notify the licensee or applicant for reinstatement if all other matters are in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board denies the credit, it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Close the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Send the licensee or applicant an informal, nonpublic letter of warning, which may include recommended terms for complying with the requirements for continuing education or training;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File a statement of charges for noncompliance with the board’s rules on continuing education or training and for any other violations which may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Informal appearance for failure to complete requirements for continuing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applicant may, within ten days after the date that the notification of the denial was sent by certified mail, request an informal appearance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informal appearance, the licensee or applicant will have the opportunity to present information, and the board will issue a written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9601B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0217C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653—11.6</w:t>
      </w:r>
      <w:r>
        <w:rPr>
          <w:rFonts w:ascii="Times New Roman" w:hAnsi="Times New Roman"/>
          <w:b/>
          <w:i w:val="false"/>
          <w:color w:val="000000"/>
          <w:sz w:val="22"/>
        </w:rPr>
        <w:t xml:space="preserve">(17A,147,148E,272C) </w:t>
      </w:r>
      <w:r>
        <w:rPr>
          <w:rFonts w:ascii="Times New Roman" w:hAnsi="Times New Roman"/>
          <w:b/>
          <w:i w:val="false"/>
          <w:color w:val="000000"/>
          <w:sz w:val="22"/>
        </w:rPr>
        <w:t xml:space="preserve">Waiver requests. </w:t>
      </w:r>
      <w:r>
        <w:rPr>
          <w:rFonts w:ascii="Times New Roman" w:hAnsi="Times New Roman"/>
          <w:b w:val="false"/>
          <w:i w:val="false"/>
          <w:color w:val="000000"/>
          <w:sz w:val="22"/>
        </w:rPr>
        <w:t xml:space="preserve">Waiver requests shall be submitted in conformance with </w:t>
      </w:r>
      <w:hyperlink r:id="rId22">
        <w:r>
          <w:rPr>
            <w:rStyle w:val="Hyperlink"/>
            <w:rFonts w:ascii="Times New Roman" w:hAnsi="Times New Roman"/>
            <w:b w:val="false"/>
            <w:i w:val="false"/>
            <w:color w:val="000000"/>
            <w:sz w:val="22"/>
          </w:rPr>
          <w:t>653—Chapter 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5600C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2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2/27/81, Notice 1/7/81—published 3/18/81, effective 4/22/81]</w:t>
      </w:r>
    </w:p>
    <w:p>
      <w:pPr>
        <w:spacing w:before="0" w:after="0"/>
        <w:ind w:left="120"/>
        <w:jc w:val="center"/>
      </w:pPr>
      <w:r>
        <w:rPr>
          <w:rFonts w:ascii="Times New Roman" w:hAnsi="Times New Roman"/>
          <w:b w:val="false"/>
          <w:i w:val="false"/>
          <w:color w:val="000000"/>
          <w:sz w:val="21"/>
        </w:rPr>
        <w:t>[Filed 4/9/82, Notice 2/3/82—published 4/28/82, effective 6/2/82]</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11/5/82, Notice 9/29/82—published 11/24/82, effective 12/29/82]</w:t>
      </w:r>
    </w:p>
    <w:p>
      <w:pPr>
        <w:spacing w:before="0" w:after="0"/>
        <w:ind w:left="120"/>
        <w:jc w:val="center"/>
      </w:pPr>
      <w:r>
        <w:rPr>
          <w:rFonts w:ascii="Times New Roman" w:hAnsi="Times New Roman"/>
          <w:b w:val="false"/>
          <w:i w:val="false"/>
          <w:color w:val="000000"/>
          <w:sz w:val="21"/>
        </w:rPr>
        <w:t>[Filed emergency after Notice 4/28/83, Notice 2/2/83—published 5/25/83, effective 4/28/83]</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3/8/85—published 3/27/85, effective 3/8/85]</w:t>
      </w:r>
    </w:p>
    <w:p>
      <w:pPr>
        <w:spacing w:before="0" w:after="0"/>
        <w:ind w:left="120"/>
        <w:jc w:val="center"/>
      </w:pPr>
      <w:r>
        <w:rPr>
          <w:rFonts w:ascii="Times New Roman" w:hAnsi="Times New Roman"/>
          <w:b w:val="false"/>
          <w:i w:val="false"/>
          <w:color w:val="000000"/>
          <w:sz w:val="21"/>
        </w:rPr>
        <w:t>[Filed emergency 8/9/85—published 8/28/85, effective 8/9/85]</w:t>
      </w:r>
    </w:p>
    <w:p>
      <w:pPr>
        <w:spacing w:before="0" w:after="0"/>
        <w:ind w:left="120"/>
        <w:jc w:val="center"/>
      </w:pPr>
      <w:r>
        <w:rPr>
          <w:rFonts w:ascii="Times New Roman" w:hAnsi="Times New Roman"/>
          <w:b w:val="false"/>
          <w:i w:val="false"/>
          <w:color w:val="000000"/>
          <w:sz w:val="21"/>
        </w:rPr>
        <w:t>[Filed 5/30/86, Notice 3/26/86—published 6/18/86, effective 7/23/86]</w:t>
      </w:r>
    </w:p>
    <w:p>
      <w:pPr>
        <w:spacing w:before="0" w:after="0"/>
        <w:ind w:left="120"/>
        <w:jc w:val="center"/>
      </w:pPr>
      <w:r>
        <w:rPr>
          <w:rFonts w:ascii="Times New Roman" w:hAnsi="Times New Roman"/>
          <w:b w:val="false"/>
          <w:i w:val="false"/>
          <w:color w:val="000000"/>
          <w:sz w:val="21"/>
        </w:rPr>
        <w:t>[Filed emergency 7/25/86—published 8/13/86, effective 7/25/86]</w:t>
      </w:r>
    </w:p>
    <w:p>
      <w:pPr>
        <w:spacing w:before="0" w:after="0"/>
        <w:ind w:left="120"/>
        <w:jc w:val="center"/>
      </w:pPr>
      <w:r>
        <w:rPr>
          <w:rFonts w:ascii="Times New Roman" w:hAnsi="Times New Roman"/>
          <w:b w:val="false"/>
          <w:i w:val="false"/>
          <w:color w:val="000000"/>
          <w:sz w:val="21"/>
        </w:rPr>
        <w:t>[Filed 9/3/86, Notice 7/16/86—published 9/24/86, effective 10/29/86]</w:t>
      </w:r>
    </w:p>
    <w:p>
      <w:pPr>
        <w:spacing w:before="0" w:after="0"/>
        <w:ind w:left="120"/>
        <w:jc w:val="center"/>
      </w:pPr>
      <w:r>
        <w:rPr>
          <w:rFonts w:ascii="Times New Roman" w:hAnsi="Times New Roman"/>
          <w:b w:val="false"/>
          <w:i w:val="false"/>
          <w:color w:val="000000"/>
          <w:sz w:val="21"/>
        </w:rPr>
        <w:t>[Filed 10/1/86, Notice 8/13/86—published 10/22/86, effective 11/26/86]</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9/2/87, Notice 7/29/87—published 9/23/87, effective 10/28/87]</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4/25/89, Notice 2/22/89—published 5/17/89, effective 6/21/89]</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1/2/91, Notice 11/14/90—published 1/23/91, effective 2/27/91]</w:t>
      </w:r>
    </w:p>
    <w:p>
      <w:pPr>
        <w:spacing w:before="0" w:after="0"/>
        <w:ind w:left="120"/>
        <w:jc w:val="center"/>
      </w:pPr>
      <w:r>
        <w:rPr>
          <w:rFonts w:ascii="Times New Roman" w:hAnsi="Times New Roman"/>
          <w:b w:val="false"/>
          <w:i w:val="false"/>
          <w:color w:val="000000"/>
          <w:sz w:val="21"/>
        </w:rPr>
        <w:t>[Filed 6/7/91, Notice 5/1/91—published 6/26/91, effective 7/31/91]</w:t>
      </w:r>
    </w:p>
    <w:p>
      <w:pPr>
        <w:spacing w:before="0" w:after="0"/>
        <w:ind w:left="120"/>
        <w:jc w:val="center"/>
      </w:pPr>
      <w:r>
        <w:rPr>
          <w:rFonts w:ascii="Times New Roman" w:hAnsi="Times New Roman"/>
          <w:b w:val="false"/>
          <w:i w:val="false"/>
          <w:color w:val="000000"/>
          <w:sz w:val="21"/>
        </w:rPr>
        <w:t>[Filed 4/24/92, Notice 2/19/92—published 5/13/92, effective 6/17/92]</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10/4/96, Notice 4/24/96—published 10/23/96, effective 11/27/96]</w:t>
      </w:r>
    </w:p>
    <w:p>
      <w:pPr>
        <w:spacing w:before="0" w:after="0"/>
        <w:ind w:left="120"/>
        <w:jc w:val="center"/>
      </w:pPr>
      <w:r>
        <w:rPr>
          <w:rFonts w:ascii="Times New Roman" w:hAnsi="Times New Roman"/>
          <w:b w:val="false"/>
          <w:i w:val="false"/>
          <w:color w:val="000000"/>
          <w:sz w:val="21"/>
        </w:rPr>
        <w:t>[Filed 12/13/96, Notice 10/23/96—published 1/1/97, effective 2/5/97]</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12/1/97, Notice 9/24/97—published 12/17/97, effective 1/21/98]</w:t>
      </w:r>
    </w:p>
    <w:p>
      <w:pPr>
        <w:spacing w:before="0" w:after="0"/>
        <w:ind w:left="120"/>
        <w:jc w:val="center"/>
      </w:pPr>
      <w:r>
        <w:rPr>
          <w:rFonts w:ascii="Times New Roman" w:hAnsi="Times New Roman"/>
          <w:b w:val="false"/>
          <w:i w:val="false"/>
          <w:color w:val="000000"/>
          <w:sz w:val="21"/>
        </w:rPr>
        <w:t>[Filed 6/12/98, Notice 4/8/98—published 7/1/98, effective 8/5/98]</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emergency 12/8/99 after Notice 11/3/99—published 12/29/99, effective 12/8/99]</w:t>
      </w:r>
    </w:p>
    <w:p>
      <w:pPr>
        <w:spacing w:before="0" w:after="0"/>
        <w:ind w:left="120"/>
        <w:jc w:val="center"/>
      </w:pPr>
      <w:r>
        <w:rPr>
          <w:rFonts w:ascii="Times New Roman" w:hAnsi="Times New Roman"/>
          <w:b w:val="false"/>
          <w:i w:val="false"/>
          <w:color w:val="000000"/>
          <w:sz w:val="21"/>
        </w:rPr>
        <w:t>[Filed 11/28/00, Notice 10/18/00—published 12/27/00, effective 1/31/01]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11/28/01—published 3/6/02, effective 4/10/02]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9601B</w:t>
      </w:r>
      <w:r>
        <w:rPr>
          <w:rFonts w:ascii="Times New Roman" w:hAnsi="Times New Roman"/>
          <w:b w:val="false"/>
          <w:i w:val="false"/>
          <w:color w:val="000000"/>
          <w:sz w:val="21"/>
        </w:rPr>
        <w:t xml:space="preserve"> (Notice ARC 9413B,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0217C</w:t>
      </w:r>
      <w:r>
        <w:rPr>
          <w:rFonts w:ascii="Times New Roman" w:hAnsi="Times New Roman"/>
          <w:b w:val="false"/>
          <w:i w:val="false"/>
          <w:color w:val="000000"/>
          <w:sz w:val="21"/>
        </w:rPr>
        <w:t xml:space="preserve"> (Notice ARC 0092C,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2523C</w:t>
      </w:r>
      <w:r>
        <w:rPr>
          <w:rFonts w:ascii="Times New Roman" w:hAnsi="Times New Roman"/>
          <w:b w:val="false"/>
          <w:i w:val="false"/>
          <w:color w:val="000000"/>
          <w:sz w:val="21"/>
        </w:rPr>
        <w:t xml:space="preserve"> (Notice ARC 2359C, IAB 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[Rescinded paragraph editorially removed, IAC Supplement 10/24/18]</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4338C</w:t>
      </w:r>
      <w:r>
        <w:rPr>
          <w:rFonts w:ascii="Times New Roman" w:hAnsi="Times New Roman"/>
          <w:b w:val="false"/>
          <w:i w:val="false"/>
          <w:color w:val="000000"/>
          <w:sz w:val="21"/>
        </w:rPr>
        <w:t xml:space="preserve"> (Notice ARC 4204C,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4978C</w:t>
      </w:r>
      <w:r>
        <w:rPr>
          <w:rFonts w:ascii="Times New Roman" w:hAnsi="Times New Roman"/>
          <w:b w:val="false"/>
          <w:i w:val="false"/>
          <w:color w:val="000000"/>
          <w:sz w:val="21"/>
        </w:rPr>
        <w:t xml:space="preserve"> (Notice ARC 4820C,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pBdr>
          <w:bottom w:space="2"/>
        </w:pBdr>
        <w:spacing w:before="0" w:after="0"/>
        <w:ind w:left="120"/>
        <w:jc w:val="both"/>
      </w:pPr>
      <w:r>
        <w:rPr>
          <w:rFonts w:ascii="Times New Roman" w:hAnsi="Times New Roman"/>
          <w:b w:val="false"/>
          <w:i w:val="false"/>
          <w:color w:val="000000"/>
          <w:sz w:val="22"/>
        </w:rPr>
        <w:t>Paragraph 11.4(1)“d” rescinded by 2018 Iowa Acts, House File 2377, section 23, effective 7/1/18.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3.11.pdf" Type="http://schemas.openxmlformats.org/officeDocument/2006/relationships/hyperlink" Id="rId5"/>
    <Relationship TargetMode="External" Target="https://www.legis.iowa.gov/docs/iac/chapter/653.11.pdf" Type="http://schemas.openxmlformats.org/officeDocument/2006/relationships/hyperlink" Id="rId6"/>
    <Relationship TargetMode="External" Target="https://www.legis.iowa.gov/docs/ico/chapter/232.69.pdf" Type="http://schemas.openxmlformats.org/officeDocument/2006/relationships/hyperlink" Id="rId7"/>
    <Relationship TargetMode="External" Target="https://www.legis.iowa.gov/docs/ico/chapter/235B.16.pdf" Type="http://schemas.openxmlformats.org/officeDocument/2006/relationships/hyperlink" Id="rId8"/>
    <Relationship TargetMode="External" Target="https://www.legis.iowa.gov/docs/iac/rule/653.11.4.pdf" Type="http://schemas.openxmlformats.org/officeDocument/2006/relationships/hyperlink" Id="rId9"/>
    <Relationship TargetMode="External" Target="https://www.legis.iowa.gov/docs/ico/chapter/232.69.pdf" Type="http://schemas.openxmlformats.org/officeDocument/2006/relationships/hyperlink" Id="rId10"/>
    <Relationship TargetMode="External" Target="https://www.legis.iowa.gov/docs/ico/chapter/235B.16.pdf" Type="http://schemas.openxmlformats.org/officeDocument/2006/relationships/hyperlink" Id="rId11"/>
    <Relationship TargetMode="External" Target="https://www.legis.iowa.gov/docs/iac/rule/653.11.4.pdf" Type="http://schemas.openxmlformats.org/officeDocument/2006/relationships/hyperlink" Id="rId12"/>
    <Relationship TargetMode="External" Target="https://www.legis.iowa.gov/docs/iac/rule/653.11.4.pdf" Type="http://schemas.openxmlformats.org/officeDocument/2006/relationships/hyperlink" Id="rId13"/>
    <Relationship TargetMode="External" Target="https://www.legis.iowa.gov/docs/iac/rule/653.11.4.pdf" Type="http://schemas.openxmlformats.org/officeDocument/2006/relationships/hyperlink" Id="rId14"/>
    <Relationship TargetMode="External" Target="https://www.legis.iowa.gov/docs/iac/rule/653.11.4.pdf" Type="http://schemas.openxmlformats.org/officeDocument/2006/relationships/hyperlink" Id="rId15"/>
    <Relationship TargetMode="External" Target="https://www.legis.iowa.gov/docs/iac/rule/653.11.4.pdf" Type="http://schemas.openxmlformats.org/officeDocument/2006/relationships/hyperlink" Id="rId16"/>
    <Relationship TargetMode="External" Target="https://www.legis.iowa.gov/docs/iac/rule/653.11.4.pdf" Type="http://schemas.openxmlformats.org/officeDocument/2006/relationships/hyperlink" Id="rId17"/>
    <Relationship TargetMode="External" Target="https://www.legis.iowa.gov/docs/iac/chapter/653.11.pdf" Type="http://schemas.openxmlformats.org/officeDocument/2006/relationships/hyperlink" Id="rId18"/>
    <Relationship TargetMode="External" Target="https://www.legis.iowa.gov/docs/iac/chapter/653.11.pdf" Type="http://schemas.openxmlformats.org/officeDocument/2006/relationships/hyperlink" Id="rId19"/>
    <Relationship TargetMode="External" Target="https://www.legis.iowa.gov/docs/iac/chapter/653.11.pdf" Type="http://schemas.openxmlformats.org/officeDocument/2006/relationships/hyperlink" Id="rId20"/>
    <Relationship TargetMode="External" Target="https://www.legis.iowa.gov/docs/iac/rule/653.11.4.pdf" Type="http://schemas.openxmlformats.org/officeDocument/2006/relationships/hyperlink" Id="rId21"/>
    <Relationship TargetMode="External" Target="https://www.legis.iowa.gov/docs/iac/chapter/653.3.pdf" Type="http://schemas.openxmlformats.org/officeDocument/2006/relationships/hyperlink" Id="rId22"/>
    <Relationship TargetMode="External" Target="https://www.legis.iowa.gov/docs/ico/chapter/147.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co/chapter/235B.16.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