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RESIDENT, SPECIAL AND TEMPORARY PHYSICIAN LICENSURE</w:t>
      </w:r>
    </w:p>
    <w:p>
      <w:pPr>
        <w:spacing w:before="0" w:after="0"/>
        <w:ind w:left="120"/>
        <w:jc w:val="center"/>
      </w:pPr>
      <w:r>
        <w:rPr>
          <w:rFonts w:ascii="Times New Roman" w:hAnsi="Times New Roman"/>
          <w:b w:val="false"/>
          <w:i w:val="false"/>
          <w:color w:val="000000"/>
          <w:sz w:val="14"/>
        </w:rPr>
        <w:t>[Prior to 5/30/01, see 653—Chapter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653—10.1</w:t>
      </w:r>
      <w:r>
        <w:rPr>
          <w:rFonts w:ascii="Times New Roman" w:hAnsi="Times New Roman"/>
          <w:b/>
          <w:i w:val="false"/>
          <w:color w:val="000000"/>
          <w:sz w:val="22"/>
        </w:rPr>
        <w:t xml:space="preserve">(147,148)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“ABMS” </w:t>
      </w:r>
      <w:r>
        <w:rPr>
          <w:rFonts w:ascii="Times New Roman" w:hAnsi="Times New Roman"/>
          <w:b w:val="false"/>
          <w:i w:val="false"/>
          <w:color w:val="000000"/>
          <w:sz w:val="22"/>
        </w:rPr>
        <w:t>means the American Board of Medical Specialties, which is an umbrella organization for at least 24 medical specialty boards in the United States that assists the specialty boards in developing and implementing educational and professional standards to evaluate and certify physician specialists in the United States. The board recognizes specialty board certification by ABMS.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“ACGME” </w:t>
      </w:r>
      <w:r>
        <w:rPr>
          <w:rFonts w:ascii="Times New Roman" w:hAnsi="Times New Roman"/>
          <w:b w:val="false"/>
          <w:i w:val="false"/>
          <w:color w:val="000000"/>
          <w:sz w:val="22"/>
        </w:rPr>
        <w:t>means Accreditation Council for Graduate Medical Education, an accreditation body that is responsible for accreditation of post-medical school training programs in medicine and surgery in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“AMA” </w:t>
      </w:r>
      <w:r>
        <w:rPr>
          <w:rFonts w:ascii="Times New Roman" w:hAnsi="Times New Roman"/>
          <w:b w:val="false"/>
          <w:i w:val="false"/>
          <w:color w:val="000000"/>
          <w:sz w:val="22"/>
        </w:rPr>
        <w:t>means the American Medical Association, a professional organization of physicians and surgeons.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“Any jurisdiction” </w:t>
      </w:r>
      <w:r>
        <w:rPr>
          <w:rFonts w:ascii="Times New Roman" w:hAnsi="Times New Roman"/>
          <w:b w:val="false"/>
          <w:i w:val="false"/>
          <w:color w:val="000000"/>
          <w:sz w:val="22"/>
        </w:rPr>
        <w:t>means any state, the District of Columbia or territory of the United States of America or any other 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“Any United States jurisdiction” </w:t>
      </w:r>
      <w:r>
        <w:rPr>
          <w:rFonts w:ascii="Times New Roman" w:hAnsi="Times New Roman"/>
          <w:b w:val="false"/>
          <w:i w:val="false"/>
          <w:color w:val="000000"/>
          <w:sz w:val="22"/>
        </w:rPr>
        <w:t>means any state, the District of Columbia or territory of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“AOA” </w:t>
      </w:r>
      <w:r>
        <w:rPr>
          <w:rFonts w:ascii="Times New Roman" w:hAnsi="Times New Roman"/>
          <w:b w:val="false"/>
          <w:i w:val="false"/>
          <w:color w:val="000000"/>
          <w:sz w:val="22"/>
        </w:rPr>
        <w:t>means the American Osteopathic Association, which is the representative organization for osteopathic physicians (D.O.s) in the United States. The board approves osteopathic medical education programs with AOA accreditation; the board approves AOA-accredited resident training programs in osteopathic medicine and surgery at hospitals for graduates of accredited osteopathic medical schools. The board recognizes specialty board certification by AOA. The board recognizes continuing medical education accredited by the Council on Continuing Medical Education of AOA.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who seeks authorization to practice medicine and surgery or osteopathic medicine and surgery in this state by making application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abuse education training program” </w:t>
      </w:r>
      <w:r>
        <w:rPr>
          <w:rFonts w:ascii="Times New Roman" w:hAnsi="Times New Roman"/>
          <w:b w:val="false"/>
          <w:i w:val="false"/>
          <w:color w:val="000000"/>
          <w:sz w:val="22"/>
        </w:rPr>
        <w:t>means a training program using a curriculum approved by the abuse education review panel of the department of public health or a training program offered by a hospital, a professional organization for physicians, or the department of human services, the department of education, an area education agency, a school district, the Iowa law enforcement academy, an Iowa college or university, or a similar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Iowa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“Board-approved activity” </w:t>
      </w:r>
      <w:r>
        <w:rPr>
          <w:rFonts w:ascii="Times New Roman" w:hAnsi="Times New Roman"/>
          <w:b w:val="false"/>
          <w:i w:val="false"/>
          <w:color w:val="000000"/>
          <w:sz w:val="22"/>
        </w:rPr>
        <w:t>means one of the following activities: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Covering for an Iowa-licensed physician who unexpectedly is unavailable to provide medical care to the physician’s patients;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Demonstrating or proctoring that involves providing hands-on patient care to patients in Iowa;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Conducting a procedure on a patient in Iowa when the consultant’s expertise in the procedure is greater than that of the Iowa-licensed physician who requested the procedure;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Providing medical care to patients in Iowa, if the physician is enrolled in an out-of-state resident training program and does not hold a resident or permanent license in the home state of the resident training program;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Serving as a camp physician;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Participating as a learner in a program of further medical education that allows hands-on patient care when the physician does not currently hold a license in good standing in any United States jurisdiction;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Any other activity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“Board-approved resident training program” </w:t>
      </w:r>
      <w:r>
        <w:rPr>
          <w:rFonts w:ascii="Times New Roman" w:hAnsi="Times New Roman"/>
          <w:b w:val="false"/>
          <w:i w:val="false"/>
          <w:color w:val="000000"/>
          <w:sz w:val="22"/>
        </w:rPr>
        <w:t>means a hospital-affiliated graduate medical education program accredited by ACGME, AOA, RCPSC, or CFPC at the time the applicant is enrolled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“Category 1 credit” </w:t>
      </w:r>
      <w:r>
        <w:rPr>
          <w:rFonts w:ascii="Times New Roman" w:hAnsi="Times New Roman"/>
          <w:b w:val="false"/>
          <w:i w:val="false"/>
          <w:color w:val="000000"/>
          <w:sz w:val="22"/>
        </w:rPr>
        <w:t>means any formal education program which is sponsored or jointly sponsored by an organization accredited for continuing medical education by the Accreditation Council for Continuing Medical Education, the Iowa Medical Society, or the Council on Continuing Medical Education of AOA that is of sufficient scope and depth of coverage of a subject area or theme to form an educational unit and is planned, administered and evaluated in terms of educational objectives that define a level of knowledge or a specific performance skill to be attained by the physician completing the program. Credits designated as formal cognates by the American College of Obstetricians and Gynecologists or as prescribed credits by the American Academy of Family Physicians are accepted as equivalent to category 1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“CFPC” </w:t>
      </w:r>
      <w:r>
        <w:rPr>
          <w:rFonts w:ascii="Times New Roman" w:hAnsi="Times New Roman"/>
          <w:b w:val="false"/>
          <w:i w:val="false"/>
          <w:color w:val="000000"/>
          <w:sz w:val="22"/>
        </w:rPr>
        <w:t>means the College of Family Physicians of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the licensure committee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“ECFMG” </w:t>
      </w:r>
      <w:r>
        <w:rPr>
          <w:rFonts w:ascii="Times New Roman" w:hAnsi="Times New Roman"/>
          <w:b w:val="false"/>
          <w:i w:val="false"/>
          <w:color w:val="000000"/>
          <w:sz w:val="22"/>
        </w:rPr>
        <w:t>means the Educational Commission for Foreign Medical Graduates, an organization that assesses the readiness of international medical school graduates to enter ACGME-approved residency programs in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“FCVS” </w:t>
      </w:r>
      <w:r>
        <w:rPr>
          <w:rFonts w:ascii="Times New Roman" w:hAnsi="Times New Roman"/>
          <w:b w:val="false"/>
          <w:i w:val="false"/>
          <w:color w:val="000000"/>
          <w:sz w:val="22"/>
        </w:rPr>
        <w:t>means the Federation Credentials Verification Service, a service under the Federation of State Medical Boards that verifies and stores core credentials for retrieval whenever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“FSMB” </w:t>
      </w:r>
      <w:r>
        <w:rPr>
          <w:rFonts w:ascii="Times New Roman" w:hAnsi="Times New Roman"/>
          <w:b w:val="false"/>
          <w:i w:val="false"/>
          <w:color w:val="000000"/>
          <w:sz w:val="22"/>
        </w:rPr>
        <w:t>means the Federation of State Medical Boards, the organization of medical boards of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“Incidentally called into this state in consultation with a physician and surgeon licensed in this state” </w:t>
      </w:r>
      <w:r>
        <w:rPr>
          <w:rFonts w:ascii="Times New Roman" w:hAnsi="Times New Roman"/>
          <w:b w:val="false"/>
          <w:i w:val="false"/>
          <w:color w:val="000000"/>
          <w:sz w:val="22"/>
        </w:rPr>
        <w:t xml:space="preserve">as set forth in Iowa Code section </w:t>
      </w:r>
      <w:hyperlink r:id="rId5">
        <w:r>
          <w:rPr>
            <w:rStyle w:val="Hyperlink"/>
            <w:rFonts w:ascii="Times New Roman" w:hAnsi="Times New Roman"/>
            <w:b w:val="false"/>
            <w:i w:val="false"/>
            <w:color w:val="000000"/>
            <w:sz w:val="22"/>
          </w:rPr>
          <w:t>148.2(5)</w:t>
        </w:r>
      </w:hyperlink>
      <w:r>
        <w:rPr>
          <w:rFonts w:ascii="Times New Roman" w:hAnsi="Times New Roman"/>
          <w:b w:val="false"/>
          <w:i w:val="false"/>
          <w:color w:val="000000"/>
          <w:sz w:val="22"/>
        </w:rPr>
        <w:t xml:space="preserve"> means all of the following shall be true: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consulting physician shall be involved in the care of patients in Iowa only at the request of an Iowa-licensed physician.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consulting physician has a license in good standing in another United States jurisdiction.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consulting physician provides expertise and acts in an advisory capacity to an Iowa-licensed physician. The consulting physician may examine the patient and advise an Iowa-licensed physician as to the care that should be provided, but the consulting physician may not personally perform procedures, write orders, or prescribe for the patient.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consulting physician practices in Iowa for a period not greater than 10 consecutive days and not more than 20 total days in any calendar year. Any portion of a day counts as one day.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Iowa-licensed physician requesting the consultation retains the primary responsibility for the management of the patient’s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“LCME” </w:t>
      </w:r>
      <w:r>
        <w:rPr>
          <w:rFonts w:ascii="Times New Roman" w:hAnsi="Times New Roman"/>
          <w:b w:val="false"/>
          <w:i w:val="false"/>
          <w:color w:val="000000"/>
          <w:sz w:val="22"/>
        </w:rPr>
        <w:t>means Liaison Committee on Medical Education, an organization that accredits educational institutions granting degrees in medicine and surgery. The board approves programs that are accredited by LCME.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degree” </w:t>
      </w:r>
      <w:r>
        <w:rPr>
          <w:rFonts w:ascii="Times New Roman" w:hAnsi="Times New Roman"/>
          <w:b w:val="false"/>
          <w:i w:val="false"/>
          <w:color w:val="000000"/>
          <w:sz w:val="22"/>
        </w:rPr>
        <w:t>means a degree of doctor of medicine and surgery or osteopathic medicine and surgery or comparable education from an international medical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licensure” </w:t>
      </w:r>
      <w:r>
        <w:rPr>
          <w:rFonts w:ascii="Times New Roman" w:hAnsi="Times New Roman"/>
          <w:b w:val="false"/>
          <w:i w:val="false"/>
          <w:color w:val="000000"/>
          <w:sz w:val="22"/>
        </w:rPr>
        <w:t>means licensure granted after review of the application and credentials to determine that the individual is qualified to enter into practice. The individual may only practice when the license is in current,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“Postgraduate training” </w:t>
      </w:r>
      <w:r>
        <w:rPr>
          <w:rFonts w:ascii="Times New Roman" w:hAnsi="Times New Roman"/>
          <w:b w:val="false"/>
          <w:i w:val="false"/>
          <w:color w:val="000000"/>
          <w:sz w:val="22"/>
        </w:rPr>
        <w:t>means graduate medical education, e.g., an internship, residency or fellowship, in a hospital-affiliated training program approved by the board at the time the applicant was enrolled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“Practice” </w:t>
      </w:r>
      <w:r>
        <w:rPr>
          <w:rFonts w:ascii="Times New Roman" w:hAnsi="Times New Roman"/>
          <w:b w:val="false"/>
          <w:i w:val="false"/>
          <w:color w:val="000000"/>
          <w:sz w:val="22"/>
        </w:rPr>
        <w:t>means the practice of medicine and surgery or osteopathic medicine and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“RCPSC” </w:t>
      </w:r>
      <w:r>
        <w:rPr>
          <w:rFonts w:ascii="Times New Roman" w:hAnsi="Times New Roman"/>
          <w:b w:val="false"/>
          <w:i w:val="false"/>
          <w:color w:val="000000"/>
          <w:sz w:val="22"/>
        </w:rPr>
        <w:t>means the Royal College of Physicians and Surgeons of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physician” </w:t>
      </w:r>
      <w:r>
        <w:rPr>
          <w:rFonts w:ascii="Times New Roman" w:hAnsi="Times New Roman"/>
          <w:b w:val="false"/>
          <w:i w:val="false"/>
          <w:color w:val="000000"/>
          <w:sz w:val="22"/>
        </w:rPr>
        <w:t>means a physician enrolled in an internship, residency or fellowship.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training program” </w:t>
      </w:r>
      <w:r>
        <w:rPr>
          <w:rFonts w:ascii="Times New Roman" w:hAnsi="Times New Roman"/>
          <w:b w:val="false"/>
          <w:i w:val="false"/>
          <w:color w:val="000000"/>
          <w:sz w:val="22"/>
        </w:rPr>
        <w:t>means a hospital-affiliated graduate medical education program that enrolls interns, residents or fellows and may be referred to as a postgraduate training program for purposes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charge” </w:t>
      </w:r>
      <w:r>
        <w:rPr>
          <w:rFonts w:ascii="Times New Roman" w:hAnsi="Times New Roman"/>
          <w:b w:val="false"/>
          <w:i w:val="false"/>
          <w:color w:val="000000"/>
          <w:sz w:val="22"/>
        </w:rPr>
        <w:t>means the amount charged for making a service available on line and is in addition to the actual fee for a service itself. For example, one who renews a license on line will pay the license renewal fee and a service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for chronic pain management” </w:t>
      </w:r>
      <w:r>
        <w:rPr>
          <w:rFonts w:ascii="Times New Roman" w:hAnsi="Times New Roman"/>
          <w:b w:val="false"/>
          <w:i w:val="false"/>
          <w:color w:val="000000"/>
          <w:sz w:val="22"/>
        </w:rPr>
        <w:t xml:space="preserve">means required training on chronic pain management identified in </w:t>
      </w:r>
      <w:hyperlink r:id="rId6">
        <w:r>
          <w:rPr>
            <w:rStyle w:val="Hyperlink"/>
            <w:rFonts w:ascii="Times New Roman" w:hAnsi="Times New Roman"/>
            <w:b w:val="false"/>
            <w:i w:val="false"/>
            <w:color w:val="000000"/>
            <w:sz w:val="22"/>
          </w:rPr>
          <w:t>653—Chapter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for end-of-life care” </w:t>
      </w:r>
      <w:r>
        <w:rPr>
          <w:rFonts w:ascii="Times New Roman" w:hAnsi="Times New Roman"/>
          <w:b w:val="false"/>
          <w:i w:val="false"/>
          <w:color w:val="000000"/>
          <w:sz w:val="22"/>
        </w:rPr>
        <w:t xml:space="preserve">means required training on end-of-life care identified in </w:t>
      </w:r>
      <w:hyperlink r:id="rId7">
        <w:r>
          <w:rPr>
            <w:rStyle w:val="Hyperlink"/>
            <w:rFonts w:ascii="Times New Roman" w:hAnsi="Times New Roman"/>
            <w:b w:val="false"/>
            <w:i w:val="false"/>
            <w:color w:val="000000"/>
            <w:sz w:val="22"/>
          </w:rPr>
          <w:t>653—Chapter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for identifying and reporting abuse” </w:t>
      </w:r>
      <w:r>
        <w:rPr>
          <w:rFonts w:ascii="Times New Roman" w:hAnsi="Times New Roman"/>
          <w:b w:val="false"/>
          <w:i w:val="false"/>
          <w:color w:val="000000"/>
          <w:sz w:val="22"/>
        </w:rPr>
        <w:t xml:space="preserve">means training on identifying and reporting child abuse or dependent adult abuse required of physicians who regularly provide primary health care to children or adults, respectively. The full requirements on mandatory reporting of child abuse and the training requirements are found in Iowa Code section </w:t>
      </w:r>
      <w:hyperlink r:id="rId8">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the full requirements on mandatory reporting of dependent adult abuse and the training requirements are found in Iowa Code section </w:t>
      </w:r>
      <w:hyperlink r:id="rId9">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“Uniform application for physician state licensure” </w:t>
      </w:r>
      <w:r>
        <w:rPr>
          <w:rFonts w:ascii="Times New Roman" w:hAnsi="Times New Roman"/>
          <w:b w:val="false"/>
          <w:i w:val="false"/>
          <w:color w:val="000000"/>
          <w:sz w:val="22"/>
        </w:rPr>
        <w:t>means a web-based application that is intended to standardize and simplify the licensure application process for state medical licensure. The Federation of State Medical Boards created and maintains the application. This application is used for all license types issued by the Iowa board of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0216C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653—10.2</w:t>
      </w:r>
      <w:r>
        <w:rPr>
          <w:rFonts w:ascii="Times New Roman" w:hAnsi="Times New Roman"/>
          <w:b/>
          <w:i w:val="false"/>
          <w:color w:val="000000"/>
          <w:sz w:val="22"/>
        </w:rPr>
        <w:t xml:space="preserve">(148) </w:t>
      </w:r>
      <w:r>
        <w:rPr>
          <w:rFonts w:ascii="Times New Roman" w:hAnsi="Times New Roman"/>
          <w:b/>
          <w:i w:val="false"/>
          <w:color w:val="000000"/>
          <w:sz w:val="22"/>
        </w:rPr>
        <w:t xml:space="preserve">Licensure required. </w:t>
      </w:r>
      <w:r>
        <w:rPr>
          <w:rFonts w:ascii="Times New Roman" w:hAnsi="Times New Roman"/>
          <w:b w:val="false"/>
          <w:i w:val="false"/>
          <w:color w:val="000000"/>
          <w:sz w:val="22"/>
        </w:rPr>
        <w:t xml:space="preserve">Licensure is required for practice in Iowa as identified in Iowa Code section </w:t>
      </w:r>
      <w:hyperlink r:id="rId10">
        <w:r>
          <w:rPr>
            <w:rStyle w:val="Hyperlink"/>
            <w:rFonts w:ascii="Times New Roman" w:hAnsi="Times New Roman"/>
            <w:b w:val="false"/>
            <w:i w:val="false"/>
            <w:color w:val="000000"/>
            <w:sz w:val="22"/>
          </w:rPr>
          <w:t>148.1</w:t>
        </w:r>
      </w:hyperlink>
      <w:r>
        <w:rPr>
          <w:rFonts w:ascii="Times New Roman" w:hAnsi="Times New Roman"/>
          <w:b w:val="false"/>
          <w:i w:val="false"/>
          <w:color w:val="000000"/>
          <w:sz w:val="22"/>
        </w:rPr>
        <w:t xml:space="preserve">; the exceptions are identified in </w:t>
      </w:r>
      <w:hyperlink r:id="rId11">
        <w:r>
          <w:rPr>
            <w:rStyle w:val="Hyperlink"/>
            <w:rFonts w:ascii="Times New Roman" w:hAnsi="Times New Roman"/>
            <w:b w:val="false"/>
            <w:i w:val="false"/>
            <w:color w:val="000000"/>
            <w:sz w:val="22"/>
          </w:rPr>
          <w:t>653—subrule 9.2(2)</w:t>
        </w:r>
      </w:hyperlink>
      <w:r>
        <w:rPr>
          <w:rFonts w:ascii="Times New Roman" w:hAnsi="Times New Roman"/>
          <w:b w:val="false"/>
          <w:i w:val="false"/>
          <w:color w:val="000000"/>
          <w:sz w:val="22"/>
        </w:rPr>
        <w:t xml:space="preserve">. Provisions for permanent physician licensure are found in </w:t>
      </w:r>
      <w:hyperlink r:id="rId12">
        <w:r>
          <w:rPr>
            <w:rStyle w:val="Hyperlink"/>
            <w:rFonts w:ascii="Times New Roman" w:hAnsi="Times New Roman"/>
            <w:b w:val="false"/>
            <w:i w:val="false"/>
            <w:color w:val="000000"/>
            <w:sz w:val="22"/>
          </w:rPr>
          <w:t>653—Chapter 9</w:t>
        </w:r>
      </w:hyperlink>
      <w:r>
        <w:rPr>
          <w:rFonts w:ascii="Times New Roman" w:hAnsi="Times New Roman"/>
          <w:b w:val="false"/>
          <w:i w:val="false"/>
          <w:color w:val="000000"/>
          <w:sz w:val="22"/>
        </w:rPr>
        <w:t>; provisions for resident, special and temporary physician licensure are found in this chapter.</w:t>
      </w:r>
    </w:p>
    <w:p>
      <w:pPr>
        <w:spacing w:before="0" w:after="0"/>
        <w:ind w:left="120"/>
        <w:jc w:val="both"/>
      </w:pPr>
      <w:r>
        <w:rPr>
          <w:rFonts w:ascii="Times New Roman" w:hAnsi="Times New Roman"/>
          <w:b/>
          <w:i w:val="false"/>
          <w:color w:val="000000"/>
          <w:sz w:val="22"/>
        </w:rPr>
        <w:t>653—10.3</w:t>
      </w:r>
      <w:r>
        <w:rPr>
          <w:rFonts w:ascii="Times New Roman" w:hAnsi="Times New Roman"/>
          <w:b/>
          <w:i w:val="false"/>
          <w:color w:val="000000"/>
          <w:sz w:val="22"/>
        </w:rPr>
        <w:t xml:space="preserve">(147,148) </w:t>
      </w:r>
      <w:r>
        <w:rPr>
          <w:rFonts w:ascii="Times New Roman" w:hAnsi="Times New Roman"/>
          <w:b/>
          <w:i w:val="false"/>
          <w:color w:val="000000"/>
          <w:sz w:val="22"/>
        </w:rPr>
        <w:t xml:space="preserve">Resident physician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 physician license shall authorize the licensee to practice as an intern, resident or fellow while under the supervision of a licensed practitioner of medicine and surgery or osteopathic medicine and surgery in a board-approved resident training program in Iowa. When the ACGME, AOA, RCPSC, or CFPC fails to offer accreditation for a fellowship or the fellowship fails to seek accreditation, the board shall approve the program if the parent program is accredited by one of the aforementioned accrediting bodies. However, completion of one or more years of a program that itself lacks such accreditation does not fulfill the one-year resident training requirement for permanent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Iowa resident physician license or an Iowa permanent physician license is required of any resident physician enrolled in an Iowa resident training program and practicing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resident physician license issued on or after February 14, 2003, shall expire on the expected date of completion of the resident training program as indicated on the licensure application. A resident physician license may be extended thereafter at the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resident physician license is valid only for practice in the program designated in the application. When the physician leaves that program, the license shall immediately become inactive. The director of the resident training program shall notify the board within 30 days of the licensee’s terminating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 physician licensee who changes resident training programs shall apply for a new resident physician license as described in subrule </w:t>
      </w:r>
      <w:hyperlink r:id="rId13">
        <w:r>
          <w:rPr>
            <w:rStyle w:val="Hyperlink"/>
            <w:rFonts w:ascii="Times New Roman" w:hAnsi="Times New Roman"/>
            <w:b w:val="false"/>
            <w:i w:val="false"/>
            <w:color w:val="000000"/>
            <w:sz w:val="22"/>
          </w:rPr>
          <w:t>10.3(3)</w:t>
        </w:r>
      </w:hyperlink>
      <w:r>
        <w:rPr>
          <w:rFonts w:ascii="Times New Roman" w:hAnsi="Times New Roman"/>
          <w:b w:val="false"/>
          <w:i w:val="false"/>
          <w:color w:val="000000"/>
          <w:sz w:val="22"/>
        </w:rPr>
        <w:t>. Such changes include a transfer to a different program in the same institution, a move to a program in another institution, or becoming a fellow after completing a residency in the same core program. An individual who contracts with an institution to be in two programs from the time of application for the resident license shall not be required to apply for another resident license for the second program. For example, if a residency requires one year in internal medicine prior to three years in dermatology, the individual may apply initially for a four-year resident license to cover the bundled program. Relicensure is not required if the individual holds a permanent physician license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visiting resident physician may come to Iowa to practice as a part of the physician’s resident training program if the physician is under the supervision of an Iowa-licensed physician. An Iowa physician license is not required of a physician in training if the physician has a resident or permanent license in good standing in the home state of the resident training program. An Iowa temporary physician license is required of a physician in training if the physician does not hold a resident or permanent physician license in good standing in the home state of the resident training program (see rule </w:t>
      </w:r>
      <w:hyperlink r:id="rId14">
        <w:r>
          <w:rPr>
            <w:rStyle w:val="Hyperlink"/>
            <w:rFonts w:ascii="Times New Roman" w:hAnsi="Times New Roman"/>
            <w:b w:val="false"/>
            <w:i w:val="false"/>
            <w:color w:val="000000"/>
            <w:sz w:val="22"/>
          </w:rPr>
          <w:t>653—10.5(147,148)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Iowa license is not required for residents when they are training in a federal facility in Iowa. An Iowa license is not required for faculty who are teaching in and employed by a federal facility in Iowa and who are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director of a resident training program that enrolls a resident with an Iowa resident physician license shall report annually on October 1 on the resident’s progress and whether any warnings have been issued, investigations conducted or disciplinary actions taken, whether by voluntary agreement or formal action. The board shall inform the program directors on September 1 of the impending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resident physician licensee shall notify the board of any change in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resident physician licensee’s file shall be closed and labeled “deceased” when the board receives a copy of the physician’s death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color w:val="000000"/>
          <w:sz w:val="22"/>
        </w:rPr>
        <w:t xml:space="preserve">Resident license eligibility. </w:t>
      </w:r>
      <w:r>
        <w:rPr>
          <w:rFonts w:ascii="Times New Roman" w:hAnsi="Times New Roman"/>
          <w:b w:val="false"/>
          <w:i w:val="false"/>
          <w:color w:val="000000"/>
          <w:sz w:val="22"/>
        </w:rPr>
        <w:t>To be eligible for a resident license, an applicant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the application requirements specified in subrule </w:t>
      </w:r>
      <w:hyperlink r:id="rId15">
        <w:r>
          <w:rPr>
            <w:rStyle w:val="Hyperlink"/>
            <w:rFonts w:ascii="Times New Roman" w:hAnsi="Times New Roman"/>
            <w:b w:val="false"/>
            <w:i w:val="false"/>
            <w:color w:val="000000"/>
            <w:sz w:val="22"/>
          </w:rPr>
          <w:t>10.3(3)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at least 20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Hold a medical degree from an educational institution approved by the board at the time the applicant graduated and was awarded the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Educational institutions approved by the board shall be fully accredited by an accrediting agency recognized by the board as schools of instruction in medicine and surgery or osteopathic medicine and surgery and empowered to grant academic degrees in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accrediting bodies currently recognized by the board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LCME for the educational institutions granting degrees in medicine and surgery;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AOA for educational institutions granting degrees in osteopathic medicine and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 holds a medical degree from an educational institution not approved by the board at the time the applicant graduated and was awarded the degree, the applicant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Hold a valid certificate issued by ECFMG,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Have successfully completed a fifth pathway program established in accordance with AMA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license is not denied by the board due to the commission of a disqualifying offense, as provided in </w:t>
      </w:r>
      <w:hyperlink r:id="rId16">
        <w:r>
          <w:rPr>
            <w:rStyle w:val="Hyperlink"/>
            <w:rFonts w:ascii="Times New Roman" w:hAnsi="Times New Roman"/>
            <w:b w:val="false"/>
            <w:i w:val="false"/>
            <w:color w:val="000000"/>
            <w:sz w:val="22"/>
          </w:rPr>
          <w:t>653—subrule 9.3(3)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w:t>
      </w:r>
      <w:r>
        <w:rPr>
          <w:rFonts w:ascii="Times New Roman" w:hAnsi="Times New Roman"/>
          <w:b w:val="false"/>
          <w:i w:val="false"/>
          <w:color w:val="000000"/>
          <w:sz w:val="22"/>
        </w:rPr>
        <w:t> </w:t>
      </w:r>
      <w:r>
        <w:rPr>
          <w:rFonts w:ascii="Times New Roman" w:hAnsi="Times New Roman"/>
          <w:b w:val="false"/>
          <w:i/>
          <w:color w:val="000000"/>
          <w:sz w:val="22"/>
        </w:rPr>
        <w:t xml:space="preserve">Resident physician licensure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To apply for resident physician licensure,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 a nonrefundable application fee of $100 plus the $45 fee identified in </w:t>
      </w:r>
      <w:hyperlink r:id="rId17">
        <w:r>
          <w:rPr>
            <w:rStyle w:val="Hyperlink"/>
            <w:rFonts w:ascii="Times New Roman" w:hAnsi="Times New Roman"/>
            <w:b w:val="false"/>
            <w:i w:val="false"/>
            <w:color w:val="000000"/>
            <w:sz w:val="22"/>
          </w:rPr>
          <w:t>653—subrule 8.4(6)</w:t>
        </w:r>
      </w:hyperlink>
      <w:r>
        <w:rPr>
          <w:rFonts w:ascii="Times New Roman" w:hAnsi="Times New Roman"/>
          <w:b w:val="false"/>
          <w:i w:val="false"/>
          <w:color w:val="000000"/>
          <w:sz w:val="22"/>
        </w:rPr>
        <w:t xml:space="preserve"> for the evaluation of the fingerprint packet and the criminal history background checks by the Iowa division of criminal investigation (DCI) and the Federal Bureau of Investigation (FBI);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and submit forms provided by the board, including required credentials, documents, a completed fingerprint packet, and a sworn statement by the applicant attesting to the truth of all information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application shall require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Full legal name, date and place of birth, home address, and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photograph of the applicant suitable for positive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listing 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medical school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photocopy of the applicant’s medical degree issued by an educational institution.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complete translation shall be submitted for any diploma not written in English. An official transcript, written in English and received directly from the school, verifying graduation from medical school is a suitable alternative. An official FCVS Physician Information Profile is a suitable alternative.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a copy of the medical degree cannot be provided because of extraordinary circumstances, the board may accept other reliable evidence that the applicant obtained a medical degree from a specific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educational institution awarding the applicant the degree has not been approved by the board, the applicant shall provide a valid ECFMG certificate or evidence of successful completion of a fifth pathway program in accordance with criteria established by the AMA. An official FCVS Physician Information Profile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warnings issued, investigations conducted, or disciplinary actions taken, whether by voluntary agreement or formal action, by a medical or professional regulatory authority, an educational institution, training or research program, or health care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of the applicant’s physical and mental health, including full disclosure and a written explanation of any dysfunction or impairment which may affect the ability of the applicant to engage in practice and provide patients with safe and healthful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the applicant’s involvement in civil litigation related to practice in any jurisdiction.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w:t>
      </w:r>
      <w:r>
        <w:rPr>
          <w:rFonts w:ascii="Times New Roman" w:hAnsi="Times New Roman"/>
          <w:b w:val="false"/>
          <w:i w:val="false"/>
          <w:color w:val="000000"/>
          <w:sz w:val="22"/>
        </w:rPr>
        <w:t> </w:t>
      </w:r>
      <w:r>
        <w:rPr>
          <w:rFonts w:ascii="Times New Roman" w:hAnsi="Times New Roman"/>
          <w:b w:val="false"/>
          <w:i/>
          <w:color w:val="000000"/>
          <w:sz w:val="22"/>
        </w:rPr>
        <w:t xml:space="preserve">Resident license application review process. </w:t>
      </w:r>
      <w:r>
        <w:rPr>
          <w:rFonts w:ascii="Times New Roman" w:hAnsi="Times New Roman"/>
          <w:b w:val="false"/>
          <w:i w:val="false"/>
          <w:color w:val="000000"/>
          <w:sz w:val="22"/>
        </w:rPr>
        <w:t>The process below shall be utilized to review each application for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shall be considered open from the date the application form is received in the board office with the nonrefundable resident licensure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staff shall notify the applicant or designee about how to resolve any problems identified by the reviewer.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licensure, staff may grant administratively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applicant, the executive director, director of licensure and administration, and director of legal affairs shall determine if the questions or concerns indicate any uncertainty about the applicant’s current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shall grant administratively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shall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shall refer to the committee for review matters which include, but are not limited to, falsification of information on the application, criminal record, substance abuse, competency, physical or mental illness, or educational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grant administratively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shall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resident physician license for a particular residency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board shall consider applications and recommendations from the committee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resident physician license for a particular residency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Grant a license under certain terms and conditions or with certain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 license. The board may deny a license for any grounds on which the board may discipline a license. The procedure for appealing a license denial is set forth in </w:t>
      </w:r>
      <w:hyperlink r:id="rId18">
        <w:r>
          <w:rPr>
            <w:rStyle w:val="Hyperlink"/>
            <w:rFonts w:ascii="Times New Roman" w:hAnsi="Times New Roman"/>
            <w:b w:val="false"/>
            <w:i w:val="false"/>
            <w:color w:val="000000"/>
            <w:sz w:val="22"/>
          </w:rPr>
          <w:t>653—9.15</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w:t>
      </w:r>
      <w:r>
        <w:rPr>
          <w:rFonts w:ascii="Times New Roman" w:hAnsi="Times New Roman"/>
          <w:b w:val="false"/>
          <w:i w:val="false"/>
          <w:color w:val="000000"/>
          <w:sz w:val="22"/>
        </w:rPr>
        <w:t> </w:t>
      </w:r>
      <w:r>
        <w:rPr>
          <w:rFonts w:ascii="Times New Roman" w:hAnsi="Times New Roman"/>
          <w:b w:val="false"/>
          <w:i/>
          <w:color w:val="000000"/>
          <w:sz w:val="22"/>
        </w:rPr>
        <w:t xml:space="preserve">Resident license application cycle. </w:t>
      </w:r>
      <w:r>
        <w:rPr>
          <w:rFonts w:ascii="Times New Roman" w:hAnsi="Times New Roman"/>
          <w:b w:val="false"/>
          <w:i w:val="false"/>
          <w:color w:val="000000"/>
          <w:sz w:val="22"/>
        </w:rPr>
        <w:t>If the applicant does not submit all materials within 90 days of the board’s initial request for further information, the application shall be considered inactive. The board office shall notify the applicant of this change in status. An applicant must reapply and submit a new nonrefundable application fee and a new application, documents and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w:t>
      </w:r>
      <w:r>
        <w:rPr>
          <w:rFonts w:ascii="Times New Roman" w:hAnsi="Times New Roman"/>
          <w:b w:val="false"/>
          <w:i w:val="false"/>
          <w:color w:val="000000"/>
          <w:sz w:val="22"/>
        </w:rPr>
        <w:t> </w:t>
      </w:r>
      <w:r>
        <w:rPr>
          <w:rFonts w:ascii="Times New Roman" w:hAnsi="Times New Roman"/>
          <w:b w:val="false"/>
          <w:i/>
          <w:color w:val="000000"/>
          <w:sz w:val="22"/>
        </w:rPr>
        <w:t xml:space="preserve">Extension of a resident physician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licensee fails to complete the program by the expiration date on the license, the licensee has a one-month grace period in which to complete the program or secure an extension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 physician licensee is responsible for applying for an extension if the licensee has not been granted permanent physician licensure and the licensee will not complete the program within the grace period. The following extension application materials are due in the board office prior to the expiration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letter requesting an extension and providing an explanation of the need for an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extension fee of $25;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from the director of the resident training program attesting to the new expected date of completion of the program and the individual’s progress in the program and whether any warnings have been issued, investigations conducted or disciplinary actions taken, whether by voluntary agreement or formal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of the licensee to extend a license within one month following the expiration date shall cause the license to become inactive and invalid. For example, a license that expires on June 26 becomes inactive and invalid on July 26. A licensee whose license is inactive is prohibited from practice until the license is extended or replaced by a permanent physician or new resident physician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extend an inactive resident license within one year of becoming inactive, an applicant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letter requesting an extension and providing an explanation of the need for an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extension fee of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$50 late fee;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from the director of the resident training program attesting to the new expected date of completion of the program and the individual’s progress in the program and whether any warnings have been issued, investigations conducted or disciplinary actions taken, whether by voluntary agreement or formal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more than one year has passed since the resident license became inactive, the applicant shall apply for a new resident license as described in subrule </w:t>
      </w:r>
      <w:hyperlink r:id="rId19">
        <w:r>
          <w:rPr>
            <w:rStyle w:val="Hyperlink"/>
            <w:rFonts w:ascii="Times New Roman" w:hAnsi="Times New Roman"/>
            <w:b w:val="false"/>
            <w:i w:val="false"/>
            <w:color w:val="000000"/>
            <w:sz w:val="22"/>
          </w:rPr>
          <w:t>10.3(3)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and training. </w:t>
      </w:r>
      <w:r>
        <w:rPr>
          <w:rFonts w:ascii="Times New Roman" w:hAnsi="Times New Roman"/>
          <w:b w:val="false"/>
          <w:i w:val="false"/>
          <w:color w:val="000000"/>
          <w:sz w:val="22"/>
        </w:rPr>
        <w:t xml:space="preserve">Applicants seeking an extension of a resident physician license or an extension of an inactive resident physician license are not required to complete continuing medical education or training requirements as identified in </w:t>
      </w:r>
      <w:hyperlink r:id="rId20">
        <w:r>
          <w:rPr>
            <w:rStyle w:val="Hyperlink"/>
            <w:rFonts w:ascii="Times New Roman" w:hAnsi="Times New Roman"/>
            <w:b w:val="false"/>
            <w:i w:val="false"/>
            <w:color w:val="000000"/>
            <w:sz w:val="22"/>
          </w:rPr>
          <w:t>653—Chapter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w:t>
      </w:r>
      <w:r>
        <w:rPr>
          <w:rFonts w:ascii="Times New Roman" w:hAnsi="Times New Roman"/>
          <w:b w:val="false"/>
          <w:i w:val="false"/>
          <w:color w:val="000000"/>
          <w:sz w:val="22"/>
        </w:rPr>
        <w:t> </w:t>
      </w:r>
      <w:r>
        <w:rPr>
          <w:rFonts w:ascii="Times New Roman" w:hAnsi="Times New Roman"/>
          <w:b w:val="false"/>
          <w:i/>
          <w:color w:val="000000"/>
          <w:sz w:val="22"/>
        </w:rPr>
        <w:t xml:space="preserve">Review process for extending a resident license. </w:t>
      </w:r>
      <w:r>
        <w:rPr>
          <w:rFonts w:ascii="Times New Roman" w:hAnsi="Times New Roman"/>
          <w:b w:val="false"/>
          <w:i w:val="false"/>
          <w:color w:val="000000"/>
          <w:sz w:val="22"/>
        </w:rPr>
        <w:t>The process below shall be utilized to review each request for an extension of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extension request shall be considered open from the date the required letters and nonrefundable extension fee are received in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request for extension, staff shall notify the licensee or designee about how to resolve any problems identified by the reviewer. The applicant for license extension shall provide additional information when requested by staff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continued licensure, staff may grant administratively an extension to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applicant, the executive director, the director of licensure and administration, and the director of legal affairs shall determine if the questions or concerns indicate any uncertainty about the applicant’s current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shall grant administratively an extension to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shall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shall refer to the committee for review matters which include, but are not limited to, falsification of information in the request, criminal record, substance abuse, competency, physical or mental illness, or educational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grant administratively an extension to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shall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the licensee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that the licensee withdraw the request for an extension;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Deny a request for an extension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board shall consider applications and recommendations from the committee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the licensee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an extension to the resident physician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Grant an extension to the resident physician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Request that the licensee withdraw the request for an extension;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 request for an extension of the license. The board may deny an extension of a license for any grounds on which the board may discipline a license. The procedure for appealing a license denial of an extension is set forth in </w:t>
      </w:r>
      <w:hyperlink r:id="rId21">
        <w:r>
          <w:rPr>
            <w:rStyle w:val="Hyperlink"/>
            <w:rFonts w:ascii="Times New Roman" w:hAnsi="Times New Roman"/>
            <w:b w:val="false"/>
            <w:i w:val="false"/>
            <w:color w:val="000000"/>
            <w:sz w:val="22"/>
          </w:rPr>
          <w:t>653—9.15</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w:t>
      </w:r>
      <w:r>
        <w:rPr>
          <w:rFonts w:ascii="Times New Roman" w:hAnsi="Times New Roman"/>
          <w:b w:val="false"/>
          <w:i w:val="false"/>
          <w:color w:val="000000"/>
          <w:sz w:val="22"/>
        </w:rPr>
        <w:t> </w:t>
      </w:r>
      <w:r>
        <w:rPr>
          <w:rFonts w:ascii="Times New Roman" w:hAnsi="Times New Roman"/>
          <w:b w:val="false"/>
          <w:i/>
          <w:color w:val="000000"/>
          <w:sz w:val="22"/>
        </w:rPr>
        <w:t xml:space="preserve">An Iowa resident physician who changes resident training programs in Iowa. </w:t>
      </w:r>
      <w:r>
        <w:rPr>
          <w:rFonts w:ascii="Times New Roman" w:hAnsi="Times New Roman"/>
          <w:b w:val="false"/>
          <w:i w:val="false"/>
          <w:color w:val="000000"/>
          <w:sz w:val="22"/>
        </w:rPr>
        <w:t>A resident physician who changes resident training programs shall acquire new resident physician licensure or permanent licensure prior to entering the new resident training program. Such changes include a transfer to a different program in the same institution, a move to a program in another institution, or becoming a fellow after completing a residency in the same core program. An individual who contracts with an institution to be in two programs from the time of application for the resident license shall not be required to apply for another resident license for the second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10.3(10)</w:t>
      </w:r>
      <w:r>
        <w:rPr>
          <w:rFonts w:ascii="Times New Roman" w:hAnsi="Times New Roman"/>
          <w:b w:val="false"/>
          <w:i w:val="false"/>
          <w:color w:val="000000"/>
          <w:sz w:val="22"/>
        </w:rPr>
        <w:t> </w:t>
      </w:r>
      <w:r>
        <w:rPr>
          <w:rFonts w:ascii="Times New Roman" w:hAnsi="Times New Roman"/>
          <w:b w:val="false"/>
          <w:i/>
          <w:color w:val="000000"/>
          <w:sz w:val="22"/>
        </w:rPr>
        <w:t xml:space="preserve">Discipline of a resident license. </w:t>
      </w:r>
      <w:r>
        <w:rPr>
          <w:rFonts w:ascii="Times New Roman" w:hAnsi="Times New Roman"/>
          <w:b w:val="false"/>
          <w:i w:val="false"/>
          <w:color w:val="000000"/>
          <w:sz w:val="22"/>
        </w:rPr>
        <w:t xml:space="preserve">The board may discipline a license for any of the grounds for which licensure may be revoked or suspended as specified in Iowa Code section </w:t>
      </w:r>
      <w:hyperlink r:id="rId22">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or </w:t>
      </w:r>
      <w:hyperlink r:id="rId23">
        <w:r>
          <w:rPr>
            <w:rStyle w:val="Hyperlink"/>
            <w:rFonts w:ascii="Times New Roman" w:hAnsi="Times New Roman"/>
            <w:b w:val="false"/>
            <w:i w:val="false"/>
            <w:color w:val="000000"/>
            <w:sz w:val="22"/>
          </w:rPr>
          <w:t>148.6</w:t>
        </w:r>
      </w:hyperlink>
      <w:r>
        <w:rPr>
          <w:rFonts w:ascii="Times New Roman" w:hAnsi="Times New Roman"/>
          <w:b w:val="false"/>
          <w:i w:val="false"/>
          <w:color w:val="000000"/>
          <w:sz w:val="22"/>
        </w:rPr>
        <w:t xml:space="preserve">, Iowa Code chapter </w:t>
      </w:r>
      <w:hyperlink r:id="rId2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653—Chapter 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10.3(11)</w:t>
      </w:r>
      <w:r>
        <w:rPr>
          <w:rFonts w:ascii="Times New Roman" w:hAnsi="Times New Roman"/>
          <w:b w:val="false"/>
          <w:i w:val="false"/>
          <w:color w:val="000000"/>
          <w:sz w:val="22"/>
        </w:rPr>
        <w:t> </w:t>
      </w:r>
      <w:r>
        <w:rPr>
          <w:rFonts w:ascii="Times New Roman" w:hAnsi="Times New Roman"/>
          <w:b w:val="false"/>
          <w:i/>
          <w:color w:val="000000"/>
          <w:sz w:val="22"/>
        </w:rPr>
        <w:t xml:space="preserve">Transition from a resident license to a permanent license. </w:t>
      </w:r>
      <w:r>
        <w:rPr>
          <w:rFonts w:ascii="Times New Roman" w:hAnsi="Times New Roman"/>
          <w:b w:val="false"/>
          <w:i w:val="false"/>
          <w:color w:val="000000"/>
          <w:sz w:val="22"/>
        </w:rPr>
        <w:t>When a resident physician receives a permanent Iowa license, the resident physician license shall immediately become inactive.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0216C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 xml:space="preserve">; </w:t>
      </w:r>
      <w:r>
        <w:rPr>
          <w:rFonts w:ascii="Times New Roman" w:hAnsi="Times New Roman"/>
          <w:b/>
          <w:i w:val="false"/>
          <w:color w:val="000000"/>
          <w:sz w:val="16"/>
        </w:rPr>
        <w:t>ARC 1187C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5749C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653—10.4</w:t>
      </w:r>
      <w:r>
        <w:rPr>
          <w:rFonts w:ascii="Times New Roman" w:hAnsi="Times New Roman"/>
          <w:b/>
          <w:i w:val="false"/>
          <w:color w:val="000000"/>
          <w:sz w:val="22"/>
        </w:rPr>
        <w:t xml:space="preserve">(147,148) </w:t>
      </w:r>
      <w:r>
        <w:rPr>
          <w:rFonts w:ascii="Times New Roman" w:hAnsi="Times New Roman"/>
          <w:b/>
          <w:i w:val="false"/>
          <w:color w:val="000000"/>
          <w:sz w:val="22"/>
        </w:rPr>
        <w:t xml:space="preserve">Special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may grant a special license to a physician who is an academic staff member of a college of medicine or osteopathic medicine if that physician does not meet the qualifications for permanent licensure, but is held in high esteem for unique contributions the individual has made to medicine and will make by practicing in Iowa. The license is not designed for physicians in regular faculty positions that could be filled by a physician qualified for permanent licensure in Iowa or for the purpose of training the physician who receives the license, i.e., participating in a fellowship of any kind. The board will consider granting and renewing a special license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special license may be issued for a period of not more than one year and may be renewed annually prior to expiration. The number of renewals granted by the board is not limited. The renewal of any special license granted for the first time after July 1, 2001, shall be limited to those physicians who continue to meet the requirements of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and subrule </w:t>
      </w:r>
      <w:hyperlink r:id="rId26">
        <w:r>
          <w:rPr>
            <w:rStyle w:val="Hyperlink"/>
            <w:rFonts w:ascii="Times New Roman" w:hAnsi="Times New Roman"/>
            <w:b w:val="false"/>
            <w:i w:val="false"/>
            <w:color w:val="000000"/>
            <w:sz w:val="22"/>
          </w:rPr>
          <w:t>10.4(5)</w:t>
        </w:r>
      </w:hyperlink>
      <w:r>
        <w:rPr>
          <w:rFonts w:ascii="Times New Roman" w:hAnsi="Times New Roman"/>
          <w:b w:val="false"/>
          <w:i w:val="false"/>
          <w:color w:val="000000"/>
          <w:sz w:val="22"/>
        </w:rPr>
        <w:t>. Academic institutions are encouraged to assist special licensees in qualifying for permanent licensure if the physician is to remain in Iowa long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special license shall specifically limit the licensee to practice at the medical college and at any health care facility affiliated with the medical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special license shall automatically be placed on inactive status when the licensee discontinues service on the academic medical staff for which the special license was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cancel a special license if the licensee has practiced outside the scope of this license or for any of the grounds for which licensure may be revoked or suspended as specified in Iowa Code sections </w:t>
      </w:r>
      <w:hyperlink r:id="rId27">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148.6</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653—Chapter 23</w:t>
        </w:r>
      </w:hyperlink>
      <w:r>
        <w:rPr>
          <w:rFonts w:ascii="Times New Roman" w:hAnsi="Times New Roman"/>
          <w:b w:val="false"/>
          <w:i w:val="false"/>
          <w:color w:val="000000"/>
          <w:sz w:val="22"/>
        </w:rPr>
        <w:t xml:space="preserve">. When cancellation of such a license is proposed, the board shall promptly notify the licensee by sending a statement of charges and notice of hearing by certified mail to the last-known address of the licensee. This contested case proceeding shall be governed by the provisions of </w:t>
      </w:r>
      <w:hyperlink r:id="rId31">
        <w:r>
          <w:rPr>
            <w:rStyle w:val="Hyperlink"/>
            <w:rFonts w:ascii="Times New Roman" w:hAnsi="Times New Roman"/>
            <w:b w:val="false"/>
            <w:i w:val="false"/>
            <w:color w:val="000000"/>
            <w:sz w:val="22"/>
          </w:rPr>
          <w:t>653—Chapter 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special physician licensee shall notify the board of any change in home address or the address of the place of practice within one month of making an address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special physician licensee shall notify the board of any change in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special physician licensee file shall be closed and labeled “deceased” when the board receives a copy of the physician’s death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board shall accept each 12 months of practice as a special licensee as equivalent to one year of postgraduate training in a hospital-affiliated program approved by the board for the purposes of permanent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color w:val="000000"/>
          <w:sz w:val="22"/>
        </w:rPr>
        <w:t xml:space="preserve">Special license eligibility. </w:t>
      </w:r>
      <w:r>
        <w:rPr>
          <w:rFonts w:ascii="Times New Roman" w:hAnsi="Times New Roman"/>
          <w:b w:val="false"/>
          <w:i w:val="false"/>
          <w:color w:val="000000"/>
          <w:sz w:val="22"/>
        </w:rPr>
        <w:t>To be eligible for a special license, an applicant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the application requirements specified in subrule </w:t>
      </w:r>
      <w:hyperlink r:id="rId32">
        <w:r>
          <w:rPr>
            <w:rStyle w:val="Hyperlink"/>
            <w:rFonts w:ascii="Times New Roman" w:hAnsi="Times New Roman"/>
            <w:b w:val="false"/>
            <w:i w:val="false"/>
            <w:color w:val="000000"/>
            <w:sz w:val="22"/>
          </w:rPr>
          <w:t>10.4(3)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a physician in a medical specialty;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Present evidence of holding a medical degree from an educational institution that is located in a jurisdiction outside the United States or Canada and that is listed in the Directory of Medical Schools published by the International Medical Education Directory;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completed at least two years of postgraduate education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practiced for five years after postgraduate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Demonstrate English proficiency as set forth in subparagraph </w:t>
      </w:r>
      <w:hyperlink r:id="rId33">
        <w:r>
          <w:rPr>
            <w:rStyle w:val="Hyperlink"/>
            <w:rFonts w:ascii="Times New Roman" w:hAnsi="Times New Roman"/>
            <w:b w:val="false"/>
            <w:i w:val="false"/>
            <w:color w:val="000000"/>
            <w:sz w:val="22"/>
          </w:rPr>
          <w:t>10.4(3)</w:t>
        </w:r>
      </w:hyperlink>
      <w:r>
        <w:rPr>
          <w:rFonts w:ascii="Times New Roman" w:hAnsi="Times New Roman"/>
          <w:b w:val="false"/>
          <w:i/>
          <w:color w:val="000000"/>
          <w:sz w:val="22"/>
        </w:rPr>
        <w:t>“a”</w:t>
      </w:r>
      <w:r>
        <w:rPr>
          <w:rFonts w:ascii="Times New Roman" w:hAnsi="Times New Roman"/>
          <w:b w:val="false"/>
          <w:i w:val="false"/>
          <w:color w:val="000000"/>
          <w:sz w:val="22"/>
        </w:rPr>
        <w:t xml:space="preserve">(4);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Be licensed in a jurisdiction outside the United States or Canada and present evidence that any licenses held in any jurisdiction are unrestricted;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license is not denied by the board due to the commission of a disqualifying offense, as provided in </w:t>
      </w:r>
      <w:hyperlink r:id="rId34">
        <w:r>
          <w:rPr>
            <w:rStyle w:val="Hyperlink"/>
            <w:rFonts w:ascii="Times New Roman" w:hAnsi="Times New Roman"/>
            <w:b w:val="false"/>
            <w:i w:val="false"/>
            <w:color w:val="000000"/>
            <w:sz w:val="22"/>
          </w:rPr>
          <w:t>653—subrule 9.3(3)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w:t>
      </w:r>
      <w:r>
        <w:rPr>
          <w:rFonts w:ascii="Times New Roman" w:hAnsi="Times New Roman"/>
          <w:b w:val="false"/>
          <w:i w:val="false"/>
          <w:color w:val="000000"/>
          <w:sz w:val="22"/>
        </w:rPr>
        <w:t> </w:t>
      </w:r>
      <w:r>
        <w:rPr>
          <w:rFonts w:ascii="Times New Roman" w:hAnsi="Times New Roman"/>
          <w:b w:val="false"/>
          <w:i/>
          <w:color w:val="000000"/>
          <w:sz w:val="22"/>
        </w:rPr>
        <w:t xml:space="preserve">Special license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To apply for a special license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 a nonrefundable special license fee of $300 plus the $45 fee identified in </w:t>
      </w:r>
      <w:hyperlink r:id="rId35">
        <w:r>
          <w:rPr>
            <w:rStyle w:val="Hyperlink"/>
            <w:rFonts w:ascii="Times New Roman" w:hAnsi="Times New Roman"/>
            <w:b w:val="false"/>
            <w:i w:val="false"/>
            <w:color w:val="000000"/>
            <w:sz w:val="22"/>
          </w:rPr>
          <w:t>653—subrule 8.4(6)</w:t>
        </w:r>
      </w:hyperlink>
      <w:r>
        <w:rPr>
          <w:rFonts w:ascii="Times New Roman" w:hAnsi="Times New Roman"/>
          <w:b w:val="false"/>
          <w:i w:val="false"/>
          <w:color w:val="000000"/>
          <w:sz w:val="22"/>
        </w:rPr>
        <w:t xml:space="preserve"> for the evaluation of the fingerprint packet and the DCI and FBI criminal history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and submit forms provided by the board, including required credentials, documents, a completed fingerprint packet, and a sworn statement by the applicant attesting to the truth of all information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successful completion of a medical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Demonstrate proficiency in English by providing a valid ECFMG certificate or verification of a passing score on the TSE, the Test of Spoken English, or TOEFL, the Test of English as a Foreign Language, examinations administered by the Educational Testing Service. A passing score on TSE is a minimum of 50. A passing score on TOEFL is a minimum overall score of 550 on the paper-based TOEFL that was administered on a Friday or Saturday (formerly special or international administration), a minimum overall score of 213 on the computer-administered TOEFL, or a minimum overall score of 79 on the Internet-based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Present a letter from the dean of the medical college in which the applicant will be practicing that indicates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applicant has been invited to serve on the academic staff of the medical school and in what capacity;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applicant’s qualifications and the unique contributions the applicant has made to the practice of medicine;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unique contributions the applicant is expected to make by practicing in Iowa and how these contributions will serve the public interest of Iowans;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Present at least two letters of recommendation from universities, other educational institutions, or research facilities that indicate the applicant’s noteworthy professional attainment.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application shall request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date and place of birth, home address, and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photograph of the applicant suitable for positive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listing 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medical school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photocopy of the applicant’s medical degree issued by an educational institution and a sworn statement from an official of the educational institution certifying the date the applicant received the medical degree and acknowledging what, if any, derogatory comments exist in the institution’s record about the applicant. A complete translation of any diploma not written in English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warnings issued, investigations conducted, or disciplinary actions taken, whether by voluntary agreement or formal action, by a medical or professional regulatory authority, an educational institution, training or research program, or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of the applicant’s physical and mental health, including full disclosure and a written explanation of any dysfunction or impairment which may affect the ability of the applicant to engage in practice and provide patients with safe and healthful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the applicant’s involvement in civil litigation related to practice in any jurisdiction.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w:t>
      </w:r>
      <w:r>
        <w:rPr>
          <w:rFonts w:ascii="Times New Roman" w:hAnsi="Times New Roman"/>
          <w:b w:val="false"/>
          <w:i w:val="false"/>
          <w:color w:val="000000"/>
          <w:sz w:val="22"/>
        </w:rPr>
        <w:t> </w:t>
      </w:r>
      <w:r>
        <w:rPr>
          <w:rFonts w:ascii="Times New Roman" w:hAnsi="Times New Roman"/>
          <w:b w:val="false"/>
          <w:i/>
          <w:color w:val="000000"/>
          <w:sz w:val="22"/>
        </w:rPr>
        <w:t xml:space="preserve">Special license application review process. </w:t>
      </w:r>
      <w:r>
        <w:rPr>
          <w:rFonts w:ascii="Times New Roman" w:hAnsi="Times New Roman"/>
          <w:b w:val="false"/>
          <w:i w:val="false"/>
          <w:color w:val="000000"/>
          <w:sz w:val="22"/>
        </w:rPr>
        <w:t>The process below shall be utilized to review each application for a special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shall be considered open from the date the application form is received in the board office with the nonrefundable special licensure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staff shall notify the applicant or the applicant’s academic institution about how to resolve any problems identified by the reviewer. The applicant shall provide additional information when requested by staff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licensure, staff may administratively grant a special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applicant, the executive director, director of licensure and administration, and director of legal affairs shall determine if the questions or concerns indicate any uncertainty about the applicant’s current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shall administratively grant a special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shall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shall refer to the committee for review matters which include, but are not limited to, falsification of information on the application, criminal record, substance abuse, questionable competency, physical or mental illness, or educational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grant administratively a special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shall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special license for practice at the medical college designated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board shall consider applications and recommendations from the committee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special license for practice at the medical college designated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 license. The board may deny a license for any grounds on which the board may discipline a license. The procedure for appealing a license denial is set forth in </w:t>
      </w:r>
      <w:hyperlink r:id="rId36">
        <w:r>
          <w:rPr>
            <w:rStyle w:val="Hyperlink"/>
            <w:rFonts w:ascii="Times New Roman" w:hAnsi="Times New Roman"/>
            <w:b w:val="false"/>
            <w:i w:val="false"/>
            <w:color w:val="000000"/>
            <w:sz w:val="22"/>
          </w:rPr>
          <w:t>653—9.15(147,148)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w:t>
      </w:r>
      <w:r>
        <w:rPr>
          <w:rFonts w:ascii="Times New Roman" w:hAnsi="Times New Roman"/>
          <w:b w:val="false"/>
          <w:i w:val="false"/>
          <w:color w:val="000000"/>
          <w:sz w:val="22"/>
        </w:rPr>
        <w:t> </w:t>
      </w:r>
      <w:r>
        <w:rPr>
          <w:rFonts w:ascii="Times New Roman" w:hAnsi="Times New Roman"/>
          <w:b w:val="false"/>
          <w:i/>
          <w:color w:val="000000"/>
          <w:sz w:val="22"/>
        </w:rPr>
        <w:t xml:space="preserve">Special license application cycle. </w:t>
      </w:r>
      <w:r>
        <w:rPr>
          <w:rFonts w:ascii="Times New Roman" w:hAnsi="Times New Roman"/>
          <w:b w:val="false"/>
          <w:i w:val="false"/>
          <w:color w:val="000000"/>
          <w:sz w:val="22"/>
        </w:rPr>
        <w:t>If the applicant does not submit all materials within 90 days of the board’s initial request for further information, the application shall be considered inactive. The board office shall notify the applicant of this change in status. An applicant must reapply and submit a new nonrefundable application fee and a new application, documents and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w:t>
      </w:r>
      <w:r>
        <w:rPr>
          <w:rFonts w:ascii="Times New Roman" w:hAnsi="Times New Roman"/>
          <w:b w:val="false"/>
          <w:i w:val="false"/>
          <w:color w:val="000000"/>
          <w:sz w:val="22"/>
        </w:rPr>
        <w:t> </w:t>
      </w:r>
      <w:r>
        <w:rPr>
          <w:rFonts w:ascii="Times New Roman" w:hAnsi="Times New Roman"/>
          <w:b w:val="false"/>
          <w:i/>
          <w:color w:val="000000"/>
          <w:sz w:val="22"/>
        </w:rPr>
        <w:t xml:space="preserve">Renewal of a special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special physician licensee has not qualified for and received a permanent license, the board shall send a courtesy renewal notice by regular mail to the licensee’s last-known address at least 60 days prior to the expiration date of the special physician license. The licensee is responsible for renewing the license prior to its expiration. Failure of the licensee to receive the notice does not relieve the licensee of responsibility for renewing that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special physician licensee shall apply for a one-year renewal by submitting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renewal fee of $200;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Evidence of continuing education and training on chronic pain management, end-of-life care, and identifying and reporting abuse.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requirement for continuing education is 20 hours of category 1 credit as specified in </w:t>
      </w:r>
      <w:hyperlink r:id="rId37">
        <w:r>
          <w:rPr>
            <w:rStyle w:val="Hyperlink"/>
            <w:rFonts w:ascii="Times New Roman" w:hAnsi="Times New Roman"/>
            <w:b w:val="false"/>
            <w:i w:val="false"/>
            <w:color w:val="000000"/>
            <w:sz w:val="22"/>
          </w:rPr>
          <w:t>653—Chapter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requirement for training on chronic pain management, end-of-life care, and identifying and reporting abuse is specified in </w:t>
      </w:r>
      <w:hyperlink r:id="rId38">
        <w:r>
          <w:rPr>
            <w:rStyle w:val="Hyperlink"/>
            <w:rFonts w:ascii="Times New Roman" w:hAnsi="Times New Roman"/>
            <w:b w:val="false"/>
            <w:i w:val="false"/>
            <w:color w:val="000000"/>
            <w:sz w:val="22"/>
          </w:rPr>
          <w:t>653—Chapter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dean of the medical college shall submit a letter that addresses the individual’s unique contribution to the practice of medicine in Iowa, how the anticipated contribution will serve the public interest of Iowans, and the need for renewal of this license. For a licensee who received the initial special license prior to July 1, 2001, the only statement needed from the dean is verification of the academic appointment the licensee continues to 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the licensee to renew a license within one month of the expiration date shall cause the license to become inactive. A licensee whose license is inactive is prohibited from practice until a new special license is granted according to subrules </w:t>
      </w:r>
      <w:hyperlink r:id="rId39">
        <w:r>
          <w:rPr>
            <w:rStyle w:val="Hyperlink"/>
            <w:rFonts w:ascii="Times New Roman" w:hAnsi="Times New Roman"/>
            <w:b w:val="false"/>
            <w:i w:val="false"/>
            <w:color w:val="000000"/>
            <w:sz w:val="22"/>
          </w:rPr>
          <w:t>10.4(3)</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10.4(4)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0216C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 xml:space="preserve">; </w:t>
      </w:r>
      <w:r>
        <w:rPr>
          <w:rFonts w:ascii="Times New Roman" w:hAnsi="Times New Roman"/>
          <w:b/>
          <w:i w:val="false"/>
          <w:color w:val="000000"/>
          <w:sz w:val="16"/>
        </w:rPr>
        <w:t>ARC 1187C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5749C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653—10.5</w:t>
      </w:r>
      <w:r>
        <w:rPr>
          <w:rFonts w:ascii="Times New Roman" w:hAnsi="Times New Roman"/>
          <w:b/>
          <w:i w:val="false"/>
          <w:color w:val="000000"/>
          <w:sz w:val="22"/>
        </w:rPr>
        <w:t xml:space="preserve">(147,148) </w:t>
      </w:r>
      <w:r>
        <w:rPr>
          <w:rFonts w:ascii="Times New Roman" w:hAnsi="Times New Roman"/>
          <w:b/>
          <w:i w:val="false"/>
          <w:color w:val="000000"/>
          <w:sz w:val="22"/>
        </w:rPr>
        <w:t xml:space="preserve">Temporary licensure. </w:t>
      </w:r>
      <w:r>
        <w:rPr>
          <w:rFonts w:ascii="Times New Roman" w:hAnsi="Times New Roman"/>
          <w:b w:val="false"/>
          <w:i w:val="false"/>
          <w:color w:val="000000"/>
          <w:sz w:val="22"/>
        </w:rPr>
        <w:t>The board may issue a temporary license authorizing a physician to participate in a board-approved activity in Iowa. Temporary licensure is granted on a case-by-case basis and depends upon the applicant’s education and training, experience and licensure status elsewhere and upon the intended use of the temporary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temporary license to practice is intended for a physician to participate in a board-approved activity, as defined in rule </w:t>
      </w:r>
      <w:hyperlink r:id="rId41">
        <w:r>
          <w:rPr>
            <w:rStyle w:val="Hyperlink"/>
            <w:rFonts w:ascii="Times New Roman" w:hAnsi="Times New Roman"/>
            <w:b w:val="false"/>
            <w:i w:val="false"/>
            <w:color w:val="000000"/>
            <w:sz w:val="22"/>
          </w:rPr>
          <w:t>653—10.1(147,148)</w:t>
        </w:r>
      </w:hyperlink>
      <w:r>
        <w:rPr>
          <w:rFonts w:ascii="Times New Roman" w:hAnsi="Times New Roman"/>
          <w:b w:val="false"/>
          <w:i w:val="false"/>
          <w:color w:val="000000"/>
          <w:sz w:val="22"/>
        </w:rPr>
        <w:t>, in Iowa that is short-term. Temporary licensure is not intended to be a way for a physician to practice before a permanent license is granted. Temporary licensure is not intended for locum tenens.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issue a temporary license authorizing the physician to practice in a board-approved activity. The license may be restricted to the board-approved activity, location(s) or time period of up to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physician who is granted a temporary license for a board-approved activity may qualify for renewal of that license if the physician needs an extension of the license for the original purpose or to pursue more than one board-approved activity within a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physician who wishes to continue in a board-approved activity in Iowa for short intervals beyond one year is eligible for a temporary license each year after reapplying and qualifying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incidentally called into this state in consultation with a physician and surgeon licensed in this state, as defined in rule </w:t>
      </w:r>
      <w:hyperlink r:id="rId42">
        <w:r>
          <w:rPr>
            <w:rStyle w:val="Hyperlink"/>
            <w:rFonts w:ascii="Times New Roman" w:hAnsi="Times New Roman"/>
            <w:b w:val="false"/>
            <w:i w:val="false"/>
            <w:color w:val="000000"/>
            <w:sz w:val="22"/>
          </w:rPr>
          <w:t>653—10.1(147,148)</w:t>
        </w:r>
      </w:hyperlink>
      <w:r>
        <w:rPr>
          <w:rFonts w:ascii="Times New Roman" w:hAnsi="Times New Roman"/>
          <w:b w:val="false"/>
          <w:i w:val="false"/>
          <w:color w:val="000000"/>
          <w:sz w:val="22"/>
        </w:rPr>
        <w:t>, is not required to obtain a temporary license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seeks to practice in Iowa and does not qualify for a temporary license may be eligible for permanent licensure under </w:t>
      </w:r>
      <w:hyperlink r:id="rId43">
        <w:r>
          <w:rPr>
            <w:rStyle w:val="Hyperlink"/>
            <w:rFonts w:ascii="Times New Roman" w:hAnsi="Times New Roman"/>
            <w:b w:val="false"/>
            <w:i w:val="false"/>
            <w:color w:val="000000"/>
            <w:sz w:val="22"/>
          </w:rPr>
          <w:t>653—Chapter 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take disciplinary action on a temporary license if the licensee has practiced outside the scope of the temporary license or for any of the grounds for which licensure may be revoked or suspended as specified in Iowa Code sections </w:t>
      </w:r>
      <w:hyperlink r:id="rId44">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148.6</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653—Chapter 23</w:t>
        </w:r>
      </w:hyperlink>
      <w:r>
        <w:rPr>
          <w:rFonts w:ascii="Times New Roman" w:hAnsi="Times New Roman"/>
          <w:b w:val="false"/>
          <w:i w:val="false"/>
          <w:color w:val="000000"/>
          <w:sz w:val="22"/>
        </w:rPr>
        <w:t xml:space="preserve">. Contested case proceedings shall be governed by the provisions of </w:t>
      </w:r>
      <w:hyperlink r:id="rId48">
        <w:r>
          <w:rPr>
            <w:rStyle w:val="Hyperlink"/>
            <w:rFonts w:ascii="Times New Roman" w:hAnsi="Times New Roman"/>
            <w:b w:val="false"/>
            <w:i w:val="false"/>
            <w:color w:val="000000"/>
            <w:sz w:val="22"/>
          </w:rPr>
          <w:t>653—Chapter 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physician who holds a temporary license shall notify the board of any change in address within three days of making an address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physician who holds a temporary license shall notify the board of any change in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file of a physician who holds a temporary license shall be closed and labeled “deceased” when the board receives a copy of the physician’s death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color w:val="000000"/>
          <w:sz w:val="22"/>
        </w:rPr>
        <w:t xml:space="preserve">Temporary license eligibility. </w:t>
      </w:r>
      <w:r>
        <w:rPr>
          <w:rFonts w:ascii="Times New Roman" w:hAnsi="Times New Roman"/>
          <w:b w:val="false"/>
          <w:i w:val="false"/>
          <w:color w:val="000000"/>
          <w:sz w:val="22"/>
        </w:rPr>
        <w:t>To be eligible for a temporary license, an applicant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the requirements specified in subrules </w:t>
      </w:r>
      <w:hyperlink r:id="rId49">
        <w:r>
          <w:rPr>
            <w:rStyle w:val="Hyperlink"/>
            <w:rFonts w:ascii="Times New Roman" w:hAnsi="Times New Roman"/>
            <w:b w:val="false"/>
            <w:i w:val="false"/>
            <w:color w:val="000000"/>
            <w:sz w:val="22"/>
          </w:rPr>
          <w:t>10.5(3)</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10.5(4)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Hold a medical degree from an educational institution approved by the board (if the applicant is an international medical graduate, the educational institution must be listed in the International Medical Education Directory);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Hold a current active, unrestricted license to practice medicine issued by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fluent in the English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Present a letter justifying the need for temporary licensure from the organization or individual seeking the applicant’s participation in a board-approved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license is not denied by the board due to the commission of a disqualifying offense, as provided in </w:t>
      </w:r>
      <w:hyperlink r:id="rId51">
        <w:r>
          <w:rPr>
            <w:rStyle w:val="Hyperlink"/>
            <w:rFonts w:ascii="Times New Roman" w:hAnsi="Times New Roman"/>
            <w:b w:val="false"/>
            <w:i w:val="false"/>
            <w:color w:val="000000"/>
            <w:sz w:val="22"/>
          </w:rPr>
          <w:t>653—subrule 9.3(3)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 temporary license. </w:t>
      </w:r>
      <w:r>
        <w:rPr>
          <w:rFonts w:ascii="Times New Roman" w:hAnsi="Times New Roman"/>
          <w:b w:val="false"/>
          <w:i w:val="false"/>
          <w:color w:val="000000"/>
          <w:sz w:val="22"/>
        </w:rPr>
        <w:t xml:space="preserve">To apply for a temporary license, an applicant shall complete the requirements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 a nonrefundable application fee of $100 plus the $45 fee identified in </w:t>
      </w:r>
      <w:hyperlink r:id="rId52">
        <w:r>
          <w:rPr>
            <w:rStyle w:val="Hyperlink"/>
            <w:rFonts w:ascii="Times New Roman" w:hAnsi="Times New Roman"/>
            <w:b w:val="false"/>
            <w:i w:val="false"/>
            <w:color w:val="000000"/>
            <w:sz w:val="22"/>
          </w:rPr>
          <w:t>653—subrule 8.4(6)</w:t>
        </w:r>
      </w:hyperlink>
      <w:r>
        <w:rPr>
          <w:rFonts w:ascii="Times New Roman" w:hAnsi="Times New Roman"/>
          <w:b w:val="false"/>
          <w:i w:val="false"/>
          <w:color w:val="000000"/>
          <w:sz w:val="22"/>
        </w:rPr>
        <w:t xml:space="preserve"> for the evaluation of the fingerprint packet and the criminal history background checks by the Iowa division of criminal investigation (DCI) and the Federal Bureau of Investigation (FBI). A physician who is serving as a camp physician and who is not receiving payment other than expenses shall be exempt from the license application fee and the fee for the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and submit forms provided by the board, including required credentials, documents, a completed fingerprint packet and a sworn statement by the applicant attesting to the truth of all information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application shall require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full legal name, date and place of birth, home address, mailing address and principal business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photograph of the applicant suitable for positive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listing every jurisdiction in which the applicant is or has been authorized to practice, including the applicant’s license number and date of issuance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medical school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by the applicant that discloses and explains any warnings issued, investigations conducted, or disciplinary actions taken, whether by voluntary agreement or formal action, by a medical or professional regulatory authority, an educational institution, training or research program, or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of the applicant’s physical and mental health, including full disclosure and a written explanation of any dysfunction or impairment which may affect the ability of the applicant to engage in practice and provide patients with safe and healthful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the applicant’s involvement in civil litigation related to practice in any jurisdiction.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statement from the applicant that justifies the need for a temporary license, including where the applicant intends to practice and the type of practice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letter from the Iowa organization or individual seeking the applicant’s services that explains the need for the applicant’s participation in the board-approved activity in Iowa, the time period involved, the scope of practice, and the exact location and facilities where the board-approved activity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For an international medical graduate who does not hold a license in good standing in any United States jurisdiction, a statement, which shall be submitted by the Iowa organization or individual offering the board-approved activity, identifying who the applicant’s immediate supervisor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For an international medical graduate who does not hold a license in good standing in any United States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which shall be submitted from the licensing authority of the country in which the physician is licensed, that the physician has a license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Evidence of fluency in the English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For a resident physician who does not hold a current, active resident or permanent license in the home state of the resident training program, a statement, which shall be submitted by the resident director or individual offering the board-approved activity, identifying who the applicant’s immediate supervisor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w:t>
      </w:r>
      <w:r>
        <w:rPr>
          <w:rFonts w:ascii="Times New Roman" w:hAnsi="Times New Roman"/>
          <w:b w:val="false"/>
          <w:i w:val="false"/>
          <w:color w:val="000000"/>
          <w:sz w:val="22"/>
        </w:rPr>
        <w:t> </w:t>
      </w:r>
      <w:r>
        <w:rPr>
          <w:rFonts w:ascii="Times New Roman" w:hAnsi="Times New Roman"/>
          <w:b w:val="false"/>
          <w:i/>
          <w:color w:val="000000"/>
          <w:sz w:val="22"/>
        </w:rPr>
        <w:t xml:space="preserve">Standard application review process for a temporary license. </w:t>
      </w:r>
      <w:r>
        <w:rPr>
          <w:rFonts w:ascii="Times New Roman" w:hAnsi="Times New Roman"/>
          <w:b w:val="false"/>
          <w:i w:val="false"/>
          <w:color w:val="000000"/>
          <w:sz w:val="22"/>
        </w:rPr>
        <w:t xml:space="preserve">The standard review process shall be utilized to review each application for a temporary license, except that the process identified in subrule </w:t>
      </w:r>
      <w:hyperlink r:id="rId53">
        <w:r>
          <w:rPr>
            <w:rStyle w:val="Hyperlink"/>
            <w:rFonts w:ascii="Times New Roman" w:hAnsi="Times New Roman"/>
            <w:b w:val="false"/>
            <w:i w:val="false"/>
            <w:color w:val="000000"/>
            <w:sz w:val="22"/>
          </w:rPr>
          <w:t>10.5(6)</w:t>
        </w:r>
      </w:hyperlink>
      <w:r>
        <w:rPr>
          <w:rFonts w:ascii="Times New Roman" w:hAnsi="Times New Roman"/>
          <w:b w:val="false"/>
          <w:i w:val="false"/>
          <w:color w:val="000000"/>
          <w:sz w:val="22"/>
        </w:rPr>
        <w:t xml:space="preserve"> shall be used for any international medical graduate who does not currently hold a license in good standing in any United States jurisdiction or for any physician who seeks temporary licensure for an activity not listed in paragraphs “1” through “6” of the definition of “board-approved activity” in rule </w:t>
      </w:r>
      <w:hyperlink r:id="rId54">
        <w:r>
          <w:rPr>
            <w:rStyle w:val="Hyperlink"/>
            <w:rFonts w:ascii="Times New Roman" w:hAnsi="Times New Roman"/>
            <w:b w:val="false"/>
            <w:i w:val="false"/>
            <w:color w:val="000000"/>
            <w:sz w:val="22"/>
          </w:rPr>
          <w:t>653—10.1(147,148)</w:t>
        </w:r>
      </w:hyperlink>
      <w:r>
        <w:rPr>
          <w:rFonts w:ascii="Times New Roman" w:hAnsi="Times New Roman"/>
          <w:b w:val="false"/>
          <w:i w:val="false"/>
          <w:color w:val="000000"/>
          <w:sz w:val="22"/>
        </w:rPr>
        <w:t>. The standard application review process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shall be considered open from the date the application form and the nonrefundable fees are received in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staff shall notify the applicant or designee about how to resolve any problems identified by the reviewer.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temporary licensure or the need for a temporary licensee, staff may administratively grant a temporary license to the applicant for a specific activity, location(s) or specified duration based on the nature of the board-approved activity. The license shall not be granted for a period longer than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applicant, then the executive director, the director of licensure and administration, and the director of legal affairs shall determine if the questions or concerns indicate any uncertainty about the applicant’s current qualifications for temporary licensure or the organization’s or requesting individual’s need for a licensee with a temporary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shall administratively grant a temporary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shall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shall refer to the committee for review matters that include, but are not limited to, falsification of information on the application, criminal record, malpractice, substance abuse, competency, physical or mental illness, educational disciplinary history, or questionable need on the part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administratively grant a temporary license for a specific activity, location(s) or specified duration based on the nature of the board-approved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shall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Grant a temporary license for a specific activity, location(s) or specified duration based on the nature of the board-approved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temporary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Deny a temporary license;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temporary licensure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board shall consider applications and recommendations from the committee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Grant a temporary license for a specific activity, location(s) or specified duration based on the nature of the board-approved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temporary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that the applicant withdraw the temporary licensure application. The request shall not imply that the applicant is ineligible for permanent licensure if that application process is pursued;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 temporary license. The board may deny a temporary license for any grounds on which the board may discipline a license or for lack of need for a physician’s services by the organization or individual. The procedure for appealing a license denial is set forth in </w:t>
      </w:r>
      <w:hyperlink r:id="rId55">
        <w:r>
          <w:rPr>
            <w:rStyle w:val="Hyperlink"/>
            <w:rFonts w:ascii="Times New Roman" w:hAnsi="Times New Roman"/>
            <w:b w:val="false"/>
            <w:i w:val="false"/>
            <w:color w:val="000000"/>
            <w:sz w:val="22"/>
          </w:rPr>
          <w:t>653—9.17</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w:t>
      </w:r>
      <w:r>
        <w:rPr>
          <w:rFonts w:ascii="Times New Roman" w:hAnsi="Times New Roman"/>
          <w:b w:val="false"/>
          <w:i w:val="false"/>
          <w:color w:val="000000"/>
          <w:sz w:val="22"/>
        </w:rPr>
        <w:t> </w:t>
      </w:r>
      <w:r>
        <w:rPr>
          <w:rFonts w:ascii="Times New Roman" w:hAnsi="Times New Roman"/>
          <w:b w:val="false"/>
          <w:i/>
          <w:color w:val="000000"/>
          <w:sz w:val="22"/>
        </w:rPr>
        <w:t xml:space="preserve">Application review process for applicants with certain exceptions. </w:t>
      </w:r>
      <w:r>
        <w:rPr>
          <w:rFonts w:ascii="Times New Roman" w:hAnsi="Times New Roman"/>
          <w:b w:val="false"/>
          <w:i w:val="false"/>
          <w:color w:val="000000"/>
          <w:sz w:val="22"/>
        </w:rPr>
        <w:t xml:space="preserve">This application process shall be used to review applications submitted by an international medical graduate who does not currently hold a license in good standing in any United States jurisdiction or by a physician seeking temporary licensure for an activity not listed in paragraphs “1” through “6” of the definition of “board-approved activity” in rule </w:t>
      </w:r>
      <w:hyperlink r:id="rId56">
        <w:r>
          <w:rPr>
            <w:rStyle w:val="Hyperlink"/>
            <w:rFonts w:ascii="Times New Roman" w:hAnsi="Times New Roman"/>
            <w:b w:val="false"/>
            <w:i w:val="false"/>
            <w:color w:val="000000"/>
            <w:sz w:val="22"/>
          </w:rPr>
          <w:t>653—10.1</w:t>
        </w:r>
      </w:hyperlink>
      <w:r>
        <w:rPr>
          <w:rFonts w:ascii="Times New Roman" w:hAnsi="Times New Roman"/>
          <w:b w:val="false"/>
          <w:i w:val="false"/>
          <w:color w:val="000000"/>
          <w:sz w:val="22"/>
        </w:rPr>
        <w:t>(147,148). Following is the application review process for applicants with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shall be considered open from the date the application form and the nonrefundable fees are received in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staff shall notify the applicant or designee about how to resolve any problems identified by the reviewer.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temporary licensure or the need for a temporary license, staff shall submit the application to the committee for review and recommendation to the board about whether to grant a temporary license to the physician and whether the license should be granted for a specific activity, location(s) or specified duration based on the nature of the board-approved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shall consider applications and recommendations from the committee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Grant a temporary license for a specific activity, location(s) or specified duration based on the nature of the board-approved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temporary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temporary licensure application. The request shall not imply that the applicant is ineligible for permanent licensure if that application process is pursued;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 temporary license. The board may deny a temporary license for any grounds on which the board may discipline a license or for lack of need for a physician’s services by the organization or individual. The procedure for appealing a license denial is set forth in </w:t>
      </w:r>
      <w:hyperlink r:id="rId57">
        <w:r>
          <w:rPr>
            <w:rStyle w:val="Hyperlink"/>
            <w:rFonts w:ascii="Times New Roman" w:hAnsi="Times New Roman"/>
            <w:b w:val="false"/>
            <w:i w:val="false"/>
            <w:color w:val="000000"/>
            <w:sz w:val="22"/>
          </w:rPr>
          <w:t>653—9.17</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w:t>
      </w:r>
      <w:r>
        <w:rPr>
          <w:rFonts w:ascii="Times New Roman" w:hAnsi="Times New Roman"/>
          <w:b w:val="false"/>
          <w:i w:val="false"/>
          <w:color w:val="000000"/>
          <w:sz w:val="22"/>
        </w:rPr>
        <w:t> </w:t>
      </w:r>
      <w:r>
        <w:rPr>
          <w:rFonts w:ascii="Times New Roman" w:hAnsi="Times New Roman"/>
          <w:b w:val="false"/>
          <w:i/>
          <w:color w:val="000000"/>
          <w:sz w:val="22"/>
        </w:rPr>
        <w:t xml:space="preserve">Temporary license application cycle. </w:t>
      </w:r>
      <w:r>
        <w:rPr>
          <w:rFonts w:ascii="Times New Roman" w:hAnsi="Times New Roman"/>
          <w:b w:val="false"/>
          <w:i w:val="false"/>
          <w:color w:val="000000"/>
          <w:sz w:val="22"/>
        </w:rPr>
        <w:t>If the applicant does not submit all materials within 90 days of the board’s initial request for further information, the application shall be considered inactive. The board office shall notify the applicant of this change in status. An applicant whose application is inactive must reapply and submit new nonrefundable fees and a new application, documents and credentials if the applicant wishes to pursue temporary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w:t>
      </w:r>
      <w:r>
        <w:rPr>
          <w:rFonts w:ascii="Times New Roman" w:hAnsi="Times New Roman"/>
          <w:b w:val="false"/>
          <w:i w:val="false"/>
          <w:color w:val="000000"/>
          <w:sz w:val="22"/>
        </w:rPr>
        <w:t> </w:t>
      </w:r>
      <w:r>
        <w:rPr>
          <w:rFonts w:ascii="Times New Roman" w:hAnsi="Times New Roman"/>
          <w:b w:val="false"/>
          <w:i/>
          <w:color w:val="000000"/>
          <w:sz w:val="22"/>
        </w:rPr>
        <w:t xml:space="preserve">Renewal of a temporary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temporary license is granted, the board shall inform the licensee that the license may be renewed within the year, if the same need for a temporary license continues. The board shall not send a notice of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apply for renewal of a temporary license, the licensee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request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renewal fee of $50;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Written justification for the renewal from the organization or individual seeking the applicant.</w:t>
      </w:r>
    </w:p>
    <w:p>
      <w:pPr>
        <w:spacing w:before="0" w:after="0"/>
        <w:ind w:left="120"/>
        <w:jc w:val="both"/>
      </w:pPr>
      <w:r>
        <w:rPr>
          <w:rFonts w:ascii="Times New Roman" w:hAnsi="Times New Roman"/>
          <w:b w:val="false"/>
          <w:i w:val="false"/>
          <w:color w:val="000000"/>
          <w:sz w:val="22"/>
        </w:rPr>
        <w:t>Failure of the licensee to renew a license by the expiration date shall cause the license to become inactive. The individual shall not practice in Iowa until securing a permanent medical license or until becoming eligible for a second temporary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0216C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 xml:space="preserve">; </w:t>
      </w:r>
      <w:r>
        <w:rPr>
          <w:rFonts w:ascii="Times New Roman" w:hAnsi="Times New Roman"/>
          <w:b/>
          <w:i w:val="false"/>
          <w:color w:val="000000"/>
          <w:sz w:val="16"/>
        </w:rPr>
        <w:t>ARC 1187C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5749C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653—10.6</w:t>
      </w:r>
      <w:r>
        <w:rPr>
          <w:rFonts w:ascii="Times New Roman" w:hAnsi="Times New Roman"/>
          <w:b/>
          <w:i w:val="false"/>
          <w:color w:val="000000"/>
          <w:sz w:val="22"/>
        </w:rPr>
        <w:t xml:space="preserve">(17A,147,148,272C) </w:t>
      </w:r>
      <w:r>
        <w:rPr>
          <w:rFonts w:ascii="Times New Roman" w:hAnsi="Times New Roman"/>
          <w:b/>
          <w:i w:val="false"/>
          <w:color w:val="000000"/>
          <w:sz w:val="22"/>
        </w:rPr>
        <w:t xml:space="preserve">Waiver requests. </w:t>
      </w:r>
      <w:r>
        <w:rPr>
          <w:rFonts w:ascii="Times New Roman" w:hAnsi="Times New Roman"/>
          <w:b w:val="false"/>
          <w:i w:val="false"/>
          <w:color w:val="000000"/>
          <w:sz w:val="22"/>
        </w:rPr>
        <w:t xml:space="preserve">Waiver requests shall be submitted in conformance with </w:t>
      </w:r>
      <w:hyperlink r:id="rId58">
        <w:r>
          <w:rPr>
            <w:rStyle w:val="Hyperlink"/>
            <w:rFonts w:ascii="Times New Roman" w:hAnsi="Times New Roman"/>
            <w:b w:val="false"/>
            <w:i w:val="false"/>
            <w:color w:val="000000"/>
            <w:sz w:val="22"/>
          </w:rPr>
          <w:t>653—Chapter 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5600C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3/14/02, Notice 1/23/02—published 4/3/02, effective 5/8/02]</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6/6/02, Notice 5/1/02—published 6/26/02, effective 7/31/02]</w:t>
      </w:r>
    </w:p>
    <w:p>
      <w:pPr>
        <w:spacing w:before="0" w:after="0"/>
        <w:ind w:left="120"/>
        <w:jc w:val="center"/>
      </w:pPr>
      <w:r>
        <w:rPr>
          <w:rFonts w:ascii="Times New Roman" w:hAnsi="Times New Roman"/>
          <w:b w:val="false"/>
          <w:i w:val="false"/>
          <w:color w:val="000000"/>
          <w:sz w:val="21"/>
        </w:rPr>
        <w:t>[Filed 10/10/02, Notice 7/10/02—published 10/30/02, effective 12/4/02]</w:t>
      </w:r>
    </w:p>
    <w:p>
      <w:pPr>
        <w:spacing w:before="0" w:after="0"/>
        <w:ind w:left="120"/>
        <w:jc w:val="center"/>
      </w:pPr>
      <w:r>
        <w:rPr>
          <w:rFonts w:ascii="Times New Roman" w:hAnsi="Times New Roman"/>
          <w:b w:val="false"/>
          <w:i w:val="false"/>
          <w:color w:val="000000"/>
          <w:sz w:val="21"/>
        </w:rPr>
        <w:t>[Filed emergency 2/7/03 after Notice 1/8/03—published 3/5/03, effective 2/7/03]</w:t>
      </w:r>
    </w:p>
    <w:p>
      <w:pPr>
        <w:spacing w:before="0" w:after="0"/>
        <w:ind w:left="120"/>
        <w:jc w:val="center"/>
      </w:pPr>
      <w:r>
        <w:rPr>
          <w:rFonts w:ascii="Times New Roman" w:hAnsi="Times New Roman"/>
          <w:b w:val="false"/>
          <w:i w:val="false"/>
          <w:color w:val="000000"/>
          <w:sz w:val="21"/>
        </w:rPr>
        <w:t>[Filed 12/4/03, Notice 10/15/03—published 12/24/03, effective 1/28/04]</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6/17/05, Notice 5/11/05—published 7/6/05, effective 8/10/05]</w:t>
      </w:r>
    </w:p>
    <w:p>
      <w:pPr>
        <w:spacing w:before="0" w:after="0"/>
        <w:ind w:left="120"/>
        <w:jc w:val="center"/>
      </w:pPr>
      <w:r>
        <w:rPr>
          <w:rFonts w:ascii="Times New Roman" w:hAnsi="Times New Roman"/>
          <w:b w:val="false"/>
          <w:i w:val="false"/>
          <w:color w:val="000000"/>
          <w:sz w:val="21"/>
        </w:rPr>
        <w:t>[Filed emergency 8/30/05 after Notice 7/6/05—published 9/28/05, effective 10/1/05]</w:t>
      </w:r>
    </w:p>
    <w:p>
      <w:pPr>
        <w:spacing w:before="0" w:after="0"/>
        <w:ind w:left="120"/>
        <w:jc w:val="center"/>
      </w:pPr>
      <w:r>
        <w:rPr>
          <w:rFonts w:ascii="Times New Roman" w:hAnsi="Times New Roman"/>
          <w:b w:val="false"/>
          <w:i w:val="false"/>
          <w:color w:val="000000"/>
          <w:sz w:val="21"/>
        </w:rPr>
        <w:t>[Filed 10/12/06, Notice 8/2/06—published 11/8/06, effective 1/1/07]</w:t>
      </w:r>
    </w:p>
    <w:p>
      <w:pPr>
        <w:spacing w:before="0" w:after="0"/>
        <w:ind w:left="120"/>
        <w:jc w:val="center"/>
      </w:pPr>
      <w:r>
        <w:rPr>
          <w:rFonts w:ascii="Times New Roman" w:hAnsi="Times New Roman"/>
          <w:b w:val="false"/>
          <w:i w:val="false"/>
          <w:color w:val="000000"/>
          <w:sz w:val="21"/>
        </w:rPr>
        <w:t>[Filed 12/14/06, Notice 11/8/06—published 1/17/07, effective 2/21/07]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2/8/07 after Notice 1/3/07—published 2/28/07, effective 3/1/07]</w:t>
      </w:r>
    </w:p>
    <w:p>
      <w:pPr>
        <w:spacing w:before="0" w:after="0"/>
        <w:ind w:left="120"/>
        <w:jc w:val="center"/>
      </w:pPr>
      <w:r>
        <w:rPr>
          <w:rFonts w:ascii="Times New Roman" w:hAnsi="Times New Roman"/>
          <w:b w:val="false"/>
          <w:i w:val="false"/>
          <w:color w:val="000000"/>
          <w:sz w:val="21"/>
        </w:rPr>
        <w:t>[Filed emergency 11/21/07 after Notice 10/10/07—published 12/19/07, effective 1/1/08]</w:t>
      </w:r>
    </w:p>
    <w:p>
      <w:pPr>
        <w:spacing w:before="0" w:after="0"/>
        <w:ind w:left="120"/>
        <w:jc w:val="center"/>
      </w:pPr>
      <w:r>
        <w:rPr>
          <w:rFonts w:ascii="Times New Roman" w:hAnsi="Times New Roman"/>
          <w:b w:val="false"/>
          <w:i w:val="false"/>
          <w:color w:val="000000"/>
          <w:sz w:val="21"/>
        </w:rPr>
        <w:t>[Filed 4/3/08, Notice 2/13/08—published 4/23/08, effective 5/28/08]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0216C</w:t>
      </w:r>
      <w:r>
        <w:rPr>
          <w:rFonts w:ascii="Times New Roman" w:hAnsi="Times New Roman"/>
          <w:b w:val="false"/>
          <w:i w:val="false"/>
          <w:color w:val="000000"/>
          <w:sz w:val="21"/>
        </w:rPr>
        <w:t xml:space="preserve"> (Notice ARC 0091C, IAB 4/18/12)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1187C</w:t>
      </w:r>
      <w:r>
        <w:rPr>
          <w:rFonts w:ascii="Times New Roman" w:hAnsi="Times New Roman"/>
          <w:b w:val="false"/>
          <w:i w:val="false"/>
          <w:color w:val="000000"/>
          <w:sz w:val="21"/>
        </w:rPr>
        <w:t xml:space="preserve"> (Notice ARC 0943C, IAB 8/7/13)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5749C</w:t>
      </w:r>
      <w:r>
        <w:rPr>
          <w:rFonts w:ascii="Times New Roman" w:hAnsi="Times New Roman"/>
          <w:b w:val="false"/>
          <w:i w:val="false"/>
          <w:color w:val="000000"/>
          <w:sz w:val="21"/>
        </w:rPr>
        <w:t xml:space="preserve"> (Notice ARC 5473C, IAB 2/24/21)</w:t>
      </w:r>
      <w:r>
        <w:rPr>
          <w:rFonts w:ascii="Times New Roman" w:hAnsi="Times New Roman"/>
          <w:b w:val="false"/>
          <w:i w:val="false"/>
          <w:color w:val="000000"/>
          <w:sz w:val="21"/>
        </w:rPr>
        <w:t>, IAB 7/14/21, effective 8/18/21]</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2.pdf" Type="http://schemas.openxmlformats.org/officeDocument/2006/relationships/hyperlink" Id="rId5"/>
    <Relationship TargetMode="External" Target="https://www.legis.iowa.gov/docs/iac/chapter/653.11.pdf" Type="http://schemas.openxmlformats.org/officeDocument/2006/relationships/hyperlink" Id="rId6"/>
    <Relationship TargetMode="External" Target="https://www.legis.iowa.gov/docs/iac/chapter/653.11.pdf" Type="http://schemas.openxmlformats.org/officeDocument/2006/relationships/hyperlink" Id="rId7"/>
    <Relationship TargetMode="External" Target="https://www.legis.iowa.gov/docs/ico/chapter/232.69.pdf" Type="http://schemas.openxmlformats.org/officeDocument/2006/relationships/hyperlink" Id="rId8"/>
    <Relationship TargetMode="External" Target="https://www.legis.iowa.gov/docs/ico/chapter/235B.16.pdf" Type="http://schemas.openxmlformats.org/officeDocument/2006/relationships/hyperlink" Id="rId9"/>
    <Relationship TargetMode="External" Target="https://www.legis.iowa.gov/docs/ico/chapter/148.1.pdf" Type="http://schemas.openxmlformats.org/officeDocument/2006/relationships/hyperlink" Id="rId10"/>
    <Relationship TargetMode="External" Target="https://www.legis.iowa.gov/docs/iac/rule/653.9.2.pdf" Type="http://schemas.openxmlformats.org/officeDocument/2006/relationships/hyperlink" Id="rId11"/>
    <Relationship TargetMode="External" Target="https://www.legis.iowa.gov/docs/iac/chapter/653.9.pdf" Type="http://schemas.openxmlformats.org/officeDocument/2006/relationships/hyperlink" Id="rId12"/>
    <Relationship TargetMode="External" Target="https://www.legis.iowa.gov/docs/iac/rule/653.10.3.pdf" Type="http://schemas.openxmlformats.org/officeDocument/2006/relationships/hyperlink" Id="rId13"/>
    <Relationship TargetMode="External" Target="https://www.legis.iowa.gov/docs/iac/rule/653.10.5.pdf" Type="http://schemas.openxmlformats.org/officeDocument/2006/relationships/hyperlink" Id="rId14"/>
    <Relationship TargetMode="External" Target="https://www.legis.iowa.gov/docs/iac/rule/653.10.3.pdf" Type="http://schemas.openxmlformats.org/officeDocument/2006/relationships/hyperlink" Id="rId15"/>
    <Relationship TargetMode="External" Target="https://www.legis.iowa.gov/docs/iac/rule/653.9.3.pdf" Type="http://schemas.openxmlformats.org/officeDocument/2006/relationships/hyperlink" Id="rId16"/>
    <Relationship TargetMode="External" Target="https://www.legis.iowa.gov/docs/iac/rule/653.8.4.pdf" Type="http://schemas.openxmlformats.org/officeDocument/2006/relationships/hyperlink" Id="rId17"/>
    <Relationship TargetMode="External" Target="https://www.legis.iowa.gov/docs/iac/rule/653.9.15.pdf" Type="http://schemas.openxmlformats.org/officeDocument/2006/relationships/hyperlink" Id="rId18"/>
    <Relationship TargetMode="External" Target="https://www.legis.iowa.gov/docs/iac/rule/653.10.3.pdf" Type="http://schemas.openxmlformats.org/officeDocument/2006/relationships/hyperlink" Id="rId19"/>
    <Relationship TargetMode="External" Target="https://www.legis.iowa.gov/docs/iac/chapter/653.11.pdf" Type="http://schemas.openxmlformats.org/officeDocument/2006/relationships/hyperlink" Id="rId20"/>
    <Relationship TargetMode="External" Target="https://www.legis.iowa.gov/docs/iac/rule/653.9.15.pdf" Type="http://schemas.openxmlformats.org/officeDocument/2006/relationships/hyperlink" Id="rId21"/>
    <Relationship TargetMode="External" Target="https://www.legis.iowa.gov/docs/ico/chapter/147.55.pdf" Type="http://schemas.openxmlformats.org/officeDocument/2006/relationships/hyperlink" Id="rId22"/>
    <Relationship TargetMode="External" Target="https://www.legis.iowa.gov/docs/ico/chapter/148.6.pdf" Type="http://schemas.openxmlformats.org/officeDocument/2006/relationships/hyperlink" Id="rId23"/>
    <Relationship TargetMode="External" Target="https://www.legis.iowa.gov/docs/ico/chapter/272C.pdf" Type="http://schemas.openxmlformats.org/officeDocument/2006/relationships/hyperlink" Id="rId24"/>
    <Relationship TargetMode="External" Target="https://www.legis.iowa.gov/docs/iac/chapter/653.23.pdf" Type="http://schemas.openxmlformats.org/officeDocument/2006/relationships/hyperlink" Id="rId25"/>
    <Relationship TargetMode="External" Target="https://www.legis.iowa.gov/docs/iac/rule/653.10.4.pdf" Type="http://schemas.openxmlformats.org/officeDocument/2006/relationships/hyperlink" Id="rId26"/>
    <Relationship TargetMode="External" Target="https://www.legis.iowa.gov/docs/ico/chapter/147.55.pdf" Type="http://schemas.openxmlformats.org/officeDocument/2006/relationships/hyperlink" Id="rId27"/>
    <Relationship TargetMode="External" Target="https://www.legis.iowa.gov/docs/ico/chapter/148.6.pdf" Type="http://schemas.openxmlformats.org/officeDocument/2006/relationships/hyperlink" Id="rId28"/>
    <Relationship TargetMode="External" Target="https://www.legis.iowa.gov/docs/ico/chapter/272C.10.pdf" Type="http://schemas.openxmlformats.org/officeDocument/2006/relationships/hyperlink" Id="rId29"/>
    <Relationship TargetMode="External" Target="https://www.legis.iowa.gov/docs/iac/chapter/653.23.pdf" Type="http://schemas.openxmlformats.org/officeDocument/2006/relationships/hyperlink" Id="rId30"/>
    <Relationship TargetMode="External" Target="https://www.legis.iowa.gov/docs/iac/chapter/653.25.pdf" Type="http://schemas.openxmlformats.org/officeDocument/2006/relationships/hyperlink" Id="rId31"/>
    <Relationship TargetMode="External" Target="https://www.legis.iowa.gov/docs/iac/rule/653.10.4.pdf" Type="http://schemas.openxmlformats.org/officeDocument/2006/relationships/hyperlink" Id="rId32"/>
    <Relationship TargetMode="External" Target="https://www.legis.iowa.gov/docs/iac/rule/653.10.4.pdf" Type="http://schemas.openxmlformats.org/officeDocument/2006/relationships/hyperlink" Id="rId33"/>
    <Relationship TargetMode="External" Target="https://www.legis.iowa.gov/docs/iac/rule/653.9.3.pdf" Type="http://schemas.openxmlformats.org/officeDocument/2006/relationships/hyperlink" Id="rId34"/>
    <Relationship TargetMode="External" Target="https://www.legis.iowa.gov/docs/iac/rule/653.8.4.pdf" Type="http://schemas.openxmlformats.org/officeDocument/2006/relationships/hyperlink" Id="rId35"/>
    <Relationship TargetMode="External" Target="https://www.legis.iowa.gov/docs/iac/rule/653.9.15.pdf" Type="http://schemas.openxmlformats.org/officeDocument/2006/relationships/hyperlink" Id="rId36"/>
    <Relationship TargetMode="External" Target="https://www.legis.iowa.gov/docs/iac/chapter/653.11.pdf" Type="http://schemas.openxmlformats.org/officeDocument/2006/relationships/hyperlink" Id="rId37"/>
    <Relationship TargetMode="External" Target="https://www.legis.iowa.gov/docs/iac/chapter/653.11.pdf" Type="http://schemas.openxmlformats.org/officeDocument/2006/relationships/hyperlink" Id="rId38"/>
    <Relationship TargetMode="External" Target="https://www.legis.iowa.gov/docs/iac/rule/653.10.4.pdf" Type="http://schemas.openxmlformats.org/officeDocument/2006/relationships/hyperlink" Id="rId39"/>
    <Relationship TargetMode="External" Target="https://www.legis.iowa.gov/docs/iac/rule/653.10.4.pdf" Type="http://schemas.openxmlformats.org/officeDocument/2006/relationships/hyperlink" Id="rId40"/>
    <Relationship TargetMode="External" Target="https://www.legis.iowa.gov/docs/iac/rule/653.10.1.pdf" Type="http://schemas.openxmlformats.org/officeDocument/2006/relationships/hyperlink" Id="rId41"/>
    <Relationship TargetMode="External" Target="https://www.legis.iowa.gov/docs/iac/rule/653.10.1.pdf" Type="http://schemas.openxmlformats.org/officeDocument/2006/relationships/hyperlink" Id="rId42"/>
    <Relationship TargetMode="External" Target="https://www.legis.iowa.gov/docs/iac/chapter/653.9.pdf" Type="http://schemas.openxmlformats.org/officeDocument/2006/relationships/hyperlink" Id="rId43"/>
    <Relationship TargetMode="External" Target="https://www.legis.iowa.gov/docs/ico/chapter/147.55.pdf" Type="http://schemas.openxmlformats.org/officeDocument/2006/relationships/hyperlink" Id="rId44"/>
    <Relationship TargetMode="External" Target="https://www.legis.iowa.gov/docs/ico/chapter/148.6.pdf" Type="http://schemas.openxmlformats.org/officeDocument/2006/relationships/hyperlink" Id="rId45"/>
    <Relationship TargetMode="External" Target="https://www.legis.iowa.gov/docs/ico/chapter/272C.10.pdf" Type="http://schemas.openxmlformats.org/officeDocument/2006/relationships/hyperlink" Id="rId46"/>
    <Relationship TargetMode="External" Target="https://www.legis.iowa.gov/docs/iac/chapter/653.23.pdf" Type="http://schemas.openxmlformats.org/officeDocument/2006/relationships/hyperlink" Id="rId47"/>
    <Relationship TargetMode="External" Target="https://www.legis.iowa.gov/docs/iac/chapter/653.25.pdf" Type="http://schemas.openxmlformats.org/officeDocument/2006/relationships/hyperlink" Id="rId48"/>
    <Relationship TargetMode="External" Target="https://www.legis.iowa.gov/docs/iac/rule/653.10.5.pdf" Type="http://schemas.openxmlformats.org/officeDocument/2006/relationships/hyperlink" Id="rId49"/>
    <Relationship TargetMode="External" Target="https://www.legis.iowa.gov/docs/iac/rule/653.10.5.pdf" Type="http://schemas.openxmlformats.org/officeDocument/2006/relationships/hyperlink" Id="rId50"/>
    <Relationship TargetMode="External" Target="https://www.legis.iowa.gov/docs/iac/rule/653.9.3.pdf" Type="http://schemas.openxmlformats.org/officeDocument/2006/relationships/hyperlink" Id="rId51"/>
    <Relationship TargetMode="External" Target="https://www.legis.iowa.gov/docs/iac/rule/653.8.4.pdf" Type="http://schemas.openxmlformats.org/officeDocument/2006/relationships/hyperlink" Id="rId52"/>
    <Relationship TargetMode="External" Target="https://www.legis.iowa.gov/docs/iac/rule/653.10.5.pdf" Type="http://schemas.openxmlformats.org/officeDocument/2006/relationships/hyperlink" Id="rId53"/>
    <Relationship TargetMode="External" Target="https://www.legis.iowa.gov/docs/iac/rule/653.10.1.pdf" Type="http://schemas.openxmlformats.org/officeDocument/2006/relationships/hyperlink" Id="rId54"/>
    <Relationship TargetMode="External" Target="https://www.legis.iowa.gov/docs/iac/rule/653.9.17.pdf" Type="http://schemas.openxmlformats.org/officeDocument/2006/relationships/hyperlink" Id="rId55"/>
    <Relationship TargetMode="External" Target="https://www.legis.iowa.gov/docs/iac/rule/653.10.1.pdf" Type="http://schemas.openxmlformats.org/officeDocument/2006/relationships/hyperlink" Id="rId56"/>
    <Relationship TargetMode="External" Target="https://www.legis.iowa.gov/docs/iac/rule/653.9.17.pdf" Type="http://schemas.openxmlformats.org/officeDocument/2006/relationships/hyperlink" Id="rId57"/>
    <Relationship TargetMode="External" Target="https://www.legis.iowa.gov/docs/iac/chapter/653.3.pdf" Type="http://schemas.openxmlformats.org/officeDocument/2006/relationships/hyperlink" Id="rId58"/>
    <Relationship TargetMode="External" Target="https://www.legis.iowa.gov/docs/ico/chapter/17A.pdf" Type="http://schemas.openxmlformats.org/officeDocument/2006/relationships/hyperlink" Id="rId59"/>
    <Relationship TargetMode="External" Target="https://www.legis.iowa.gov/docs/ico/chapter/147.pdf" Type="http://schemas.openxmlformats.org/officeDocument/2006/relationships/hyperlink" Id="rId60"/>
    <Relationship TargetMode="External" Target="https://www.legis.iowa.gov/docs/ico/chapter/148.pdf" Type="http://schemas.openxmlformats.org/officeDocument/2006/relationships/hyperlink" Id="rId61"/>
    <Relationship TargetMode="External" Target="https://www.legis.iowa.gov/docs/ico/chapter/272C.pdf" Type="http://schemas.openxmlformats.org/officeDocument/2006/relationships/hyperlink" Id="rId6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