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ADMINISTRATIVE AND REGULATORY AUTHORITY</w:t>
      </w:r>
    </w:p>
    <w:p>
      <w:pPr>
        <w:spacing w:before="0" w:after="0"/>
        <w:ind w:left="120"/>
        <w:jc w:val="center"/>
      </w:pPr>
      <w:r>
        <w:rPr>
          <w:rFonts w:ascii="Times New Roman" w:hAnsi="Times New Roman"/>
          <w:b w:val="false"/>
          <w:i w:val="false"/>
          <w:color w:val="000000"/>
          <w:sz w:val="14"/>
        </w:rPr>
        <w:t>[Prior to 5/4/88, see 470—135.1 to 135.10]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653—1.1</w:t>
      </w:r>
      <w:r>
        <w:rPr>
          <w:rFonts w:ascii="Times New Roman" w:hAnsi="Times New Roman"/>
          <w:b/>
          <w:i w:val="false"/>
          <w:color w:val="000000"/>
          <w:sz w:val="22"/>
        </w:rPr>
        <w:t xml:space="preserve">(17A,147)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shall be applicable to the rules of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“Acupuncture” </w:t>
      </w:r>
      <w:r>
        <w:rPr>
          <w:rFonts w:ascii="Times New Roman" w:hAnsi="Times New Roman"/>
          <w:b w:val="false"/>
          <w:i w:val="false"/>
          <w:color w:val="000000"/>
          <w:sz w:val="22"/>
        </w:rPr>
        <w:t>shall mean a form of health care developed from traditional and modern oriental medical concepts that employs oriental medical diagnosis and treatment, and adjunctive therapies and diagnostic techniques, for the promotion, maintenance, and restoration of health and the prevention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“Acupuncturist” </w:t>
      </w:r>
      <w:r>
        <w:rPr>
          <w:rFonts w:ascii="Times New Roman" w:hAnsi="Times New Roman"/>
          <w:b w:val="false"/>
          <w:i w:val="false"/>
          <w:color w:val="000000"/>
          <w:sz w:val="22"/>
        </w:rPr>
        <w:t>shall mean a person licensed to practice acupuncture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“Alternate member” </w:t>
      </w:r>
      <w:r>
        <w:rPr>
          <w:rFonts w:ascii="Times New Roman" w:hAnsi="Times New Roman"/>
          <w:b w:val="false"/>
          <w:i w:val="false"/>
          <w:color w:val="000000"/>
          <w:sz w:val="22"/>
        </w:rPr>
        <w:t xml:space="preserve">shall mean a person who is qualified under Iowa Code section </w:t>
      </w:r>
      <w:hyperlink r:id="rId5">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 xml:space="preserve"> to substitute for a board member who is disqualified or becomes unavailable for any other reason for a contested case hearing. An alternate board member is deemed a member of the board only for the hearing panel(s) for which the alternate board member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shall mean the board of medicine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shall mean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shall mean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“Disciplinary proceeding” </w:t>
      </w:r>
      <w:r>
        <w:rPr>
          <w:rFonts w:ascii="Times New Roman" w:hAnsi="Times New Roman"/>
          <w:b w:val="false"/>
          <w:i w:val="false"/>
          <w:color w:val="000000"/>
          <w:sz w:val="22"/>
        </w:rPr>
        <w:t>shall mean any proceeding under the authority of the board pursuant to which licensee discipline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shall mean a certificate issued to a person licensed to practice medicine and surgery, osteopathic medicine and surgery, or acupuncture under the laws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shall mean a person licensed to practice medicine and surgery, osteopathic medicine and surgery, or acupuncture under the laws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discipline”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“discipline” </w:t>
      </w:r>
      <w:r>
        <w:rPr>
          <w:rFonts w:ascii="Times New Roman" w:hAnsi="Times New Roman"/>
          <w:b w:val="false"/>
          <w:i w:val="false"/>
          <w:color w:val="000000"/>
          <w:sz w:val="22"/>
        </w:rPr>
        <w:t>shall mean any sanction the board may impose upon its licensees for conduct which threatens or denies citizens of this state a high standard of professional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“Malpractice” </w:t>
      </w:r>
      <w:r>
        <w:rPr>
          <w:rFonts w:ascii="Times New Roman" w:hAnsi="Times New Roman"/>
          <w:b w:val="false"/>
          <w:i w:val="false"/>
          <w:color w:val="000000"/>
          <w:sz w:val="22"/>
        </w:rPr>
        <w:t>shall mean any error or omission, unreasonable lack of skill, or failure to maintain a reasonable standard of care by a physician in the practice of the physician’s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practice Acts” </w:t>
      </w:r>
      <w:r>
        <w:rPr>
          <w:rFonts w:ascii="Times New Roman" w:hAnsi="Times New Roman"/>
          <w:b w:val="false"/>
          <w:i w:val="false"/>
          <w:color w:val="000000"/>
          <w:sz w:val="22"/>
        </w:rPr>
        <w:t xml:space="preserve">shall refer to Iowa Code chapters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shall mean a requirement, procedure or standard of specific or limited application adopted by the board relating to any matter the board is authorized to act upon, including the professional conduct of licensees and the examination for licensure and licensure of any person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review” </w:t>
      </w:r>
      <w:r>
        <w:rPr>
          <w:rFonts w:ascii="Times New Roman" w:hAnsi="Times New Roman"/>
          <w:b w:val="false"/>
          <w:i w:val="false"/>
          <w:color w:val="000000"/>
          <w:sz w:val="22"/>
        </w:rPr>
        <w:t>shall mean evaluation of professional services rendered by a professional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reviewer(s)” </w:t>
      </w:r>
      <w:r>
        <w:rPr>
          <w:rFonts w:ascii="Times New Roman" w:hAnsi="Times New Roman"/>
          <w:b w:val="false"/>
          <w:i w:val="false"/>
          <w:color w:val="000000"/>
          <w:sz w:val="22"/>
        </w:rPr>
        <w:t>shall mean one or more persons acting in a peer review capacity who have been appointed by the board for such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shall mean a person licensed to practice medicine and surgery or osteopathic medicine and surgery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acupuncture” </w:t>
      </w:r>
      <w:r>
        <w:rPr>
          <w:rFonts w:ascii="Times New Roman" w:hAnsi="Times New Roman"/>
          <w:b w:val="false"/>
          <w:i w:val="false"/>
          <w:color w:val="000000"/>
          <w:sz w:val="22"/>
        </w:rPr>
        <w:t>means the insertion of acupuncture needles and the application of moxibustion to specific areas of the human body based upon oriental medical diagnosis as a primary mode of therapy. Adjunctive therapies within the scope of acupuncture may include manual, mechanical, thermal, electrical, and electromagnetic treatment, and the recommendation of dietary guidelines and therapeutic exercise based on traditional oriental medical concepts.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 practice of medicine and surgery” </w:t>
      </w:r>
      <w:r>
        <w:rPr>
          <w:rFonts w:ascii="Times New Roman" w:hAnsi="Times New Roman"/>
          <w:b w:val="false"/>
          <w:i w:val="false"/>
          <w:color w:val="000000"/>
          <w:sz w:val="22"/>
        </w:rPr>
        <w:t>shall mean holding one’s self out as being able to diagnose, treat, operate or prescribe for any human disease, pain, injury, deformity or physical or mental condition and who shall either offer or undertake, by any means or methods, to diagnose, treat, operate or prescribe for any human disease, pain, injury, deformity or physical or mental condition. This rule shall not apply to licensed podiatrists, chiropractors, physical therapists, nurses, dentists, optometrists, acupuncturists, pharmacists, and other licensed health professionals who are exclusively engaged in the practice of their respective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drugs” </w:t>
      </w:r>
      <w:r>
        <w:rPr>
          <w:rFonts w:ascii="Times New Roman" w:hAnsi="Times New Roman"/>
          <w:b w:val="false"/>
          <w:i w:val="false"/>
          <w:color w:val="000000"/>
          <w:sz w:val="22"/>
        </w:rPr>
        <w:t>means drugs, medicine and controlled substances which by law can only be prescribed for human use by persons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 </w:t>
      </w:r>
      <w:r>
        <w:rPr>
          <w:rFonts w:ascii="Times New Roman" w:hAnsi="Times New Roman"/>
          <w:b w:val="false"/>
          <w:i w:val="false"/>
          <w:color w:val="000000"/>
          <w:sz w:val="22"/>
        </w:rPr>
        <w:t>shall mean medicine and surgery, osteopathic medicine and surgery,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shall mean a licensee charged by the board in a complaint and statement of charges with violations of statutes or rules relating to the practice of medicine and surgery, osteopathic medicine and surgery, or acupuncuture.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“Rule” </w:t>
      </w:r>
      <w:r>
        <w:rPr>
          <w:rFonts w:ascii="Times New Roman" w:hAnsi="Times New Roman"/>
          <w:b w:val="false"/>
          <w:i w:val="false"/>
          <w:color w:val="000000"/>
          <w:sz w:val="22"/>
        </w:rPr>
        <w:t xml:space="preserve">shall mean a regulation, requirement, procedure, or standard of general application prescribed by the board relating to either the administration or enforcement of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653—1.2</w:t>
      </w:r>
      <w:r>
        <w:rPr>
          <w:rFonts w:ascii="Times New Roman" w:hAnsi="Times New Roman"/>
          <w:b/>
          <w:i w:val="false"/>
          <w:color w:val="000000"/>
          <w:sz w:val="22"/>
        </w:rPr>
        <w:t xml:space="preserve">(17A) </w:t>
      </w:r>
      <w:r>
        <w:rPr>
          <w:rFonts w:ascii="Times New Roman" w:hAnsi="Times New Roman"/>
          <w:b/>
          <w:i w:val="false"/>
          <w:color w:val="000000"/>
          <w:sz w:val="22"/>
        </w:rPr>
        <w:t xml:space="preserve">Purpose of board. </w:t>
      </w:r>
      <w:r>
        <w:rPr>
          <w:rFonts w:ascii="Times New Roman" w:hAnsi="Times New Roman"/>
          <w:b w:val="false"/>
          <w:i w:val="false"/>
          <w:color w:val="000000"/>
          <w:sz w:val="22"/>
        </w:rPr>
        <w:t xml:space="preserve">The purpose of the board is to administer and enforce the provisions of Iowa Code chapters </w:t>
      </w:r>
      <w:hyperlink r:id="rId1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with regard to the practice of medicine and surgery, osteopathic medicine and surgery, and acupuncture, including, but not limited to, the examination of applicants; determining the eligibility of applicants for licensure by examination or endorsement; the granting of permanent, temporary, resident or special licenses to physicians; determining the ineligibility of physicians to provide supervision to physician assistants; the investigation of violations or alleged violations of statutes and rules relating to the practice of medicine and surgery, osteopathic medicine and surgery, and acupuncture; the imposition of discipline upon licensees as provided by statute or rule; and the operation of a licensee review committee for the purpose of evaluating and monitoring licensees who are impaired as a result of alcohol or drug abuse, dependency, or addiction, or by any mental or physical disorder or disability and who self-report or who are referred by the board to the committee.</w:t>
      </w:r>
    </w:p>
    <w:p>
      <w:pPr>
        <w:spacing w:before="0" w:after="0"/>
        <w:ind w:left="120"/>
        <w:jc w:val="both"/>
      </w:pPr>
      <w:r>
        <w:rPr>
          <w:rFonts w:ascii="Times New Roman" w:hAnsi="Times New Roman"/>
          <w:b/>
          <w:i w:val="false"/>
          <w:color w:val="000000"/>
          <w:sz w:val="22"/>
        </w:rPr>
        <w:t>653—1.3</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of board. </w:t>
      </w:r>
      <w:r>
        <w:rPr>
          <w:rFonts w:ascii="Times New Roman" w:hAnsi="Times New Roman"/>
          <w:b w:val="false"/>
          <w:i w:val="false"/>
          <w:color w:val="000000"/>
          <w:sz w:val="22"/>
        </w:rPr>
        <w:t>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Makes policy relative to matters involving medical and acupuncture education, licensure, practice, and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Conducts business according to board-approved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Elects a chairperson, vice chairperson and a secretary from its membership at the last regular board meeting prior to May 1 or at another date in April scheduled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shall constitute a quorum. Official action, including filing of formal charges or imposition of discipline, requires a majority vote of members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val="false"/>
          <w:color w:val="000000"/>
          <w:sz w:val="22"/>
        </w:rPr>
        <w:t>Has the authority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 the statutes and rules relating to the practice of medicine and surgery, osteopathic medicine and surgery, the practice of acupuncture by acupuncturists, and the practice of genetic counseling by genetic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or investigate, upon receipt of a complaint or upon its own initiation, based upon information or evidence received, alleged violations of statutes or rules which relate to the practice of medicine and surgery, osteopathic medicine and surgery, the practice of acupuncture by licensed acupuncturists, and the practice of genetic counseling by licensed genetic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in any case whether an investigation or a disciplinary action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Initiate and prosecute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Impose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Request that the attorney general file appropriate court action for enforcement of the board’s authority relating to licensees or other persons who are charged with violating statutes or rules the board administers or enforces.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Establish and register peer reviewers.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Refer to one or more registered peer reviewers for investigation, review, and report to the board any complaint or other evidence of an act or omission which the board has reasonable grounds to believe may constitute cause for licensee discipline. However, the referral of any matter shall not relieve the board of any of its duties and shall not divest the board of any authority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Determine eligibility for license renewal and administer the renewal of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Establish and administer rules for continuing education and mandatory training requirements as a condition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Establish fees for examination, fees for the issuance of licenses and fees for other services provided by the board with the intention of producing sufficient revenue to cover the expenses involved with operation of the board and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Establish committees of the board, the members of which, except for the executive committee, shall be appointed by the board chairperson and shall not constitute a quorum of the board. The board chairperson shall appoint committee chairpersons. Committees of the board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Executive committee. The membership shall be composed of the elected officers of the board and two at-large members appointed by the chairperson. At least one public member shall be appointed to the executive committee. The executive committee duties may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Guidance and supervision of the executive director.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Budgetary review and recommendations to the 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Review and recommendations to the board on rules and legislative proposals.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Study and recommendations to the board on practice issues and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Screening committee. The committee reviews complaints and makes recommendations to the board on appropriate action including further investigation or referral to the board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Licensure committee. Its duties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Recommending appropriate action on completed applications for licensure.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Conducting interviews with applicants when appropriate.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Reviewing licensure examination matters.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Reviewing and recommending to the board appropriate changes in licensure application forms.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Reviewing and making recommendations to the board regarding volunteer physician applicants who wish to participate in the state-indemnified volunteer physician program and who are under investigation or who have or have had disciplinary action against a license in the present or in the past.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Making recommendations on licensure policy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committee. The committee oversees the monitoring of licensees under board orders and makes recommendations to the board on these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Establish the Iowa physician health committee as its licensee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Advise the director of the department of public health in evaluating potential candidates for the position of executive director, consult with the director in the hiring of the executive director, and review and advise the director on the performance of the executive director in the discharge of the executive director’s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Adopt administrative rules and pursue legislation where necessary to conduct the board’s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Establish a pool of up to ten alternate board members to serve on a hearing panel when a sufficient number of board members is unavailable to hear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w:t>
      </w:r>
      <w:r>
        <w:rPr>
          <w:rFonts w:ascii="Times New Roman" w:hAnsi="Times New Roman"/>
          <w:b w:val="false"/>
          <w:i w:val="false"/>
          <w:color w:val="000000"/>
          <w:sz w:val="22"/>
        </w:rPr>
        <w:t> </w:t>
      </w:r>
      <w:r>
        <w:rPr>
          <w:rFonts w:ascii="Times New Roman" w:hAnsi="Times New Roman"/>
          <w:b w:val="false"/>
          <w:i w:val="false"/>
          <w:color w:val="000000"/>
          <w:sz w:val="22"/>
        </w:rPr>
        <w:t>Guide and direct a full-time executive director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not a member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 the supervision of the director of the department of public health and the guidance or direction of the board performs administrative duties of the board including, but not limited to: staff supervision and delegation; administration and enforcement of the statutes and rules relating to the practice of medicine and surgery, osteopathic medicine and surgery, the practice of acupuncture, and the practice of genetic counseling; issuance of subpoenas on behalf of the board or a committee of the board during the investigation of possible violations; and enunciation of policy on behalf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Establishes, in accordance with Iowa Code section </w:t>
      </w:r>
      <w:hyperlink r:id="rId15">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 a pool of alternate 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beginning of each fiscal year, the executive director presents a list of persons who are qualified under Iowa Code section </w:t>
      </w:r>
      <w:hyperlink r:id="rId16">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 xml:space="preserve"> to serve as alternate board members for the year beginning September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shall present the board-approved list of alternate board members to the governor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governor approves an alternate board member, the executive director or designee may assign the approved member to hear a contested case when an approved number of board members is unavailable.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5599C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653—1.4</w:t>
      </w:r>
      <w:r>
        <w:rPr>
          <w:rFonts w:ascii="Times New Roman" w:hAnsi="Times New Roman"/>
          <w:b/>
          <w:i w:val="false"/>
          <w:color w:val="000000"/>
          <w:sz w:val="22"/>
        </w:rPr>
        <w:t xml:space="preserve">(17A)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should be addressed to the Executive Director, Iowa Board of Medicine, 400 S.W. 8th Street, Suite C, Des Moines, Iowa 50309-4686.</w:t>
      </w:r>
    </w:p>
    <w:p>
      <w:pPr>
        <w:spacing w:before="0" w:after="0"/>
        <w:ind w:left="120"/>
        <w:jc w:val="both"/>
      </w:pPr>
      <w:r>
        <w:rPr>
          <w:rFonts w:ascii="Times New Roman" w:hAnsi="Times New Roman"/>
          <w:b/>
          <w:i w:val="false"/>
          <w:color w:val="000000"/>
          <w:sz w:val="22"/>
        </w:rPr>
        <w:t>653—1.5</w:t>
      </w:r>
      <w:r>
        <w:rPr>
          <w:rFonts w:ascii="Times New Roman" w:hAnsi="Times New Roman"/>
          <w:b/>
          <w:i w:val="false"/>
          <w:color w:val="000000"/>
          <w:sz w:val="22"/>
        </w:rPr>
        <w:t xml:space="preserve">(17A) </w:t>
      </w:r>
      <w:r>
        <w:rPr>
          <w:rFonts w:ascii="Times New Roman" w:hAnsi="Times New Roman"/>
          <w:b/>
          <w:i w:val="false"/>
          <w:color w:val="000000"/>
          <w:sz w:val="22"/>
        </w:rPr>
        <w:t xml:space="preserve">Office hours. </w:t>
      </w:r>
      <w:r>
        <w:rPr>
          <w:rFonts w:ascii="Times New Roman" w:hAnsi="Times New Roman"/>
          <w:b w:val="false"/>
          <w:i w:val="false"/>
          <w:color w:val="000000"/>
          <w:sz w:val="22"/>
        </w:rPr>
        <w:t>The office of the board is open for public business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to Friday of each week, except holidays.</w:t>
      </w:r>
    </w:p>
    <w:p>
      <w:pPr>
        <w:spacing w:before="0" w:after="0"/>
        <w:ind w:left="120"/>
        <w:jc w:val="both"/>
      </w:pPr>
      <w:r>
        <w:rPr>
          <w:rFonts w:ascii="Times New Roman" w:hAnsi="Times New Roman"/>
          <w:b/>
          <w:i w:val="false"/>
          <w:color w:val="000000"/>
          <w:sz w:val="22"/>
        </w:rPr>
        <w:t>653—1.6</w:t>
      </w:r>
      <w:r>
        <w:rPr>
          <w:rFonts w:ascii="Times New Roman" w:hAnsi="Times New Roman"/>
          <w:b/>
          <w:i w:val="false"/>
          <w:color w:val="000000"/>
          <w:sz w:val="22"/>
        </w:rPr>
        <w:t xml:space="preserve">(17A)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The board shall meet at least six times per year. Dates and location of board meetings may be obtained from the board’s office or on the board’s website at </w:t>
      </w:r>
      <w:hyperlink r:id="rId17">
        <w:r>
          <w:rPr>
            <w:rStyle w:val="Hyperlink"/>
            <w:rFonts w:ascii="Times New Roman" w:hAnsi="Times New Roman"/>
            <w:b w:val="false"/>
            <w:i w:val="false"/>
            <w:color w:val="000000"/>
            <w:sz w:val="22"/>
            <w:u w:val="single"/>
          </w:rPr>
          <w:t>www.medicalboard.iowa.gov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Except as otherwise provided by statute, all board meetings shall be open, and the public shall be permitted to attend the meetings.</w:t>
      </w:r>
    </w:p>
    <w:p>
      <w:pPr>
        <w:spacing w:before="0" w:after="0"/>
        <w:ind w:left="120"/>
        <w:jc w:val="both"/>
      </w:pPr>
      <w:r>
        <w:rPr>
          <w:rFonts w:ascii="Times New Roman" w:hAnsi="Times New Roman"/>
          <w:b/>
          <w:i w:val="false"/>
          <w:color w:val="000000"/>
          <w:sz w:val="22"/>
        </w:rPr>
        <w:t>653—1.7</w:t>
      </w:r>
      <w:r>
        <w:rPr>
          <w:rFonts w:ascii="Times New Roman" w:hAnsi="Times New Roman"/>
          <w:b/>
          <w:i w:val="false"/>
          <w:color w:val="000000"/>
          <w:sz w:val="22"/>
        </w:rPr>
        <w:t xml:space="preserve">(17A,147) </w:t>
      </w:r>
      <w:r>
        <w:rPr>
          <w:rFonts w:ascii="Times New Roman" w:hAnsi="Times New Roman"/>
          <w:b/>
          <w:i w:val="false"/>
          <w:color w:val="000000"/>
          <w:sz w:val="22"/>
        </w:rPr>
        <w:t xml:space="preserve">Petition to promulgate, amend or repeal a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val="false"/>
          <w:color w:val="000000"/>
          <w:sz w:val="22"/>
        </w:rPr>
        <w:t>An interested person or other legal entity may petition the board requesting the promulgation, amendment or repeal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val="false"/>
          <w:color w:val="000000"/>
          <w:sz w:val="22"/>
        </w:rPr>
        <w:t>The petition shall be in writing, signed by or on behalf of the petitioner and contain a detailed statement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rule that the petitioner is requesting the board to promulgate, amend or repeal. The petitioner shall indicate deletions to the current rule with brackets and additions to the current rule with underlining.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Facts in sufficient detail to show the reasons for the proposed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propositions of law to be asserted by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val="false"/>
          <w:color w:val="000000"/>
          <w:sz w:val="22"/>
        </w:rPr>
        <w:t>The petition shall be in typewritten or printed form, captioned BEFORE THE IOWA BOARD OF MEDICINE and shall be deemed filed when received by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val="false"/>
          <w:color w:val="000000"/>
          <w:sz w:val="22"/>
        </w:rPr>
        <w:t>Upon receipt of the petition the executive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within ten days a copy of the petition to any parties named in it. The petition shall be deemed served on the date of mailing to the last-known address of the party being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Advise petitioner that petitioner has 30 days within which to submit written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Schedule oral presentation of petitioner’s view if the board so directs.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60 days after date of submission of the petition, either deny the petition or initiate rule-making proceedings in accordance with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w:t>
      </w:r>
      <w:r>
        <w:rPr>
          <w:rFonts w:ascii="Times New Roman" w:hAnsi="Times New Roman"/>
          <w:b w:val="false"/>
          <w:i w:val="false"/>
          <w:color w:val="000000"/>
          <w:sz w:val="22"/>
        </w:rPr>
        <w:t> </w:t>
      </w:r>
      <w:r>
        <w:rPr>
          <w:rFonts w:ascii="Times New Roman" w:hAnsi="Times New Roman"/>
          <w:b w:val="false"/>
          <w:i w:val="false"/>
          <w:color w:val="000000"/>
          <w:sz w:val="22"/>
        </w:rPr>
        <w:t>In the case of a denial of a petition to promulgate, amend or repeal a rule, the board or its executive director shall issue an order setting forth the reasons in detail for denial of the petition. The order shall be mailed to the petitioner and all other persons upon whom a copy of the petition was served.</w:t>
      </w:r>
    </w:p>
    <w:p>
      <w:pPr>
        <w:spacing w:before="0" w:after="0"/>
        <w:ind w:left="120"/>
        <w:jc w:val="both"/>
      </w:pPr>
      <w:r>
        <w:rPr>
          <w:rFonts w:ascii="Times New Roman" w:hAnsi="Times New Roman"/>
          <w:b/>
          <w:i w:val="false"/>
          <w:color w:val="000000"/>
          <w:sz w:val="22"/>
        </w:rPr>
        <w:t>653—1.8</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hearings prior to the adoption, amendment or repeal of any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w:t>
      </w:r>
      <w:r>
        <w:rPr>
          <w:rFonts w:ascii="Times New Roman" w:hAnsi="Times New Roman"/>
          <w:b w:val="false"/>
          <w:i w:val="false"/>
          <w:color w:val="000000"/>
          <w:sz w:val="22"/>
        </w:rPr>
        <w:t> </w:t>
      </w:r>
      <w:r>
        <w:rPr>
          <w:rFonts w:ascii="Times New Roman" w:hAnsi="Times New Roman"/>
          <w:b w:val="false"/>
          <w:i/>
          <w:color w:val="000000"/>
          <w:sz w:val="22"/>
        </w:rPr>
        <w:t xml:space="preserve">Scheduling a public hearing. </w:t>
      </w:r>
      <w:r>
        <w:rPr>
          <w:rFonts w:ascii="Times New Roman" w:hAnsi="Times New Roman"/>
          <w:b w:val="false"/>
          <w:i w:val="false"/>
          <w:color w:val="000000"/>
          <w:sz w:val="22"/>
        </w:rPr>
        <w:t>The board may at its discretion hold a public hearing, or it shall hold a public hearing upon the written request of at least 25 interested persons, a governmental subdivision, an agency, or an association of 25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board chooses to hold a public hearing, it will announce the date, time, and location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board has not scheduled a public hearing and a person or an organization wishes to request one, a written request for a public hearing shall be received by the executive director within 20 days after the notice of intended action has been published.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shall schedule a public hearing if the request(s)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shall set the date, time, and location of the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or organization requesting the public hearing shall be notified of the date, time, and location of the public hearing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w:t>
      </w:r>
      <w:r>
        <w:rPr>
          <w:rFonts w:ascii="Times New Roman" w:hAnsi="Times New Roman"/>
          <w:b w:val="false"/>
          <w:i w:val="false"/>
          <w:color w:val="000000"/>
          <w:sz w:val="22"/>
        </w:rPr>
        <w:t> </w:t>
      </w:r>
      <w:r>
        <w:rPr>
          <w:rFonts w:ascii="Times New Roman" w:hAnsi="Times New Roman"/>
          <w:b w:val="false"/>
          <w:i/>
          <w:color w:val="000000"/>
          <w:sz w:val="22"/>
        </w:rPr>
        <w:t xml:space="preserve">Proceedings at the public hearing. </w:t>
      </w:r>
      <w:r>
        <w:rPr>
          <w:rFonts w:ascii="Times New Roman" w:hAnsi="Times New Roman"/>
          <w:b w:val="false"/>
          <w:i w:val="false"/>
          <w:color w:val="000000"/>
          <w:sz w:val="22"/>
        </w:rPr>
        <w:t>The chairperson of the board shall serve as the presiding officer or appoint a presiding officer over the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individual(s) may present either written or oral comments pertinent to the rule(s) for which the public hearing has been scheduled.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individual(s) desiring to make written comments in advance of the hearing shall submit these comments to the executive director. The presiding officer shall accept written comments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individual(s) desiring to make an oral presentation shall be present at the hearing and ask to speak.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of the presiding officer during the public hearing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Setting a time limit on oral presentations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Excluding any individual(s) who may be either disruptive or obstructive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Ruling that the oral presentation or discussion is not pertinent to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Accepting any written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conduct of the presiding officer during the public hearing shall include but need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 the hearing and receive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Enter the notice of hearing into the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 rule(s) under adoption, amendment or repeal and provide rationale for the proposed action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Receive written and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Read into the official public record written comments which have been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 those individuals present that within 30 days of the date of hearing the board shall issue a written statement of the principal reasons for and against the rule it adopted, incorporating therein the reasons either for accepting or overruling considerations urged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Adjourn the hearing.</w:t>
      </w:r>
    </w:p>
    <w:p>
      <w:pPr>
        <w:spacing w:before="0" w:after="0"/>
        <w:ind w:left="120"/>
        <w:jc w:val="both"/>
      </w:pPr>
      <w:r>
        <w:rPr>
          <w:rFonts w:ascii="Times New Roman" w:hAnsi="Times New Roman"/>
          <w:b/>
          <w:i w:val="false"/>
          <w:color w:val="000000"/>
          <w:sz w:val="22"/>
        </w:rPr>
        <w:t>653—1.9</w:t>
      </w:r>
      <w:r>
        <w:rPr>
          <w:rFonts w:ascii="Times New Roman" w:hAnsi="Times New Roman"/>
          <w:b/>
          <w:i w:val="false"/>
          <w:color w:val="000000"/>
          <w:sz w:val="22"/>
        </w:rPr>
        <w:t xml:space="preserve">(17A) </w:t>
      </w:r>
      <w:r>
        <w:rPr>
          <w:rFonts w:ascii="Times New Roman" w:hAnsi="Times New Roman"/>
          <w:b/>
          <w:i w:val="false"/>
          <w:color w:val="000000"/>
          <w:sz w:val="22"/>
        </w:rPr>
        <w:t xml:space="preserve">Declaratory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w:t>
      </w:r>
      <w:r>
        <w:rPr>
          <w:rFonts w:ascii="Times New Roman" w:hAnsi="Times New Roman"/>
          <w:b w:val="false"/>
          <w:i w:val="false"/>
          <w:color w:val="000000"/>
          <w:sz w:val="22"/>
        </w:rPr>
        <w:t> </w:t>
      </w:r>
      <w:r>
        <w:rPr>
          <w:rFonts w:ascii="Times New Roman" w:hAnsi="Times New Roman"/>
          <w:b w:val="false"/>
          <w:i/>
          <w:color w:val="000000"/>
          <w:sz w:val="22"/>
        </w:rPr>
        <w:t xml:space="preserve">Petition for declaratory order. </w:t>
      </w:r>
      <w:r>
        <w:rPr>
          <w:rFonts w:ascii="Times New Roman" w:hAnsi="Times New Roman"/>
          <w:b w:val="false"/>
          <w:i w:val="false"/>
          <w:color w:val="000000"/>
          <w:sz w:val="22"/>
        </w:rPr>
        <w:t>Any person may file a petition with the board of medicine for a declaratory order as to the applicability to specified circumstances of a statute, rule, or order within the primary jurisdiction of the board. A petition is deemed filed when it is received by the board office. The board shall provide the petitioner with a file-stamped copy of the petition if the petitioner provides the board office with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BOARD OF MEDICINE</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19">
        <w:r>
          <w:rPr>
            <w:rStyle w:val="Hyperlink"/>
            <w:rFonts w:ascii="Times New Roman" w:hAnsi="Times New Roman"/>
            <w:b w:val="false"/>
            <w:i w:val="false"/>
            <w:color w:val="000000"/>
            <w:sz w:val="22"/>
          </w:rPr>
          <w:t>1.9(7)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board shall give notice of the petition to all persons not served by the petitioner pursuant to </w:t>
      </w:r>
      <w:hyperlink r:id="rId20">
        <w:r>
          <w:rPr>
            <w:rStyle w:val="Hyperlink"/>
            <w:rFonts w:ascii="Times New Roman" w:hAnsi="Times New Roman"/>
            <w:b w:val="false"/>
            <w:i w:val="false"/>
            <w:color w:val="000000"/>
            <w:sz w:val="22"/>
          </w:rPr>
          <w:t>1.9(6)</w:t>
        </w:r>
        <w:r>
          <w:rPr>
            <w:rFonts w:ascii="Times New Roman" w:hAnsi="Times New Roman"/>
            <w:b w:val="false"/>
            <w:i/>
            <w:color w:val="000000"/>
            <w:sz w:val="22"/>
          </w:rPr>
          <w:t>“c”</w:t>
        </w:r>
      </w:hyperlink>
      <w:r>
        <w:rPr>
          <w:rFonts w:ascii="Times New Roman" w:hAnsi="Times New Roman"/>
          <w:b w:val="false"/>
          <w:i w:val="false"/>
          <w:color w:val="000000"/>
          <w:sz w:val="22"/>
        </w:rPr>
        <w:t xml:space="preserve"> to whom notice is required by any provision of law. The board may also give notice to any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with the executive director at the board office. Such a petition is deemed filed when it is received by that office. The board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BOARD OF MEDICINE</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 (Cite</w:t>
            </w:r>
          </w:p>
          <w:p>
            <w:pPr>
              <w:spacing w:before="0" w:after="0"/>
              <w:ind w:left="160"/>
              <w:jc w:val="left"/>
            </w:pPr>
            <w:r>
              <w:rPr>
                <w:rFonts w:ascii="Times New Roman" w:hAnsi="Times New Roman"/>
                <w:b w:val="false"/>
                <w:i w:val="false"/>
                <w:color w:val="000000"/>
                <w:sz w:val="16"/>
              </w:rPr>
              <w:t>provisions of law 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The petitioner or any intervenor may file a brief in support of the position urged. The board may request a brief from the petitioner, any intervenor, or any other person concerning the questions raised.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w:t>
      </w:r>
      <w:r>
        <w:rPr>
          <w:rFonts w:ascii="Times New Roman" w:hAnsi="Times New Roman"/>
          <w:b w:val="false"/>
          <w:i w:val="false"/>
          <w:color w:val="000000"/>
          <w:sz w:val="22"/>
        </w:rPr>
        <w:t> </w:t>
      </w:r>
      <w:r>
        <w:rPr>
          <w:rFonts w:ascii="Times New Roman" w:hAnsi="Times New Roman"/>
          <w:b w:val="false"/>
          <w:i/>
          <w:color w:val="000000"/>
          <w:sz w:val="22"/>
        </w:rPr>
        <w:t xml:space="preserve">Inquiries. </w:t>
      </w:r>
      <w:r>
        <w:rPr>
          <w:rFonts w:ascii="Times New Roman" w:hAnsi="Times New Roman"/>
          <w:b w:val="false"/>
          <w:i w:val="false"/>
          <w:color w:val="000000"/>
          <w:sz w:val="22"/>
        </w:rPr>
        <w:t>Inquiries concerning the status of a declaratory order proceeding may be made to the executive director at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w:t>
      </w:r>
      <w:r>
        <w:rPr>
          <w:rFonts w:ascii="Times New Roman" w:hAnsi="Times New Roman"/>
          <w:b w:val="false"/>
          <w:i w:val="false"/>
          <w:color w:val="000000"/>
          <w:sz w:val="22"/>
        </w:rPr>
        <w:t> </w:t>
      </w:r>
      <w:r>
        <w:rPr>
          <w:rFonts w:ascii="Times New Roman" w:hAnsi="Times New Roman"/>
          <w:b w:val="false"/>
          <w:i/>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executive director at the board office. All petitions, briefs, or other papers that are required to be served upon a party shall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w:t>
      </w:r>
      <w:hyperlink r:id="rId21">
        <w:r>
          <w:rPr>
            <w:rStyle w:val="Hyperlink"/>
            <w:rFonts w:ascii="Times New Roman" w:hAnsi="Times New Roman"/>
            <w:b w:val="false"/>
            <w:i w:val="false"/>
            <w:color w:val="000000"/>
            <w:sz w:val="22"/>
          </w:rPr>
          <w:t>653—25.11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Upon request by petitioner, the board must schedule a brief and informal meeting between the original petitioner, all intervenors, and the board, a member of the board, or a member of the staff of the board, to discuss the questions raised. The board may solicit comments from any person on the questions raised. Also, comments on the questions raised may be submitted to the board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w:t>
      </w:r>
      <w:r>
        <w:rPr>
          <w:rFonts w:ascii="Times New Roman" w:hAnsi="Times New Roman"/>
          <w:b w:val="false"/>
          <w:i w:val="false"/>
          <w:color w:val="000000"/>
          <w:sz w:val="22"/>
        </w:rPr>
        <w:t> </w:t>
      </w:r>
      <w:r>
        <w:rPr>
          <w:rFonts w:ascii="Times New Roman" w:hAnsi="Times New Roman"/>
          <w:b w:val="false"/>
          <w:i/>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Iowa Code section </w:t>
      </w:r>
      <w:hyperlink r:id="rId22">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 xml:space="preserve">, after receipt of a petition for a declaratory order, the board shall take action on the petition as required by Iowa Code section </w:t>
      </w:r>
      <w:hyperlink r:id="rId23">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w:t>
      </w:r>
      <w:hyperlink r:id="rId24">
        <w:r>
          <w:rPr>
            <w:rStyle w:val="Hyperlink"/>
            <w:rFonts w:ascii="Times New Roman" w:hAnsi="Times New Roman"/>
            <w:b w:val="false"/>
            <w:i w:val="false"/>
            <w:color w:val="000000"/>
            <w:sz w:val="22"/>
          </w:rPr>
          <w:t>653—subrule 25.11(4)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w:t>
      </w:r>
      <w:r>
        <w:rPr>
          <w:rFonts w:ascii="Times New Roman" w:hAnsi="Times New Roman"/>
          <w:b w:val="false"/>
          <w:i w:val="false"/>
          <w:color w:val="000000"/>
          <w:sz w:val="22"/>
        </w:rPr>
        <w:t> </w:t>
      </w:r>
      <w:r>
        <w:rPr>
          <w:rFonts w:ascii="Times New Roman" w:hAnsi="Times New Roman"/>
          <w:b w:val="false"/>
          <w:i/>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not issue a declaratory order where prohibited by Iowa Code section </w:t>
      </w:r>
      <w:hyperlink r:id="rId25">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board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board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w:t>
      </w:r>
      <w:r>
        <w:rPr>
          <w:rFonts w:ascii="Times New Roman" w:hAnsi="Times New Roman"/>
          <w:b w:val="false"/>
          <w:i w:val="false"/>
          <w:color w:val="000000"/>
          <w:sz w:val="22"/>
        </w:rPr>
        <w:t> </w:t>
      </w:r>
      <w:r>
        <w:rPr>
          <w:rFonts w:ascii="Times New Roman" w:hAnsi="Times New Roman"/>
          <w:b w:val="false"/>
          <w:i/>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 A declaratory order is effective on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w:t>
      </w:r>
      <w:r>
        <w:rPr>
          <w:rFonts w:ascii="Times New Roman" w:hAnsi="Times New Roman"/>
          <w:b w:val="false"/>
          <w:i w:val="false"/>
          <w:color w:val="000000"/>
          <w:sz w:val="22"/>
        </w:rPr>
        <w:t> </w:t>
      </w:r>
      <w:r>
        <w:rPr>
          <w:rFonts w:ascii="Times New Roman" w:hAnsi="Times New Roman"/>
          <w:b w:val="false"/>
          <w:i/>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w:t>
      </w:r>
      <w:r>
        <w:rPr>
          <w:rFonts w:ascii="Times New Roman" w:hAnsi="Times New Roman"/>
          <w:b w:val="false"/>
          <w:i w:val="false"/>
          <w:color w:val="000000"/>
          <w:sz w:val="22"/>
        </w:rPr>
        <w:t> </w:t>
      </w:r>
      <w:r>
        <w:rPr>
          <w:rFonts w:ascii="Times New Roman" w:hAnsi="Times New Roman"/>
          <w:b w:val="false"/>
          <w:i/>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board,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board of medicine. The issuance of a declaratory order constitutes final agency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653—1.10</w:t>
      </w:r>
      <w:r>
        <w:rPr>
          <w:rFonts w:ascii="Times New Roman" w:hAnsi="Times New Roman"/>
          <w:b/>
          <w:i w:val="false"/>
          <w:color w:val="000000"/>
          <w:sz w:val="22"/>
        </w:rPr>
        <w:t xml:space="preserve">(68B) </w:t>
      </w:r>
      <w:r>
        <w:rPr>
          <w:rFonts w:ascii="Times New Roman" w:hAnsi="Times New Roman"/>
          <w:b/>
          <w:i w:val="false"/>
          <w:color w:val="000000"/>
          <w:sz w:val="22"/>
        </w:rPr>
        <w:t xml:space="preserve">Selling of goods or services by members of the board or Iowa physician health committee (IPHC).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the rule. </w:t>
      </w:r>
      <w:r>
        <w:rPr>
          <w:rFonts w:ascii="Times New Roman" w:hAnsi="Times New Roman"/>
          <w:b w:val="false"/>
          <w:i w:val="false"/>
          <w:color w:val="000000"/>
          <w:sz w:val="22"/>
        </w:rPr>
        <w:t>The board members and members of the IPHC shall not sell, either directly or indirectly, any goods or services to individuals, associations, or corporations that are subject to the regulatory authority of the department except as authorized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w:t>
      </w:r>
      <w:r>
        <w:rPr>
          <w:rFonts w:ascii="Times New Roman" w:hAnsi="Times New Roman"/>
          <w:b w:val="false"/>
          <w:i w:val="false"/>
          <w:color w:val="000000"/>
          <w:sz w:val="22"/>
        </w:rPr>
        <w:t> </w:t>
      </w:r>
      <w:r>
        <w:rPr>
          <w:rFonts w:ascii="Times New Roman" w:hAnsi="Times New Roman"/>
          <w:b w:val="false"/>
          <w:i/>
          <w:color w:val="000000"/>
          <w:sz w:val="22"/>
        </w:rPr>
        <w:t xml:space="preserve">Consent. </w:t>
      </w:r>
      <w:r>
        <w:rPr>
          <w:rFonts w:ascii="Times New Roman" w:hAnsi="Times New Roman"/>
          <w:b w:val="false"/>
          <w:i w:val="false"/>
          <w:color w:val="000000"/>
          <w:sz w:val="22"/>
        </w:rPr>
        <w:t>Consent shall be given by a majority of the members of the board. Consent shall not be given to an official to sell goods or services to an individual, association, or corporation regulated by the department unless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official requesting consent does not have authority to determine whether consent should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official’s duties or functions are not related to the department’s regulatory authority over the individual, association or corporation to whom the goods and services are being sold, or the selling of the good or service does not affect the official’s duties or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selling of the good or service does not include acting as an advocate on behalf of the individual, association, or corporation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selling of the good or service does not result in the official’s selling a good or service to the department on behalf of the individual, association,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w:t>
      </w:r>
      <w:r>
        <w:rPr>
          <w:rFonts w:ascii="Times New Roman" w:hAnsi="Times New Roman"/>
          <w:b w:val="false"/>
          <w:i w:val="false"/>
          <w:color w:val="000000"/>
          <w:sz w:val="22"/>
        </w:rPr>
        <w:t> </w:t>
      </w:r>
      <w:r>
        <w:rPr>
          <w:rFonts w:ascii="Times New Roman" w:hAnsi="Times New Roman"/>
          <w:b w:val="false"/>
          <w:i/>
          <w:color w:val="000000"/>
          <w:sz w:val="22"/>
        </w:rPr>
        <w:t xml:space="preserve">Authorized sales. </w:t>
      </w:r>
      <w:r>
        <w:rPr>
          <w:rFonts w:ascii="Times New Roman" w:hAnsi="Times New Roman"/>
          <w:b w:val="false"/>
          <w:i w:val="false"/>
          <w:color w:val="000000"/>
          <w:sz w:val="22"/>
        </w:rPr>
        <w:t>Sales may be authorized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of the board or IPHC may sell goods or services to any individual, association, or corporation regulated by any division within the department, other than the board or committee on which that official serves. This consent is granted because the sale of such goods or services does not affect the member’s duties or functions on the board or IPHC.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member of the board may sell goods or services to any individual, association, or corporation regulated by the board if those goods or services are routinely provided to the public as part of that person’s regular professional practice. This consent is granted because the sale of such goods or services does not affect the board or IPHC member’s duties or functions on the board or IPHC, respectively. In the event an individual, association, or corporation regulated by the board, to whom a board or IPHC member sells goods or services is directly involved in any matter pending before the board, including a disciplinary matter, that board or IPHC member shall not participate in any deliberation or decision concerning that matter. In the event a complaint is filed with the board concerning the services provided by the board or IPHC member to a member of the public, that board or IPHC member is otherwise prohibited by law from participating in any discussion or decision by the licensing board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 application and approval are not required for the sales authorized by this rule unless there are unique facts surrounding a particular sale which would cause the sale to affect the seller’s duties or functions, would give the buyer an advantage in dealing with the board or IPHC, or would otherwise present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consent. </w:t>
      </w:r>
      <w:r>
        <w:rPr>
          <w:rFonts w:ascii="Times New Roman" w:hAnsi="Times New Roman"/>
          <w:b w:val="false"/>
          <w:i w:val="false"/>
          <w:color w:val="000000"/>
          <w:sz w:val="22"/>
        </w:rPr>
        <w:t xml:space="preserve">Prior to selling a good or service to an individual, association, or corporation subject to the regulatory authority of the department, an official must obtain prior written consent unless the sale is specifically allowed in subrule </w:t>
      </w:r>
      <w:hyperlink r:id="rId34">
        <w:r>
          <w:rPr>
            <w:rStyle w:val="Hyperlink"/>
            <w:rFonts w:ascii="Times New Roman" w:hAnsi="Times New Roman"/>
            <w:b w:val="false"/>
            <w:i w:val="false"/>
            <w:color w:val="000000"/>
            <w:sz w:val="22"/>
          </w:rPr>
          <w:t>1.10(3)</w:t>
        </w:r>
      </w:hyperlink>
      <w:r>
        <w:rPr>
          <w:rFonts w:ascii="Times New Roman" w:hAnsi="Times New Roman"/>
          <w:b w:val="false"/>
          <w:i w:val="false"/>
          <w:color w:val="000000"/>
          <w:sz w:val="22"/>
        </w:rPr>
        <w:t>. The request for consent must be in writing and signed by the official requesting consent. The application must provide a clear statement of all relevant facts concerning the sale. The application should identify the parties to the sale and the amount of compensation. The application should also explain why the sale should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w:t>
      </w:r>
      <w:r>
        <w:rPr>
          <w:rFonts w:ascii="Times New Roman" w:hAnsi="Times New Roman"/>
          <w:b w:val="false"/>
          <w:i w:val="false"/>
          <w:color w:val="000000"/>
          <w:sz w:val="22"/>
        </w:rPr>
        <w:t> </w:t>
      </w:r>
      <w:r>
        <w:rPr>
          <w:rFonts w:ascii="Times New Roman" w:hAnsi="Times New Roman"/>
          <w:b w:val="false"/>
          <w:i/>
          <w:color w:val="000000"/>
          <w:sz w:val="22"/>
        </w:rPr>
        <w:t xml:space="preserve">Limitation of consent. </w:t>
      </w:r>
      <w:r>
        <w:rPr>
          <w:rFonts w:ascii="Times New Roman" w:hAnsi="Times New Roman"/>
          <w:b w:val="false"/>
          <w:i w:val="false"/>
          <w:color w:val="000000"/>
          <w:sz w:val="22"/>
        </w:rPr>
        <w:t>Consent shall be in writing and shall be valid only for the activities and the time period specifically described in the consent. Consent can be revoked at any time by a majority vote of the members of the board upon written notice to the board. A consent provided under this chapter does not constitute authorization for any activity which is a conflict of interest under common law or which would violate any other statute or rule. It is the responsibility of the official requesting consent to ensure compliance with all other applicable laws and rules.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11/20/51; amended 5/13/64]</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3/13/81, Notice 1/7/81—published 4/1/81, effective 5/6/81]</w:t>
      </w:r>
    </w:p>
    <w:p>
      <w:pPr>
        <w:spacing w:before="0" w:after="0"/>
        <w:ind w:left="120"/>
        <w:jc w:val="center"/>
      </w:pPr>
      <w:r>
        <w:rPr>
          <w:rFonts w:ascii="Times New Roman" w:hAnsi="Times New Roman"/>
          <w:b w:val="false"/>
          <w:i w:val="false"/>
          <w:color w:val="000000"/>
          <w:sz w:val="21"/>
        </w:rPr>
        <w:t>[Filed emergency after Notice 4/28/83, Notice 2/2/83—published 5/25/83, effective 4/28/83]</w:t>
      </w:r>
    </w:p>
    <w:p>
      <w:pPr>
        <w:spacing w:before="0" w:after="0"/>
        <w:ind w:left="120"/>
        <w:jc w:val="center"/>
      </w:pPr>
      <w:r>
        <w:rPr>
          <w:rFonts w:ascii="Times New Roman" w:hAnsi="Times New Roman"/>
          <w:b w:val="false"/>
          <w:i w:val="false"/>
          <w:color w:val="000000"/>
          <w:sz w:val="21"/>
        </w:rPr>
        <w:t>[Filed 7/15/83, Notice 6/8/83—published 8/3/83, effective 9/7/83]</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4/25/89, Notice 2/22/89—published 5/17/89, effective 6/21/89]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1/10/94, Notice 11/24/93—published 2/2/94, effective 3/9/94]</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9/29/00, Notice 6/28/00—published 10/18/00, effective 11/22/00]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11/5/04, Notice 9/29/04—published 11/24/04, effective 12/29/04]</w:t>
      </w:r>
    </w:p>
    <w:p>
      <w:pPr>
        <w:spacing w:before="0" w:after="0"/>
        <w:ind w:left="120"/>
        <w:jc w:val="center"/>
      </w:pPr>
      <w:r>
        <w:rPr>
          <w:rFonts w:ascii="Times New Roman" w:hAnsi="Times New Roman"/>
          <w:b w:val="false"/>
          <w:i w:val="false"/>
          <w:color w:val="000000"/>
          <w:sz w:val="21"/>
        </w:rPr>
        <w:t>[Filed 4/27/07, Notice 2/28/07—published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5599C</w:t>
      </w:r>
      <w:r>
        <w:rPr>
          <w:rFonts w:ascii="Times New Roman" w:hAnsi="Times New Roman"/>
          <w:b w:val="false"/>
          <w:i w:val="false"/>
          <w:color w:val="000000"/>
          <w:sz w:val="21"/>
        </w:rPr>
        <w:t xml:space="preserve"> (Notice ARC 5372C, IAB 12/30/20)</w:t>
      </w:r>
      <w:r>
        <w:rPr>
          <w:rFonts w:ascii="Times New Roman" w:hAnsi="Times New Roman"/>
          <w:b w:val="false"/>
          <w:i w:val="false"/>
          <w:color w:val="000000"/>
          <w:sz w:val="21"/>
        </w:rPr>
        <w:t>, IAB 5/5/21, effective 6/9/21]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2A.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48.pdf" Type="http://schemas.openxmlformats.org/officeDocument/2006/relationships/hyperlink" Id="rId9"/>
    <Relationship TargetMode="External" Target="https://www.legis.iowa.gov/docs/ico/chapter/148E.pdf" Type="http://schemas.openxmlformats.org/officeDocument/2006/relationships/hyperlink" Id="rId10"/>
    <Relationship TargetMode="External" Target="https://www.legis.iowa.gov/docs/ico/chapter/147.pdf" Type="http://schemas.openxmlformats.org/officeDocument/2006/relationships/hyperlink" Id="rId11"/>
    <Relationship TargetMode="External" Target="https://www.legis.iowa.gov/docs/ico/chapter/148.pdf" Type="http://schemas.openxmlformats.org/officeDocument/2006/relationships/hyperlink" Id="rId12"/>
    <Relationship TargetMode="External" Target="https://www.legis.iowa.gov/docs/ico/chapter/148E.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148.2A.pdf" Type="http://schemas.openxmlformats.org/officeDocument/2006/relationships/hyperlink" Id="rId15"/>
    <Relationship TargetMode="External" Target="https://www.legis.iowa.gov/docs/ico/chapter/148.2A.pdf" Type="http://schemas.openxmlformats.org/officeDocument/2006/relationships/hyperlink" Id="rId16"/>
    <Relationship TargetMode="External" Target="www.medicalboard. iowa.gov"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ac/rule/653.1.9.pdf" Type="http://schemas.openxmlformats.org/officeDocument/2006/relationships/hyperlink" Id="rId19"/>
    <Relationship TargetMode="External" Target="https://www.legis.iowa.gov/docs/iac/rule/653.1.9.pdf" Type="http://schemas.openxmlformats.org/officeDocument/2006/relationships/hyperlink" Id="rId20"/>
    <Relationship TargetMode="External" Target="https://www.legis.iowa.gov/docs/iac/rule/653.25.11.pdf" Type="http://schemas.openxmlformats.org/officeDocument/2006/relationships/hyperlink" Id="rId21"/>
    <Relationship TargetMode="External" Target="https://www.legis.iowa.gov/docs/ico/chapter/17A.9.pdf" Type="http://schemas.openxmlformats.org/officeDocument/2006/relationships/hyperlink" Id="rId22"/>
    <Relationship TargetMode="External" Target="https://www.legis.iowa.gov/docs/ico/chapter/17A.9.pdf" Type="http://schemas.openxmlformats.org/officeDocument/2006/relationships/hyperlink" Id="rId23"/>
    <Relationship TargetMode="External" Target="https://www.legis.iowa.gov/docs/iac/rule/653.25.11.pdf" Type="http://schemas.openxmlformats.org/officeDocument/2006/relationships/hyperlink" Id="rId24"/>
    <Relationship TargetMode="External" Target="https://www.legis.iowa.gov/docs/ico/chapter/17A.9.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21.pdf" Type="http://schemas.openxmlformats.org/officeDocument/2006/relationships/hyperlink" Id="rId27"/>
    <Relationship TargetMode="External" Target="https://www.legis.iowa.gov/docs/ico/chapter/68B.pdf" Type="http://schemas.openxmlformats.org/officeDocument/2006/relationships/hyperlink" Id="rId28"/>
    <Relationship TargetMode="External" Target="https://www.legis.iowa.gov/docs/ico/chapter/148.pdf" Type="http://schemas.openxmlformats.org/officeDocument/2006/relationships/hyperlink" Id="rId29"/>
    <Relationship TargetMode="External" Target="https://www.legis.iowa.gov/docs/ico/chapter/148E.pdf" Type="http://schemas.openxmlformats.org/officeDocument/2006/relationships/hyperlink" Id="rId30"/>
    <Relationship TargetMode="External" Target="https://www.legis.iowa.gov/docs/ico/chapter/252J.pdf" Type="http://schemas.openxmlformats.org/officeDocument/2006/relationships/hyperlink" Id="rId31"/>
    <Relationship TargetMode="External" Target="https://www.legis.iowa.gov/docs/ico/chapter/261.pdf" Type="http://schemas.openxmlformats.org/officeDocument/2006/relationships/hyperlink" Id="rId32"/>
    <Relationship TargetMode="External" Target="https://www.legis.iowa.gov/docs/ico/chapter/272C.pdf" Type="http://schemas.openxmlformats.org/officeDocument/2006/relationships/hyperlink" Id="rId33"/>
    <Relationship TargetMode="External" Target="https://www.legis.iowa.gov/docs/iac/rule/653.1.10.pdf" Type="http://schemas.openxmlformats.org/officeDocument/2006/relationships/hyperlink" Id="rId34"/>
    <Relationship TargetMode="External" Target="https://www.legis.iowa.gov/docs/ico/chapter/68B.4.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