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SALE OF GOODS AND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650—8.1</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of goods or services by members of the board. </w:t>
      </w:r>
      <w:r>
        <w:rPr>
          <w:rFonts w:ascii="Times New Roman" w:hAnsi="Times New Roman"/>
          <w:b w:val="false"/>
          <w:i w:val="false"/>
          <w:color w:val="000000"/>
          <w:sz w:val="22"/>
        </w:rPr>
        <w:t>The board members shall not sell, either directly or indirectly, any goods or services to individuals, associations, or corporations that are subject to the regulatory authority of the department of public health except as authorized by this chapter.</w:t>
      </w:r>
    </w:p>
    <w:p>
      <w:pPr>
        <w:spacing w:before="0" w:after="0"/>
        <w:ind w:left="120"/>
        <w:jc w:val="both"/>
      </w:pPr>
      <w:r>
        <w:rPr>
          <w:rFonts w:ascii="Times New Roman" w:hAnsi="Times New Roman"/>
          <w:b/>
          <w:i w:val="false"/>
          <w:color w:val="000000"/>
          <w:sz w:val="22"/>
        </w:rPr>
        <w:t>650—8.2</w:t>
      </w:r>
      <w:r>
        <w:rPr>
          <w:rFonts w:ascii="Times New Roman" w:hAnsi="Times New Roman"/>
          <w:b/>
          <w:i w:val="false"/>
          <w:color w:val="000000"/>
          <w:sz w:val="22"/>
        </w:rPr>
        <w:t xml:space="preserve">(68B) </w:t>
      </w:r>
      <w:r>
        <w:rPr>
          <w:rFonts w:ascii="Times New Roman" w:hAnsi="Times New Roman"/>
          <w:b/>
          <w:i w:val="false"/>
          <w:color w:val="000000"/>
          <w:sz w:val="22"/>
        </w:rPr>
        <w:t xml:space="preserve">Conditions of consent for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Consent shall be given by a majority of the members of the board. </w:t>
      </w:r>
      <w:r>
        <w:rPr>
          <w:rFonts w:ascii="Times New Roman" w:hAnsi="Times New Roman"/>
          <w:b w:val="false"/>
          <w:i w:val="false"/>
          <w:color w:val="000000"/>
          <w:sz w:val="22"/>
        </w:rPr>
        <w:t>Consent shall not be given to an official to sell goods or services to an individual, association, or corporation regulated by the department of public health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official requesting consent does not have authority to determine whether consent should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official’s duties or functions are not related to the department’s regulatory authority over the individual, association or corporation to whom the goods and services are being sold, or the selling of the good or service does not affect the official’s duties or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of the good or service does not include acting as an advocate on behalf of the individual, association, or corporation to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of the good or service does not result in the official selling a good or service to the department on behalf of the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Authorized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sell goods or services to any individual, association, or corporation regulated by any division within the department of public health, other than the board on which that official serves. This consent is granted because the sale of such goods or services does not affect the board member’s duties or functions on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the board may sell goods or services to any individual, association, or corporation regulated by the board if those goods or services are routinely provided to the public as part of that person’s regular professional practice. This consent is granted because the sale of such goods or services does not affect the board member’s duties or functions on the board. In the event an individual, association, or corporation regulated by the board, to whom a board member sells goods or services is directly involved in any matter pending before the board, including a disciplinary matter, that board member shall not participate in any deliberation or decision concerning that matter. In the event a complaint is filed with the board concerning the services provided by the board member to a member of the public, that board member is otherwise prohibited by law from participating in any discussion or decision by the licensing board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 application and approval are not required for the sales authorized by this rule unless there are unique facts surrounding a particular sale which would cause the sale to affect the seller’s duties or functions, would give the buyer an advantage in dealing with the board, or would otherwise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consent. </w:t>
      </w:r>
      <w:r>
        <w:rPr>
          <w:rFonts w:ascii="Times New Roman" w:hAnsi="Times New Roman"/>
          <w:b w:val="false"/>
          <w:i w:val="false"/>
          <w:color w:val="000000"/>
          <w:sz w:val="22"/>
        </w:rPr>
        <w:t xml:space="preserve">Prior to selling a good or service to an individual, association, or corporation subject to the regulatory authority of the department of public health, an official must obtain prior written consent unless the sale is specifically allowed in subrule </w:t>
      </w:r>
      <w:hyperlink r:id="rId5">
        <w:r>
          <w:rPr>
            <w:rStyle w:val="Hyperlink"/>
            <w:rFonts w:ascii="Times New Roman" w:hAnsi="Times New Roman"/>
            <w:b w:val="false"/>
            <w:i w:val="false"/>
            <w:color w:val="000000"/>
            <w:sz w:val="22"/>
          </w:rPr>
          <w:t>8.2(2)</w:t>
        </w:r>
      </w:hyperlink>
      <w:r>
        <w:rPr>
          <w:rFonts w:ascii="Times New Roman" w:hAnsi="Times New Roman"/>
          <w:b w:val="false"/>
          <w:i w:val="false"/>
          <w:color w:val="000000"/>
          <w:sz w:val="22"/>
        </w:rPr>
        <w:t>. The request for consent must be in writing signed by the official requesting consent. The application must provide a clear statement of all relevant facts concerning the sale. The application should identify the parties to the sale and the amount of compensation. The application should also explain why the sale should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Limitation of consent. </w:t>
      </w:r>
      <w:r>
        <w:rPr>
          <w:rFonts w:ascii="Times New Roman" w:hAnsi="Times New Roman"/>
          <w:b w:val="false"/>
          <w:i w:val="false"/>
          <w:color w:val="000000"/>
          <w:sz w:val="22"/>
        </w:rPr>
        <w:t>Consent shall be in writing and shall be valid only for the activities and the time period specifically described in the consent. Consent can be revoked at any time by a majority vote of the members of the board upon written notice to the board. A consent provided under this chapter does not constitute authorization for any activity which is a conflict of interest under common law or which would violate any other statute or rule.</w:t>
      </w:r>
    </w:p>
    <w:p>
      <w:pPr>
        <w:spacing w:before="0" w:after="0"/>
        <w:ind w:left="120"/>
        <w:jc w:val="both"/>
      </w:pPr>
      <w:r>
        <w:rPr>
          <w:rFonts w:ascii="Times New Roman" w:hAnsi="Times New Roman"/>
          <w:b w:val="false"/>
          <w:i w:val="false"/>
          <w:color w:val="000000"/>
          <w:sz w:val="22"/>
        </w:rPr>
        <w:t>It is the responsibility of the official requesting consent to ensure compliance with all other applicable laws and rules.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7/28/94, Notice 3/30/94—published 8/17/94, effective 9/21/94]</w:t>
      </w:r>
    </w:p>
    <w:p>
      <w:pPr>
        <w:spacing w:before="0" w:after="0"/>
        <w:ind w:left="120"/>
        <w:jc w:val="center"/>
      </w:pPr>
      <w:r>
        <w:rPr>
          <w:rFonts w:ascii="Times New Roman" w:hAnsi="Times New Roman"/>
          <w:b w:val="false"/>
          <w:i w:val="false"/>
          <w:color w:val="000000"/>
          <w:sz w:val="21"/>
        </w:rPr>
        <w:t>[Filed 4/21/95, Notice 2/15/95—published 5/10/95, effective 6/14/95]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0.8.2.pdf" Type="http://schemas.openxmlformats.org/officeDocument/2006/relationships/hyperlink" Id="rId5"/>
    <Relationship TargetMode="External" Target="https://www.legis.iowa.gov/docs/ico/chapter/68B.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