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w:t>
      </w:r>
    </w:p>
    <w:p>
      <w:pPr>
        <w:spacing w:before="0" w:after="0"/>
        <w:ind w:left="120"/>
        <w:jc w:val="center"/>
      </w:pPr>
      <w:r>
        <w:rPr>
          <w:rFonts w:ascii="Times New Roman" w:hAnsi="Times New Roman"/>
          <w:b w:val="false"/>
          <w:i w:val="false"/>
          <w:color w:val="000000"/>
          <w:sz w:val="21"/>
        </w:rPr>
        <w:t>RULES</w:t>
      </w:r>
    </w:p>
    <w:p>
      <w:pPr>
        <w:spacing w:before="0" w:after="0"/>
        <w:ind w:left="120"/>
        <w:jc w:val="center"/>
      </w:pPr>
      <w:r>
        <w:rPr>
          <w:rFonts w:ascii="Times New Roman" w:hAnsi="Times New Roman"/>
          <w:b w:val="false"/>
          <w:i w:val="false"/>
          <w:color w:val="000000"/>
          <w:sz w:val="14"/>
        </w:rPr>
        <w:t>[Prior to 5/18/88, Dental Examiners, Board of[320]]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650—7.1</w:t>
      </w:r>
      <w:r>
        <w:rPr>
          <w:rFonts w:ascii="Times New Roman" w:hAnsi="Times New Roman"/>
          <w:b/>
          <w:i w:val="false"/>
          <w:color w:val="000000"/>
          <w:sz w:val="22"/>
        </w:rPr>
        <w:t xml:space="preserve">(17A,147,153) </w:t>
      </w:r>
      <w:r>
        <w:rPr>
          <w:rFonts w:ascii="Times New Roman" w:hAnsi="Times New Roman"/>
          <w:b/>
          <w:i w:val="false"/>
          <w:color w:val="000000"/>
          <w:sz w:val="22"/>
        </w:rPr>
        <w:t xml:space="preserve">Petition for rule making.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w:t>
      </w:r>
      <w:r>
        <w:rPr>
          <w:rFonts w:ascii="Times New Roman" w:hAnsi="Times New Roman"/>
          <w:b w:val="false"/>
          <w:i w:val="false"/>
          <w:color w:val="000000"/>
          <w:sz w:val="22"/>
        </w:rPr>
        <w:t> </w:t>
      </w:r>
      <w:r>
        <w:rPr>
          <w:rFonts w:ascii="Times New Roman" w:hAnsi="Times New Roman"/>
          <w:b w:val="false"/>
          <w:i w:val="false"/>
          <w:color w:val="000000"/>
          <w:sz w:val="22"/>
        </w:rPr>
        <w:t>An interested person may petition the board for the adoption, amendment or repeal of administrative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w:t>
      </w:r>
      <w:r>
        <w:rPr>
          <w:rFonts w:ascii="Times New Roman" w:hAnsi="Times New Roman"/>
          <w:b w:val="false"/>
          <w:i w:val="false"/>
          <w:color w:val="000000"/>
          <w:sz w:val="22"/>
        </w:rPr>
        <w:t> </w:t>
      </w:r>
      <w:r>
        <w:rPr>
          <w:rFonts w:ascii="Times New Roman" w:hAnsi="Times New Roman"/>
          <w:b w:val="false"/>
          <w:i w:val="false"/>
          <w:color w:val="000000"/>
          <w:sz w:val="22"/>
        </w:rPr>
        <w:t>The petition shall be in writing, signed by or on behalf of the petitioner, and contain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general statement of the rule the petitioner is requesting the board to adopt, amend, or repeal. Where amendment or repeal of an existing rule is sought, the rule number should be included but is not required. The petitioner is not required to enclose a draft of the proposed rule or proposed amendment being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statement of sufficient detail setting forth reasons for adoption, amendment, or repeal.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statement showing how the petitioner would be affected by the requested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Name and address of petitioner.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7.1(3)</w:t>
      </w:r>
      <w:r>
        <w:rPr>
          <w:rFonts w:ascii="Times New Roman" w:hAnsi="Times New Roman"/>
          <w:b w:val="false"/>
          <w:i w:val="false"/>
          <w:color w:val="000000"/>
          <w:sz w:val="22"/>
        </w:rPr>
        <w:t> </w:t>
      </w:r>
      <w:r>
        <w:rPr>
          <w:rFonts w:ascii="Times New Roman" w:hAnsi="Times New Roman"/>
          <w:b w:val="false"/>
          <w:i w:val="false"/>
          <w:color w:val="000000"/>
          <w:sz w:val="22"/>
        </w:rPr>
        <w:t>The petition is filed when it is received by the board. Within 14 days after the filing of a petition is received, the board shall submit a copy of the petition and any accompanying brief to the administrative rules coordinator and to the administrative rules review committee (ARRC).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7.1(4)</w:t>
      </w:r>
      <w:r>
        <w:rPr>
          <w:rFonts w:ascii="Times New Roman" w:hAnsi="Times New Roman"/>
          <w:b w:val="false"/>
          <w:i w:val="false"/>
          <w:color w:val="000000"/>
          <w:sz w:val="22"/>
        </w:rPr>
        <w:t> </w:t>
      </w:r>
      <w:r>
        <w:rPr>
          <w:rFonts w:ascii="Times New Roman" w:hAnsi="Times New Roman"/>
          <w:b w:val="false"/>
          <w:i w:val="false"/>
          <w:color w:val="000000"/>
          <w:sz w:val="22"/>
        </w:rPr>
        <w:t>Upon receipt of the petition, the board shall take the petition under advisement. The board may request additional information from the petitioner or the board office. Upon request by the petitioner, the board shall schedule a brief and informal meeting between the petitioner and the board, a member of the board, or a member of board staff to discuss the petition. The board may also solicit comments from any person on the substance of the petition. Any person may submit to the board comments on the substance of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7.1(5)</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petition raises an issue regarding the practice of dental hygiene, the petition shall be referred to the dental hygiene committee for review. The dental hygiene committee shall review the petition and timely submit its recommendations to the board. The board’s review of the dental hygiene committee recommendation is subject to </w:t>
      </w:r>
      <w:hyperlink r:id="rId5">
        <w:r>
          <w:rPr>
            <w:rStyle w:val="Hyperlink"/>
            <w:rFonts w:ascii="Times New Roman" w:hAnsi="Times New Roman"/>
            <w:b w:val="false"/>
            <w:i w:val="false"/>
            <w:color w:val="000000"/>
            <w:sz w:val="22"/>
          </w:rPr>
          <w:t>650—Chapter 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7.1(6)</w:t>
      </w:r>
      <w:r>
        <w:rPr>
          <w:rFonts w:ascii="Times New Roman" w:hAnsi="Times New Roman"/>
          <w:b w:val="false"/>
          <w:i w:val="false"/>
          <w:color w:val="000000"/>
          <w:sz w:val="22"/>
        </w:rPr>
        <w:t> </w:t>
      </w:r>
      <w:r>
        <w:rPr>
          <w:rFonts w:ascii="Times New Roman" w:hAnsi="Times New Roman"/>
          <w:b w:val="false"/>
          <w:i w:val="false"/>
          <w:color w:val="000000"/>
          <w:sz w:val="22"/>
        </w:rPr>
        <w:t>The board shall deny the petition or initiate rule-making procedures within 60 days after filing of the petition. In the case of a denial, the board shall state in writing its reasons for the denial. The petitioner and the ARRC shall be notified in writing of the board action taken.</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6">
        <w:r>
          <w:rPr>
            <w:rStyle w:val="Hyperlink"/>
            <w:rFonts w:ascii="Times New Roman" w:hAnsi="Times New Roman"/>
            <w:b w:val="false"/>
            <w:i w:val="false"/>
            <w:color w:val="000000"/>
            <w:sz w:val="22"/>
          </w:rPr>
          <w:t>17A.3(1)</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5722C</w:t>
      </w:r>
      <w:r>
        <w:rPr>
          <w:rFonts w:ascii="Times New Roman" w:hAnsi="Times New Roman"/>
          <w:b w:val="false"/>
          <w:i w:val="false"/>
          <w:color w:val="000000"/>
          <w:sz w:val="16"/>
        </w:rPr>
        <w:t>, IAB 6/30/21, effective 8/4/21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650—7.2</w:t>
      </w:r>
      <w:r>
        <w:rPr>
          <w:rFonts w:ascii="Times New Roman" w:hAnsi="Times New Roman"/>
          <w:b/>
          <w:i w:val="false"/>
          <w:color w:val="000000"/>
          <w:sz w:val="22"/>
        </w:rPr>
        <w:t xml:space="preserve">(17A,147,153) </w:t>
      </w:r>
      <w:r>
        <w:rPr>
          <w:rFonts w:ascii="Times New Roman" w:hAnsi="Times New Roman"/>
          <w:b/>
          <w:i w:val="false"/>
          <w:color w:val="000000"/>
          <w:sz w:val="22"/>
        </w:rPr>
        <w:t xml:space="preserve">Oral presentations for rule making.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7.2(1)</w:t>
      </w:r>
      <w:r>
        <w:rPr>
          <w:rFonts w:ascii="Times New Roman" w:hAnsi="Times New Roman"/>
          <w:b w:val="false"/>
          <w:i w:val="false"/>
          <w:color w:val="000000"/>
          <w:sz w:val="22"/>
        </w:rPr>
        <w:t> </w:t>
      </w:r>
      <w:r>
        <w:rPr>
          <w:rFonts w:ascii="Times New Roman" w:hAnsi="Times New Roman"/>
          <w:b w:val="false"/>
          <w:i w:val="false"/>
          <w:color w:val="000000"/>
          <w:sz w:val="22"/>
        </w:rPr>
        <w:t>Oral presentations may be made to the board when requested in writing not later than 20 days after notice of intended action is published in the Iowa Administrative Bulletin, by five interested persons, a governmental subdivision, the administrative rules review committee, an agency, or an association having not less than 25 members or upon discretion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7.2(2)</w:t>
      </w:r>
      <w:r>
        <w:rPr>
          <w:rFonts w:ascii="Times New Roman" w:hAnsi="Times New Roman"/>
          <w:b w:val="false"/>
          <w:i w:val="false"/>
          <w:color w:val="000000"/>
          <w:sz w:val="22"/>
        </w:rPr>
        <w:t> </w:t>
      </w:r>
      <w:r>
        <w:rPr>
          <w:rFonts w:ascii="Times New Roman" w:hAnsi="Times New Roman"/>
          <w:b w:val="false"/>
          <w:i w:val="false"/>
          <w:color w:val="000000"/>
          <w:sz w:val="22"/>
        </w:rPr>
        <w:t>The board shall give the public not less than 20 days’ notice of the time and place where oral presentations may be made.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7.2(3)</w:t>
      </w:r>
      <w:r>
        <w:rPr>
          <w:rFonts w:ascii="Times New Roman" w:hAnsi="Times New Roman"/>
          <w:b w:val="false"/>
          <w:i w:val="false"/>
          <w:color w:val="000000"/>
          <w:sz w:val="22"/>
        </w:rPr>
        <w:t> </w:t>
      </w:r>
      <w:r>
        <w:rPr>
          <w:rFonts w:ascii="Times New Roman" w:hAnsi="Times New Roman"/>
          <w:b w:val="false"/>
          <w:i w:val="false"/>
          <w:color w:val="000000"/>
          <w:sz w:val="22"/>
        </w:rPr>
        <w:t>Persons wishing to speak shall notify the board prior to start of the oral presentations.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7.2(4)</w:t>
      </w:r>
      <w:r>
        <w:rPr>
          <w:rFonts w:ascii="Times New Roman" w:hAnsi="Times New Roman"/>
          <w:b w:val="false"/>
          <w:i w:val="false"/>
          <w:color w:val="000000"/>
          <w:sz w:val="22"/>
        </w:rPr>
        <w:t> </w:t>
      </w:r>
      <w:r>
        <w:rPr>
          <w:rFonts w:ascii="Times New Roman" w:hAnsi="Times New Roman"/>
          <w:b w:val="false"/>
          <w:i w:val="false"/>
          <w:color w:val="000000"/>
          <w:sz w:val="22"/>
        </w:rPr>
        <w:t>Oral presentations may be limited to ten minutes at the discretion of the board.</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8">
        <w:r>
          <w:rPr>
            <w:rStyle w:val="Hyperlink"/>
            <w:rFonts w:ascii="Times New Roman" w:hAnsi="Times New Roman"/>
            <w:b w:val="false"/>
            <w:i w:val="false"/>
            <w:color w:val="000000"/>
            <w:sz w:val="22"/>
          </w:rPr>
          <w:t>17A.3(1)</w:t>
        </w:r>
      </w:hyperlink>
      <w:r>
        <w:rPr>
          <w:rFonts w:ascii="Times New Roman" w:hAnsi="Times New Roman"/>
          <w:b w:val="false"/>
          <w:i w:val="false"/>
          <w:color w:val="000000"/>
          <w:sz w:val="22"/>
        </w:rPr>
        <w:t xml:space="preserve"> and </w:t>
      </w:r>
      <w:hyperlink r:id="rId9">
        <w:r>
          <w:rPr>
            <w:rStyle w:val="Hyperlink"/>
            <w:rFonts w:ascii="Times New Roman" w:hAnsi="Times New Roman"/>
            <w:b w:val="false"/>
            <w:i w:val="false"/>
            <w:color w:val="000000"/>
            <w:sz w:val="22"/>
          </w:rPr>
          <w:t>17A.4(1)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650—7.3</w:t>
      </w:r>
      <w:r>
        <w:rPr>
          <w:rFonts w:ascii="Times New Roman" w:hAnsi="Times New Roman"/>
          <w:b/>
          <w:i w:val="false"/>
          <w:color w:val="000000"/>
          <w:sz w:val="22"/>
        </w:rPr>
        <w:t xml:space="preserve">(153) </w:t>
      </w:r>
      <w:r>
        <w:rPr>
          <w:rFonts w:ascii="Times New Roman" w:hAnsi="Times New Roman"/>
          <w:b/>
          <w:i w:val="false"/>
          <w:color w:val="000000"/>
          <w:sz w:val="22"/>
        </w:rPr>
        <w:t xml:space="preserve">Declaratory rulings.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5/19/99</w:t>
      </w:r>
      <w:r>
        <w:rPr>
          <w:rFonts w:ascii="Times New Roman" w:hAnsi="Times New Roman"/>
          <w:b w:val="false"/>
          <w:i w:val="false"/>
          <w:color w:val="000000"/>
          <w:sz w:val="22"/>
        </w:rPr>
        <w:t xml:space="preserve">, effective 6/23/99. See </w:t>
      </w:r>
      <w:hyperlink r:id="rId10">
        <w:r>
          <w:rPr>
            <w:rStyle w:val="Hyperlink"/>
            <w:rFonts w:ascii="Times New Roman" w:hAnsi="Times New Roman"/>
            <w:b w:val="false"/>
            <w:i w:val="false"/>
            <w:color w:val="000000"/>
            <w:sz w:val="22"/>
          </w:rPr>
          <w:t>650—Chapter 9</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650—7.4</w:t>
      </w:r>
      <w:r>
        <w:rPr>
          <w:rFonts w:ascii="Times New Roman" w:hAnsi="Times New Roman"/>
          <w:b/>
          <w:i w:val="false"/>
          <w:color w:val="000000"/>
          <w:sz w:val="22"/>
        </w:rPr>
        <w:t xml:space="preserve">(17A,147,153) </w:t>
      </w:r>
      <w:r>
        <w:rPr>
          <w:rFonts w:ascii="Times New Roman" w:hAnsi="Times New Roman"/>
          <w:b/>
          <w:i w:val="false"/>
          <w:color w:val="000000"/>
          <w:sz w:val="22"/>
        </w:rPr>
        <w:t xml:space="preserve">Waivers.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7.4(1)</w:t>
      </w:r>
      <w:r>
        <w:rPr>
          <w:rFonts w:ascii="Times New Roman" w:hAnsi="Times New Roman"/>
          <w:b w:val="false"/>
          <w:i w:val="false"/>
          <w:color w:val="000000"/>
          <w:sz w:val="22"/>
        </w:rPr>
        <w:t> </w:t>
      </w:r>
      <w:r>
        <w:rPr>
          <w:rFonts w:ascii="Times New Roman" w:hAnsi="Times New Roman"/>
          <w:b w:val="false"/>
          <w:i/>
          <w:color w:val="000000"/>
          <w:sz w:val="22"/>
        </w:rPr>
        <w:t xml:space="preserve">Definition. </w:t>
      </w:r>
      <w:r>
        <w:rPr>
          <w:rFonts w:ascii="Times New Roman" w:hAnsi="Times New Roman"/>
          <w:b w:val="false"/>
          <w:i w:val="false"/>
          <w:color w:val="000000"/>
          <w:sz w:val="22"/>
        </w:rPr>
        <w:t>For purposes of this rule, “a waiver” means action by the board that suspends, in whole or in part, the requirements or provisions of a rule as applied to an identified person on the basis of the particular circumstances of that 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7.4(2)</w:t>
      </w:r>
      <w:r>
        <w:rPr>
          <w:rFonts w:ascii="Times New Roman" w:hAnsi="Times New Roman"/>
          <w:b w:val="false"/>
          <w:i w:val="false"/>
          <w:color w:val="000000"/>
          <w:sz w:val="22"/>
        </w:rPr>
        <w:t> </w:t>
      </w:r>
      <w:r>
        <w:rPr>
          <w:rFonts w:ascii="Times New Roman" w:hAnsi="Times New Roman"/>
          <w:b w:val="false"/>
          <w:i/>
          <w:color w:val="000000"/>
          <w:sz w:val="22"/>
        </w:rPr>
        <w:t xml:space="preserve">Scope of rule. </w:t>
      </w:r>
      <w:r>
        <w:rPr>
          <w:rFonts w:ascii="Times New Roman" w:hAnsi="Times New Roman"/>
          <w:b w:val="false"/>
          <w:i w:val="false"/>
          <w:color w:val="000000"/>
          <w:sz w:val="22"/>
        </w:rPr>
        <w:t>This rule outlines generally applicable standards and a uniform process for the granting of an individual waiver from a rule adopted by the board in situations where no other more specifically applicable law provides for a waiver. To the extent another more specific provision of law governs the issuance of a waiver from a particular rule, the more specific provision shall supersede this rule with respect to any waiver from that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7.4(3)</w:t>
      </w:r>
      <w:r>
        <w:rPr>
          <w:rFonts w:ascii="Times New Roman" w:hAnsi="Times New Roman"/>
          <w:b w:val="false"/>
          <w:i w:val="false"/>
          <w:color w:val="000000"/>
          <w:sz w:val="22"/>
        </w:rPr>
        <w:t> </w:t>
      </w:r>
      <w:r>
        <w:rPr>
          <w:rFonts w:ascii="Times New Roman" w:hAnsi="Times New Roman"/>
          <w:b w:val="false"/>
          <w:i/>
          <w:color w:val="000000"/>
          <w:sz w:val="22"/>
        </w:rPr>
        <w:t xml:space="preserve">Applicability of rule. </w:t>
      </w:r>
      <w:r>
        <w:rPr>
          <w:rFonts w:ascii="Times New Roman" w:hAnsi="Times New Roman"/>
          <w:b w:val="false"/>
          <w:i w:val="false"/>
          <w:color w:val="000000"/>
          <w:sz w:val="22"/>
        </w:rPr>
        <w:t>The board may grant a waiver from a rule only if the board has jurisdiction over the rule and the requested waiver is consistent with applicable statutes, constitutional provisions, or other provisions of law. The board may not waive requirements created or duties imposed by statute.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7.4(4)</w:t>
      </w:r>
      <w:r>
        <w:rPr>
          <w:rFonts w:ascii="Times New Roman" w:hAnsi="Times New Roman"/>
          <w:b w:val="false"/>
          <w:i w:val="false"/>
          <w:color w:val="000000"/>
          <w:sz w:val="22"/>
        </w:rPr>
        <w:t> </w:t>
      </w:r>
      <w:r>
        <w:rPr>
          <w:rFonts w:ascii="Times New Roman" w:hAnsi="Times New Roman"/>
          <w:b w:val="false"/>
          <w:i/>
          <w:color w:val="000000"/>
          <w:sz w:val="22"/>
        </w:rPr>
        <w:t xml:space="preserve">Criteria for waiver. </w:t>
      </w:r>
      <w:r>
        <w:rPr>
          <w:rFonts w:ascii="Times New Roman" w:hAnsi="Times New Roman"/>
          <w:b w:val="false"/>
          <w:i w:val="false"/>
          <w:color w:val="000000"/>
          <w:sz w:val="22"/>
        </w:rPr>
        <w:t>In response to a petition, the board may in its sole discretion issue an order waiving in whole or in part the requirements of a rule if the board finds, based on clear and convincing evidence,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application of the rule would impose an undue hardship on the person for whom the waiver is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waiver from the requirements of the rule in the specific case would not prejudice the substantial legal rights of any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provisions of the rule subject to the petition for a waiver are not specifically mandated by statute or another provision of law;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Substantially equal protection of public health, safety, and welfare will be afforded by a means other than that prescribed in the particular rule for which the waiver is requested.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7.4(5)</w:t>
      </w:r>
      <w:r>
        <w:rPr>
          <w:rFonts w:ascii="Times New Roman" w:hAnsi="Times New Roman"/>
          <w:b w:val="false"/>
          <w:i w:val="false"/>
          <w:color w:val="000000"/>
          <w:sz w:val="22"/>
        </w:rPr>
        <w:t> </w:t>
      </w:r>
      <w:r>
        <w:rPr>
          <w:rFonts w:ascii="Times New Roman" w:hAnsi="Times New Roman"/>
          <w:b w:val="false"/>
          <w:i/>
          <w:color w:val="000000"/>
          <w:sz w:val="22"/>
        </w:rPr>
        <w:t xml:space="preserve">Filing of petition. </w:t>
      </w:r>
      <w:r>
        <w:rPr>
          <w:rFonts w:ascii="Times New Roman" w:hAnsi="Times New Roman"/>
          <w:b w:val="false"/>
          <w:i w:val="false"/>
          <w:color w:val="000000"/>
          <w:sz w:val="22"/>
        </w:rPr>
        <w:t>A petition for a waiver must be submitted in writing to the board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Application for license, registration, certification, or permit. If the petition relates to an application for license, registration, certification, or permit, the petition shall be made in accordance with the filing requirements for the application in question.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Contested cases. If the petition relates to a pending contested case, the petition shall be filed in the contested case proceeding, using the caption of the contested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Other. If the petition does not relate to an application or a pending contested case, the petition may be submitted to the board’s executive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petition is deemed filed when it is received at the board’s office. A petition may be filed using the online form, emailed to </w:t>
      </w:r>
      <w:hyperlink r:id="rId11">
        <w:r>
          <w:rPr>
            <w:rStyle w:val="Hyperlink"/>
            <w:rFonts w:ascii="Times New Roman" w:hAnsi="Times New Roman"/>
            <w:b w:val="false"/>
            <w:i w:val="false"/>
            <w:color w:val="000000"/>
            <w:sz w:val="22"/>
            <w:u w:val="single"/>
          </w:rPr>
          <w:t>IDB@iowa.gov</w:t>
        </w:r>
      </w:hyperlink>
      <w:r>
        <w:rPr>
          <w:rFonts w:ascii="Times New Roman" w:hAnsi="Times New Roman"/>
          <w:b w:val="false"/>
          <w:i w:val="false"/>
          <w:color w:val="000000"/>
          <w:sz w:val="22"/>
        </w:rPr>
        <w:t xml:space="preserve">, or mailed to the Iowa Dental Board, 400 S.W. 8th Street, Suite D, Des Moines, Iowa 50309-4687. The petition must include the content specified in </w:t>
      </w:r>
      <w:hyperlink r:id="rId12">
        <w:r>
          <w:rPr>
            <w:rStyle w:val="Hyperlink"/>
            <w:rFonts w:ascii="Times New Roman" w:hAnsi="Times New Roman"/>
            <w:b w:val="false"/>
            <w:i w:val="false"/>
            <w:color w:val="000000"/>
            <w:sz w:val="22"/>
          </w:rPr>
          <w:t>subrule 7.4(6)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7.4(6)</w:t>
      </w:r>
      <w:r>
        <w:rPr>
          <w:rFonts w:ascii="Times New Roman" w:hAnsi="Times New Roman"/>
          <w:b w:val="false"/>
          <w:i w:val="false"/>
          <w:color w:val="000000"/>
          <w:sz w:val="22"/>
        </w:rPr>
        <w:t> </w:t>
      </w:r>
      <w:r>
        <w:rPr>
          <w:rFonts w:ascii="Times New Roman" w:hAnsi="Times New Roman"/>
          <w:b w:val="false"/>
          <w:i/>
          <w:color w:val="000000"/>
          <w:sz w:val="22"/>
        </w:rPr>
        <w:t xml:space="preserve">Content of petition. </w:t>
      </w:r>
      <w:r>
        <w:rPr>
          <w:rFonts w:ascii="Times New Roman" w:hAnsi="Times New Roman"/>
          <w:b w:val="false"/>
          <w:i w:val="false"/>
          <w:color w:val="000000"/>
          <w:sz w:val="22"/>
        </w:rPr>
        <w:t>A petition for waiver shall include the following information where applicable and known to the requester: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address, email address, and telephone number of the person for whom a waiver is being requested and a reference to any related contested case. Also, the name, address, email address, and telephone number of the petitioner’s legal representative, if applicable, and a statement indicating the person to whom communications concerning the petition should be directed.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description and citation of the specific rule from which a waiver is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specific waiver requested, including the precise scope and duration.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relevant facts that the petitioner believes would justify a waiver under each of the four criteria described in subrule </w:t>
      </w:r>
      <w:hyperlink r:id="rId13">
        <w:r>
          <w:rPr>
            <w:rStyle w:val="Hyperlink"/>
            <w:rFonts w:ascii="Times New Roman" w:hAnsi="Times New Roman"/>
            <w:b w:val="false"/>
            <w:i w:val="false"/>
            <w:color w:val="000000"/>
            <w:sz w:val="22"/>
          </w:rPr>
          <w:t>7.4(4)</w:t>
        </w:r>
      </w:hyperlink>
      <w:r>
        <w:rPr>
          <w:rFonts w:ascii="Times New Roman" w:hAnsi="Times New Roman"/>
          <w:b w:val="false"/>
          <w:i w:val="false"/>
          <w:color w:val="000000"/>
          <w:sz w:val="22"/>
        </w:rPr>
        <w:t>. The petitioner shall attest to the accuracy of the facts provided in the petition and a statement of reasons that the petitioner believes will justify a waiver.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name, address, email address, and telephone number of any person with knowledge of the relevant facts relating to the proposed waiver.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7.4(7)</w:t>
      </w:r>
      <w:r>
        <w:rPr>
          <w:rFonts w:ascii="Times New Roman" w:hAnsi="Times New Roman"/>
          <w:b w:val="false"/>
          <w:i w:val="false"/>
          <w:color w:val="000000"/>
          <w:sz w:val="22"/>
        </w:rPr>
        <w:t> </w:t>
      </w:r>
      <w:r>
        <w:rPr>
          <w:rFonts w:ascii="Times New Roman" w:hAnsi="Times New Roman"/>
          <w:b w:val="false"/>
          <w:i/>
          <w:color w:val="000000"/>
          <w:sz w:val="22"/>
        </w:rPr>
        <w:t xml:space="preserve">Additional information. </w:t>
      </w:r>
      <w:r>
        <w:rPr>
          <w:rFonts w:ascii="Times New Roman" w:hAnsi="Times New Roman"/>
          <w:b w:val="false"/>
          <w:i w:val="false"/>
          <w:color w:val="000000"/>
          <w:sz w:val="22"/>
        </w:rPr>
        <w:t xml:space="preserve">Prior to issuing an order granting or denying a waiver, the board may request additional information from the petitioner relative to the petition and surrounding circumstances.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7.4(8)</w:t>
      </w:r>
      <w:r>
        <w:rPr>
          <w:rFonts w:ascii="Times New Roman" w:hAnsi="Times New Roman"/>
          <w:b w:val="false"/>
          <w:i w:val="false"/>
          <w:color w:val="000000"/>
          <w:sz w:val="22"/>
        </w:rPr>
        <w:t> </w:t>
      </w:r>
      <w:r>
        <w:rPr>
          <w:rFonts w:ascii="Times New Roman" w:hAnsi="Times New Roman"/>
          <w:b w:val="false"/>
          <w:i/>
          <w:color w:val="000000"/>
          <w:sz w:val="22"/>
        </w:rPr>
        <w:t xml:space="preserve">Notice. </w:t>
      </w:r>
      <w:r>
        <w:rPr>
          <w:rFonts w:ascii="Times New Roman" w:hAnsi="Times New Roman"/>
          <w:b w:val="false"/>
          <w:i w:val="false"/>
          <w:color w:val="000000"/>
          <w:sz w:val="22"/>
        </w:rPr>
        <w:t>The board shall provide public notice by including any petitions for waiver on the agenda of the board meeting during which the petition for waiver will be discussed.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7.4(9)</w:t>
      </w:r>
      <w:r>
        <w:rPr>
          <w:rFonts w:ascii="Times New Roman" w:hAnsi="Times New Roman"/>
          <w:b w:val="false"/>
          <w:i w:val="false"/>
          <w:color w:val="000000"/>
          <w:sz w:val="22"/>
        </w:rPr>
        <w:t> </w:t>
      </w:r>
      <w:r>
        <w:rPr>
          <w:rFonts w:ascii="Times New Roman" w:hAnsi="Times New Roman"/>
          <w:b w:val="false"/>
          <w:i/>
          <w:color w:val="000000"/>
          <w:sz w:val="22"/>
        </w:rPr>
        <w:t xml:space="preserve">Ruling. </w:t>
      </w:r>
      <w:r>
        <w:rPr>
          <w:rFonts w:ascii="Times New Roman" w:hAnsi="Times New Roman"/>
          <w:b w:val="false"/>
          <w:i w:val="false"/>
          <w:color w:val="000000"/>
          <w:sz w:val="22"/>
        </w:rPr>
        <w:t>An order granting or denying a waiver shall be in writing and shall contain a reference to the particular person and rule or portion thereof to which the order pertains, a statement of the relevant facts and reasons upon which the action is based, and a description of the precise scope and duration of the waiver if one is issued.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Board discretion. </w:t>
      </w:r>
      <w:r>
        <w:rPr>
          <w:rFonts w:ascii="Times New Roman" w:hAnsi="Times New Roman"/>
          <w:b w:val="false"/>
          <w:i w:val="false"/>
          <w:color w:val="000000"/>
          <w:sz w:val="22"/>
        </w:rPr>
        <w:t>The final decision on whether the circumstances justify the granting of a waiver shall be made at the sole discretion of the board, upon consideration of all relevant factors. Each petition for a waiver shall be evaluated by the board based on the unique, individual circumstances set out in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Burden of persuasion. </w:t>
      </w:r>
      <w:r>
        <w:rPr>
          <w:rFonts w:ascii="Times New Roman" w:hAnsi="Times New Roman"/>
          <w:b w:val="false"/>
          <w:i w:val="false"/>
          <w:color w:val="000000"/>
          <w:sz w:val="22"/>
        </w:rPr>
        <w:t>The burden of persuasion rests with the petitioner to demonstrate by clear and convincing evidence that the board should exercise its discretion to grant a waiver from a board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Narrowly tailored exception. </w:t>
      </w:r>
      <w:r>
        <w:rPr>
          <w:rFonts w:ascii="Times New Roman" w:hAnsi="Times New Roman"/>
          <w:b w:val="false"/>
          <w:i w:val="false"/>
          <w:color w:val="000000"/>
          <w:sz w:val="22"/>
        </w:rPr>
        <w:t>A waiver, if granted, shall provide the narrowest exception possible to the provisions of a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Conditions. </w:t>
      </w:r>
      <w:r>
        <w:rPr>
          <w:rFonts w:ascii="Times New Roman" w:hAnsi="Times New Roman"/>
          <w:b w:val="false"/>
          <w:i w:val="false"/>
          <w:color w:val="000000"/>
          <w:sz w:val="22"/>
        </w:rPr>
        <w:t>The board may place any condition on a waiver that the board finds desirable to protect the public health, safety, and welfare.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Time period of waiver. </w:t>
      </w:r>
      <w:r>
        <w:rPr>
          <w:rFonts w:ascii="Times New Roman" w:hAnsi="Times New Roman"/>
          <w:b w:val="false"/>
          <w:i w:val="false"/>
          <w:color w:val="000000"/>
          <w:sz w:val="22"/>
        </w:rPr>
        <w:t>A waiver shall not be permanent unless the petitioner can show that a temporary waiver would be impracticable. If a temporary waiver is granted, there is no automatic right to renewal. At the sole discretion of the board, a waiver may be renewed if the board finds that grounds for a waiver continue to exist.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Time for ruling. </w:t>
      </w:r>
      <w:r>
        <w:rPr>
          <w:rFonts w:ascii="Times New Roman" w:hAnsi="Times New Roman"/>
          <w:b w:val="false"/>
          <w:i w:val="false"/>
          <w:color w:val="000000"/>
          <w:sz w:val="22"/>
        </w:rPr>
        <w:t>The board shall grant or deny a petition for a waiver as soon as practicable but, in any event, shall do so within 120 days of its receipt, unless the petitioner agrees to a later date. However, if a petition is filed in a contested case, the board shall grant or deny the petition no later than the time at which the final decision in that contested case is issued. The board may issue a waiver in conjunction with an application that remains in place in perpetuity.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When deemed denied. </w:t>
      </w:r>
      <w:r>
        <w:rPr>
          <w:rFonts w:ascii="Times New Roman" w:hAnsi="Times New Roman"/>
          <w:b w:val="false"/>
          <w:i w:val="false"/>
          <w:color w:val="000000"/>
          <w:sz w:val="22"/>
        </w:rPr>
        <w:t>Failure of the board to grant or deny a petition within the required time period shall be deemed a denial of that petition by the board. However, the board shall remain responsible for issuing an order denying a waiver.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Service of order. </w:t>
      </w:r>
      <w:r>
        <w:rPr>
          <w:rFonts w:ascii="Times New Roman" w:hAnsi="Times New Roman"/>
          <w:b w:val="false"/>
          <w:i w:val="false"/>
          <w:color w:val="000000"/>
          <w:sz w:val="22"/>
        </w:rPr>
        <w:t>Within seven days of its issuance, any order issued under this rule shall be transmitted to the petitioner or the person to whom the order pertains.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Delegation. </w:t>
      </w:r>
      <w:r>
        <w:rPr>
          <w:rFonts w:ascii="Times New Roman" w:hAnsi="Times New Roman"/>
          <w:b w:val="false"/>
          <w:i w:val="false"/>
          <w:color w:val="000000"/>
          <w:sz w:val="22"/>
        </w:rPr>
        <w:t>The board may authorize staff to administratively approve additional petitions for waiver under the same parameters as an approved petition.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7.4(10)</w:t>
      </w:r>
      <w:r>
        <w:rPr>
          <w:rFonts w:ascii="Times New Roman" w:hAnsi="Times New Roman"/>
          <w:b w:val="false"/>
          <w:i w:val="false"/>
          <w:color w:val="000000"/>
          <w:sz w:val="22"/>
        </w:rPr>
        <w:t> </w:t>
      </w:r>
      <w:r>
        <w:rPr>
          <w:rFonts w:ascii="Times New Roman" w:hAnsi="Times New Roman"/>
          <w:b w:val="false"/>
          <w:i/>
          <w:color w:val="000000"/>
          <w:sz w:val="22"/>
        </w:rPr>
        <w:t xml:space="preserve">Public availability. </w:t>
      </w:r>
      <w:r>
        <w:rPr>
          <w:rFonts w:ascii="Times New Roman" w:hAnsi="Times New Roman"/>
          <w:b w:val="false"/>
          <w:i w:val="false"/>
          <w:color w:val="000000"/>
          <w:sz w:val="22"/>
        </w:rPr>
        <w:t xml:space="preserve">All orders granting or denying a waiver petition shall be indexed, filed, and available for public inspection as provided in Iowa Code section </w:t>
      </w:r>
      <w:hyperlink r:id="rId14">
        <w:r>
          <w:rPr>
            <w:rStyle w:val="Hyperlink"/>
            <w:rFonts w:ascii="Times New Roman" w:hAnsi="Times New Roman"/>
            <w:b w:val="false"/>
            <w:i w:val="false"/>
            <w:color w:val="000000"/>
            <w:sz w:val="22"/>
          </w:rPr>
          <w:t>17A.3</w:t>
        </w:r>
      </w:hyperlink>
      <w:r>
        <w:rPr>
          <w:rFonts w:ascii="Times New Roman" w:hAnsi="Times New Roman"/>
          <w:b w:val="false"/>
          <w:i w:val="false"/>
          <w:color w:val="000000"/>
          <w:sz w:val="22"/>
        </w:rPr>
        <w:t xml:space="preserve">. Petitions for a waiver and orders granting or denying a waiver petition are public records under Iowa Code chapter </w:t>
      </w:r>
      <w:hyperlink r:id="rId15">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Some petitions or orders may contain information the board is authorized or required to keep confidential. The board may accordingly redact confidential information from petitions or orders prior to public inspection.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7.4(11)</w:t>
      </w:r>
      <w:r>
        <w:rPr>
          <w:rFonts w:ascii="Times New Roman" w:hAnsi="Times New Roman"/>
          <w:b w:val="false"/>
          <w:i w:val="false"/>
          <w:color w:val="000000"/>
          <w:sz w:val="22"/>
        </w:rPr>
        <w:t> </w:t>
      </w:r>
      <w:r>
        <w:rPr>
          <w:rFonts w:ascii="Times New Roman" w:hAnsi="Times New Roman"/>
          <w:b w:val="false"/>
          <w:i/>
          <w:color w:val="000000"/>
          <w:sz w:val="22"/>
        </w:rPr>
        <w:t xml:space="preserve">Submission of waiver information. </w:t>
      </w:r>
      <w:r>
        <w:rPr>
          <w:rFonts w:ascii="Times New Roman" w:hAnsi="Times New Roman"/>
          <w:b w:val="false"/>
          <w:i w:val="false"/>
          <w:color w:val="000000"/>
          <w:sz w:val="22"/>
        </w:rPr>
        <w:t xml:space="preserve">Within 60 days of granting or denying a waiver, the board shall make a submission on the Internet site established pursuant to Iowa Code section </w:t>
      </w:r>
      <w:hyperlink r:id="rId16">
        <w:r>
          <w:rPr>
            <w:rStyle w:val="Hyperlink"/>
            <w:rFonts w:ascii="Times New Roman" w:hAnsi="Times New Roman"/>
            <w:b w:val="false"/>
            <w:i w:val="false"/>
            <w:color w:val="000000"/>
            <w:sz w:val="22"/>
          </w:rPr>
          <w:t>17A.9A</w:t>
        </w:r>
      </w:hyperlink>
      <w:r>
        <w:rPr>
          <w:rFonts w:ascii="Times New Roman" w:hAnsi="Times New Roman"/>
          <w:b w:val="false"/>
          <w:i w:val="false"/>
          <w:color w:val="000000"/>
          <w:sz w:val="22"/>
        </w:rPr>
        <w:t xml:space="preserve"> for the submission of waiver information. The submission shall identify the rules for which a waiver has been granted or denied, the number of times a waiver was granted or denied for each rule, and a citation to the statutory provisions implemented by these rules. The submission shall include a general summary of the reasons justifying the board’s action on waiver requests. If practical, the submission shall detail the extent to which the granting of a waiver has established a precedent for additional waivers and the extent to which the granting of waiver has affected the general applicability of the rule itself.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7.4(12)</w:t>
      </w:r>
      <w:r>
        <w:rPr>
          <w:rFonts w:ascii="Times New Roman" w:hAnsi="Times New Roman"/>
          <w:b w:val="false"/>
          <w:i w:val="false"/>
          <w:color w:val="000000"/>
          <w:sz w:val="22"/>
        </w:rPr>
        <w:t> </w:t>
      </w:r>
      <w:r>
        <w:rPr>
          <w:rFonts w:ascii="Times New Roman" w:hAnsi="Times New Roman"/>
          <w:b w:val="false"/>
          <w:i/>
          <w:color w:val="000000"/>
          <w:sz w:val="22"/>
        </w:rPr>
        <w:t xml:space="preserve">Cancellation of a waiver. </w:t>
      </w:r>
      <w:r>
        <w:rPr>
          <w:rFonts w:ascii="Times New Roman" w:hAnsi="Times New Roman"/>
          <w:b w:val="false"/>
          <w:i w:val="false"/>
          <w:color w:val="000000"/>
          <w:sz w:val="22"/>
        </w:rPr>
        <w:t>A waiver issued by the board pursuant to this rule may be withdrawn, canceled, or modified if, after appropriate notice and hearing, the board issues an order finding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petitioner or the person who was the subject of the waiver order withheld or misrepresented material facts relevant to the propriety or desirability of the waiver;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alternative means for ensuring that the public health, safety and welfare will be adequately protected after issuance of the waiver order have been insufficient;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subject of the waiver order has failed to comply with all conditions contained in the order;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rule cited in the waiver has been amended since the waiver was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7.4(13)</w:t>
      </w:r>
      <w:r>
        <w:rPr>
          <w:rFonts w:ascii="Times New Roman" w:hAnsi="Times New Roman"/>
          <w:b w:val="false"/>
          <w:i w:val="false"/>
          <w:color w:val="000000"/>
          <w:sz w:val="22"/>
        </w:rPr>
        <w:t> </w:t>
      </w:r>
      <w:r>
        <w:rPr>
          <w:rFonts w:ascii="Times New Roman" w:hAnsi="Times New Roman"/>
          <w:b w:val="false"/>
          <w:i/>
          <w:color w:val="000000"/>
          <w:sz w:val="22"/>
        </w:rPr>
        <w:t xml:space="preserve">Violations. </w:t>
      </w:r>
      <w:r>
        <w:rPr>
          <w:rFonts w:ascii="Times New Roman" w:hAnsi="Times New Roman"/>
          <w:b w:val="false"/>
          <w:i w:val="false"/>
          <w:color w:val="000000"/>
          <w:sz w:val="22"/>
        </w:rPr>
        <w:t>A violation of a condition in a waiver order shall be treated as a violation of the particular rule for which the waiver was granted. As a result, the recipient of a waiver under this rule who violates a condition of the waiver may be subject to the same remedies or penalties as a person who violates the rule at issue.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7.4(14)</w:t>
      </w:r>
      <w:r>
        <w:rPr>
          <w:rFonts w:ascii="Times New Roman" w:hAnsi="Times New Roman"/>
          <w:b w:val="false"/>
          <w:i w:val="false"/>
          <w:color w:val="000000"/>
          <w:sz w:val="22"/>
        </w:rPr>
        <w:t> </w:t>
      </w:r>
      <w:r>
        <w:rPr>
          <w:rFonts w:ascii="Times New Roman" w:hAnsi="Times New Roman"/>
          <w:b w:val="false"/>
          <w:i/>
          <w:color w:val="000000"/>
          <w:sz w:val="22"/>
        </w:rPr>
        <w:t xml:space="preserve">Defense. </w:t>
      </w:r>
      <w:r>
        <w:rPr>
          <w:rFonts w:ascii="Times New Roman" w:hAnsi="Times New Roman"/>
          <w:b w:val="false"/>
          <w:i w:val="false"/>
          <w:color w:val="000000"/>
          <w:sz w:val="22"/>
        </w:rPr>
        <w:t>After the board issues an order granting a waiver, the order is a defense within its terms and the specific facts indicated therein only for the person to whom the order pertains in any proceeding in which the rule in question is sought to be invoked.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7.4(15)</w:t>
      </w:r>
      <w:r>
        <w:rPr>
          <w:rFonts w:ascii="Times New Roman" w:hAnsi="Times New Roman"/>
          <w:b w:val="false"/>
          <w:i w:val="false"/>
          <w:color w:val="000000"/>
          <w:sz w:val="22"/>
        </w:rPr>
        <w:t> </w:t>
      </w:r>
      <w:r>
        <w:rPr>
          <w:rFonts w:ascii="Times New Roman" w:hAnsi="Times New Roman"/>
          <w:b w:val="false"/>
          <w:i/>
          <w:color w:val="000000"/>
          <w:sz w:val="22"/>
        </w:rPr>
        <w:t xml:space="preserve">Judicial review. </w:t>
      </w:r>
      <w:r>
        <w:rPr>
          <w:rFonts w:ascii="Times New Roman" w:hAnsi="Times New Roman"/>
          <w:b w:val="false"/>
          <w:i w:val="false"/>
          <w:color w:val="000000"/>
          <w:sz w:val="22"/>
        </w:rPr>
        <w:t xml:space="preserve">Judicial review of a board’s decision to grant or deny a waiver petition may be taken in accordance with Iowa Code chapter </w:t>
      </w:r>
      <w:hyperlink r:id="rId17">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chapters </w:t>
      </w:r>
      <w:hyperlink r:id="rId18">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19">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and </w:t>
      </w:r>
      <w:hyperlink r:id="rId20">
        <w:r>
          <w:rPr>
            <w:rStyle w:val="Hyperlink"/>
            <w:rFonts w:ascii="Times New Roman" w:hAnsi="Times New Roman"/>
            <w:b w:val="false"/>
            <w:i w:val="false"/>
            <w:color w:val="000000"/>
            <w:sz w:val="22"/>
          </w:rPr>
          <w:t>153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5722C</w:t>
      </w:r>
      <w:r>
        <w:rPr>
          <w:rFonts w:ascii="Times New Roman" w:hAnsi="Times New Roman"/>
          <w:b w:val="false"/>
          <w:i w:val="false"/>
          <w:color w:val="000000"/>
          <w:sz w:val="16"/>
        </w:rPr>
        <w:t>, IAB 6/30/21, effective 8/4/21</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650—7.5</w:t>
      </w:r>
      <w:r>
        <w:rPr>
          <w:rFonts w:ascii="Times New Roman" w:hAnsi="Times New Roman"/>
          <w:b/>
          <w:i w:val="false"/>
          <w:color w:val="000000"/>
          <w:sz w:val="22"/>
        </w:rPr>
        <w:t xml:space="preserve">(17A,147,153) </w:t>
      </w:r>
      <w:r>
        <w:rPr>
          <w:rFonts w:ascii="Times New Roman" w:hAnsi="Times New Roman"/>
          <w:b/>
          <w:i w:val="false"/>
          <w:color w:val="000000"/>
          <w:sz w:val="22"/>
        </w:rPr>
        <w:t xml:space="preserve">Sample petition for waiver. </w:t>
      </w:r>
      <w:r>
        <w:rPr>
          <w:rFonts w:ascii="Times New Roman" w:hAnsi="Times New Roman"/>
          <w:b w:val="false"/>
          <w:i w:val="false"/>
          <w:color w:val="000000"/>
          <w:sz w:val="22"/>
        </w:rPr>
        <w:t xml:space="preserve">Rescinded </w:t>
      </w:r>
      <w:r>
        <w:rPr>
          <w:rFonts w:ascii="Times New Roman" w:hAnsi="Times New Roman"/>
          <w:b/>
          <w:i w:val="false"/>
          <w:color w:val="000000"/>
          <w:sz w:val="22"/>
        </w:rPr>
        <w:t>ARC 5722C</w:t>
      </w:r>
      <w:r>
        <w:rPr>
          <w:rFonts w:ascii="Times New Roman" w:hAnsi="Times New Roman"/>
          <w:b w:val="false"/>
          <w:i w:val="false"/>
          <w:color w:val="000000"/>
          <w:sz w:val="22"/>
        </w:rPr>
        <w:t xml:space="preserve">, </w:t>
      </w:r>
      <w:r>
        <w:rPr>
          <w:rFonts w:ascii="Times New Roman" w:hAnsi="Times New Roman"/>
          <w:b w:val="false"/>
          <w:i w:val="false"/>
          <w:color w:val="000000"/>
          <w:sz w:val="22"/>
        </w:rPr>
        <w:t>IAB 6/30/21</w:t>
      </w:r>
      <w:r>
        <w:rPr>
          <w:rFonts w:ascii="Times New Roman" w:hAnsi="Times New Roman"/>
          <w:b w:val="false"/>
          <w:i w:val="false"/>
          <w:color w:val="000000"/>
          <w:sz w:val="22"/>
        </w:rPr>
        <w:t xml:space="preserve">, effective 8/4/21. </w:t>
      </w:r>
    </w:p>
    <w:p>
      <w:pPr>
        <w:spacing w:before="0" w:after="0"/>
        <w:ind w:left="120"/>
        <w:jc w:val="center"/>
      </w:pPr>
      <w:r>
        <w:rPr>
          <w:rFonts w:ascii="Times New Roman" w:hAnsi="Times New Roman"/>
          <w:b w:val="false"/>
          <w:i w:val="false"/>
          <w:color w:val="000000"/>
          <w:sz w:val="21"/>
        </w:rPr>
        <w:t>[Filed 8/23/78, Notice 6/28/78—published 9/20/78, effective 10/25/78]</w:t>
      </w:r>
    </w:p>
    <w:p>
      <w:pPr>
        <w:spacing w:before="0" w:after="0"/>
        <w:ind w:left="120"/>
        <w:jc w:val="center"/>
      </w:pPr>
      <w:r>
        <w:rPr>
          <w:rFonts w:ascii="Times New Roman" w:hAnsi="Times New Roman"/>
          <w:b w:val="false"/>
          <w:i w:val="false"/>
          <w:color w:val="000000"/>
          <w:sz w:val="21"/>
        </w:rPr>
        <w:t>[Filed 12/14/84, Notice 10/10/84—published 1/2/85, effective 2/6/85]</w:t>
      </w:r>
    </w:p>
    <w:p>
      <w:pPr>
        <w:spacing w:before="0" w:after="0"/>
        <w:ind w:left="120"/>
        <w:jc w:val="center"/>
      </w:pPr>
      <w:r>
        <w:rPr>
          <w:rFonts w:ascii="Times New Roman" w:hAnsi="Times New Roman"/>
          <w:b w:val="false"/>
          <w:i w:val="false"/>
          <w:color w:val="000000"/>
          <w:sz w:val="21"/>
        </w:rPr>
        <w:t>[Filed 3/20/86, Notice 9/11/85—published 4/9/86, effective 5/14/86]</w:t>
      </w:r>
    </w:p>
    <w:p>
      <w:pPr>
        <w:spacing w:before="0" w:after="0"/>
        <w:ind w:left="120"/>
        <w:jc w:val="center"/>
      </w:pPr>
      <w:r>
        <w:rPr>
          <w:rFonts w:ascii="Times New Roman" w:hAnsi="Times New Roman"/>
          <w:b w:val="false"/>
          <w:i w:val="false"/>
          <w:color w:val="000000"/>
          <w:sz w:val="21"/>
        </w:rPr>
        <w:t>[Filed 4/28/88, Notice 3/23/88—published 5/18/88, effective 6/22/88]</w:t>
      </w:r>
    </w:p>
    <w:p>
      <w:pPr>
        <w:spacing w:before="0" w:after="0"/>
        <w:ind w:left="120"/>
        <w:jc w:val="center"/>
      </w:pPr>
      <w:r>
        <w:rPr>
          <w:rFonts w:ascii="Times New Roman" w:hAnsi="Times New Roman"/>
          <w:b w:val="false"/>
          <w:i w:val="false"/>
          <w:color w:val="000000"/>
          <w:sz w:val="21"/>
        </w:rPr>
        <w:t>[Filed 1/22/99, Notice 11/18/98—published 2/10/99, effective 3/17/99]</w:t>
      </w:r>
    </w:p>
    <w:p>
      <w:pPr>
        <w:spacing w:before="0" w:after="0"/>
        <w:ind w:left="120"/>
        <w:jc w:val="center"/>
      </w:pPr>
      <w:r>
        <w:rPr>
          <w:rFonts w:ascii="Times New Roman" w:hAnsi="Times New Roman"/>
          <w:b w:val="false"/>
          <w:i w:val="false"/>
          <w:color w:val="000000"/>
          <w:sz w:val="21"/>
        </w:rPr>
        <w:t>[Filed 4/29/99, Notice 3/24/99—published 5/19/99, effective 6/23/99]</w:t>
      </w:r>
    </w:p>
    <w:p>
      <w:pPr>
        <w:spacing w:before="0" w:after="0"/>
        <w:ind w:left="120"/>
        <w:jc w:val="center"/>
      </w:pPr>
      <w:r>
        <w:rPr>
          <w:rFonts w:ascii="Times New Roman" w:hAnsi="Times New Roman"/>
          <w:b w:val="false"/>
          <w:i w:val="false"/>
          <w:color w:val="000000"/>
          <w:sz w:val="21"/>
        </w:rPr>
        <w:t>[Filed 1/19/01, Notice 11/15/00—published 2/7/01, effective 3/14/01]</w:t>
      </w:r>
    </w:p>
    <w:p>
      <w:pPr>
        <w:spacing w:before="0" w:after="0"/>
        <w:ind w:left="120"/>
        <w:jc w:val="center"/>
      </w:pPr>
      <w:r>
        <w:rPr>
          <w:rFonts w:ascii="Times New Roman" w:hAnsi="Times New Roman"/>
          <w:b w:val="false"/>
          <w:i w:val="false"/>
          <w:color w:val="000000"/>
          <w:sz w:val="21"/>
        </w:rPr>
        <w:t>[Filed without Notice 10/24/02—published 11/13/02, effective 12/18/02]</w:t>
      </w:r>
    </w:p>
    <w:p>
      <w:pPr>
        <w:spacing w:before="0" w:after="0"/>
        <w:ind w:left="120"/>
        <w:jc w:val="center"/>
      </w:pPr>
      <w:r>
        <w:rPr>
          <w:rFonts w:ascii="Times New Roman" w:hAnsi="Times New Roman"/>
          <w:b w:val="false"/>
          <w:i w:val="false"/>
          <w:color w:val="000000"/>
          <w:sz w:val="21"/>
        </w:rPr>
        <w:t>[Filed ARC 5722C</w:t>
      </w:r>
      <w:r>
        <w:rPr>
          <w:rFonts w:ascii="Times New Roman" w:hAnsi="Times New Roman"/>
          <w:b w:val="false"/>
          <w:i w:val="false"/>
          <w:color w:val="000000"/>
          <w:sz w:val="21"/>
        </w:rPr>
        <w:t xml:space="preserve"> (Notice ARC 5441C, IAB 2/24/21)</w:t>
      </w:r>
      <w:r>
        <w:rPr>
          <w:rFonts w:ascii="Times New Roman" w:hAnsi="Times New Roman"/>
          <w:b w:val="false"/>
          <w:i w:val="false"/>
          <w:color w:val="000000"/>
          <w:sz w:val="21"/>
        </w:rPr>
        <w:t>, IAB 6/30/21, effective 8/4/21]</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650.1.pdf" Type="http://schemas.openxmlformats.org/officeDocument/2006/relationships/hyperlink" Id="rId5"/>
    <Relationship TargetMode="External" Target="https://www.legis.iowa.gov/docs/ico/chapter/17A.3.pdf" Type="http://schemas.openxmlformats.org/officeDocument/2006/relationships/hyperlink" Id="rId6"/>
    <Relationship TargetMode="External" Target="https://www.legis.iowa.gov/docs/ico/chapter/17A.7.pdf" Type="http://schemas.openxmlformats.org/officeDocument/2006/relationships/hyperlink" Id="rId7"/>
    <Relationship TargetMode="External" Target="https://www.legis.iowa.gov/docs/ico/chapter/17A.3.pdf" Type="http://schemas.openxmlformats.org/officeDocument/2006/relationships/hyperlink" Id="rId8"/>
    <Relationship TargetMode="External" Target="https://www.legis.iowa.gov/docs/ico/chapter/17A.4.pdf" Type="http://schemas.openxmlformats.org/officeDocument/2006/relationships/hyperlink" Id="rId9"/>
    <Relationship TargetMode="External" Target="https://www.legis.iowa.gov/docs/iac/chapter/650.9.pdf" Type="http://schemas.openxmlformats.org/officeDocument/2006/relationships/hyperlink" Id="rId10"/>
    <Relationship TargetMode="External" Target="mailto:IDB@iowa.gov" Type="http://schemas.openxmlformats.org/officeDocument/2006/relationships/hyperlink" Id="rId11"/>
    <Relationship TargetMode="External" Target="https://www.legis.iowa.gov/docs/iac/rule/650.7.4.pdf" Type="http://schemas.openxmlformats.org/officeDocument/2006/relationships/hyperlink" Id="rId12"/>
    <Relationship TargetMode="External" Target="https://www.legis.iowa.gov/docs/iac/rule/650.7.4.pdf" Type="http://schemas.openxmlformats.org/officeDocument/2006/relationships/hyperlink" Id="rId13"/>
    <Relationship TargetMode="External" Target="https://www.legis.iowa.gov/docs/ico/chapter/17A.3.pdf" Type="http://schemas.openxmlformats.org/officeDocument/2006/relationships/hyperlink" Id="rId14"/>
    <Relationship TargetMode="External" Target="https://www.legis.iowa.gov/docs/ico/chapter/22.pdf" Type="http://schemas.openxmlformats.org/officeDocument/2006/relationships/hyperlink" Id="rId15"/>
    <Relationship TargetMode="External" Target="https://www.legis.iowa.gov/docs/ico/chapter/17A.9A.pdf" Type="http://schemas.openxmlformats.org/officeDocument/2006/relationships/hyperlink" Id="rId16"/>
    <Relationship TargetMode="External" Target="https://www.legis.iowa.gov/docs/ico/chapter/17A.pdf" Type="http://schemas.openxmlformats.org/officeDocument/2006/relationships/hyperlink" Id="rId17"/>
    <Relationship TargetMode="External" Target="https://www.legis.iowa.gov/docs/ico/chapter/17A.pdf" Type="http://schemas.openxmlformats.org/officeDocument/2006/relationships/hyperlink" Id="rId18"/>
    <Relationship TargetMode="External" Target="https://www.legis.iowa.gov/docs/ico/chapter/147.pdf" Type="http://schemas.openxmlformats.org/officeDocument/2006/relationships/hyperlink" Id="rId19"/>
    <Relationship TargetMode="External" Target="https://www.legis.iowa.gov/docs/ico/chapter/153.pdf" Type="http://schemas.openxmlformats.org/officeDocument/2006/relationships/hyperlink" Id="rId2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